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44" w:rsidRDefault="00D55344" w:rsidP="00D553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0532">
        <w:rPr>
          <w:rFonts w:ascii="Times New Roman" w:hAnsi="Times New Roman" w:cs="Times New Roman"/>
          <w:b/>
        </w:rPr>
        <w:t xml:space="preserve">Supplemental Table </w:t>
      </w:r>
      <w:r w:rsidR="00EB4D80">
        <w:rPr>
          <w:rFonts w:ascii="Times New Roman" w:hAnsi="Times New Roman" w:cs="Times New Roman"/>
          <w:b/>
        </w:rPr>
        <w:t>2</w:t>
      </w:r>
      <w:r w:rsidRPr="0087053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Pathologic c</w:t>
      </w:r>
      <w:r w:rsidRPr="00870532">
        <w:rPr>
          <w:rFonts w:ascii="Times New Roman" w:hAnsi="Times New Roman" w:cs="Times New Roman"/>
        </w:rPr>
        <w:t xml:space="preserve">omplete </w:t>
      </w:r>
      <w:r>
        <w:rPr>
          <w:rFonts w:ascii="Times New Roman" w:hAnsi="Times New Roman" w:cs="Times New Roman"/>
        </w:rPr>
        <w:t>r</w:t>
      </w:r>
      <w:r w:rsidRPr="00870532">
        <w:rPr>
          <w:rFonts w:ascii="Times New Roman" w:hAnsi="Times New Roman" w:cs="Times New Roman"/>
        </w:rPr>
        <w:t>esponse</w:t>
      </w:r>
      <w:r>
        <w:rPr>
          <w:rFonts w:ascii="Times New Roman" w:hAnsi="Times New Roman" w:cs="Times New Roman"/>
        </w:rPr>
        <w:t xml:space="preserve"> </w:t>
      </w:r>
      <w:r w:rsidR="001020D1">
        <w:rPr>
          <w:rFonts w:ascii="Times New Roman" w:hAnsi="Times New Roman" w:cs="Times New Roman"/>
        </w:rPr>
        <w:t xml:space="preserve">rates </w:t>
      </w:r>
      <w:r>
        <w:rPr>
          <w:rFonts w:ascii="Times New Roman" w:hAnsi="Times New Roman" w:cs="Times New Roman"/>
        </w:rPr>
        <w:t>by route of vaccine administration and ER status</w:t>
      </w:r>
      <w:r w:rsidR="00262148">
        <w:rPr>
          <w:rFonts w:ascii="Times New Roman" w:hAnsi="Times New Roman" w:cs="Times New Roman"/>
        </w:rPr>
        <w:t xml:space="preserve"> in </w:t>
      </w:r>
      <w:r w:rsidR="005959E3">
        <w:rPr>
          <w:rFonts w:ascii="Times New Roman" w:hAnsi="Times New Roman" w:cs="Times New Roman"/>
        </w:rPr>
        <w:t>42</w:t>
      </w:r>
      <w:r w:rsidR="00FD326D">
        <w:rPr>
          <w:rFonts w:ascii="Times New Roman" w:hAnsi="Times New Roman" w:cs="Times New Roman"/>
        </w:rPr>
        <w:t xml:space="preserve"> </w:t>
      </w:r>
      <w:r w:rsidR="00262148">
        <w:rPr>
          <w:rFonts w:ascii="Times New Roman" w:hAnsi="Times New Roman" w:cs="Times New Roman"/>
        </w:rPr>
        <w:t>DCIS patients</w:t>
      </w:r>
    </w:p>
    <w:tbl>
      <w:tblPr>
        <w:tblStyle w:val="TableGrid"/>
        <w:tblW w:w="4992" w:type="pct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436"/>
        <w:gridCol w:w="862"/>
        <w:gridCol w:w="667"/>
        <w:gridCol w:w="449"/>
        <w:gridCol w:w="901"/>
        <w:gridCol w:w="631"/>
        <w:gridCol w:w="449"/>
        <w:gridCol w:w="899"/>
        <w:gridCol w:w="633"/>
        <w:gridCol w:w="449"/>
        <w:gridCol w:w="901"/>
        <w:gridCol w:w="811"/>
      </w:tblGrid>
      <w:tr w:rsidR="00D55344" w:rsidRPr="00710F65" w:rsidTr="00262148">
        <w:trPr>
          <w:jc w:val="center"/>
        </w:trPr>
        <w:tc>
          <w:tcPr>
            <w:tcW w:w="770" w:type="pct"/>
            <w:vMerge w:val="restart"/>
          </w:tcPr>
          <w:p w:rsidR="00D55344" w:rsidRPr="00710F65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  <w:b/>
              </w:rPr>
            </w:pPr>
          </w:p>
          <w:p w:rsidR="00D55344" w:rsidRPr="00710F65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Status</w:t>
            </w:r>
          </w:p>
        </w:tc>
        <w:tc>
          <w:tcPr>
            <w:tcW w:w="1028" w:type="pct"/>
            <w:gridSpan w:val="3"/>
            <w:vMerge w:val="restart"/>
          </w:tcPr>
          <w:p w:rsidR="00D55344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3202" w:type="pct"/>
            <w:gridSpan w:val="9"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10F65">
              <w:rPr>
                <w:rFonts w:ascii="Times New Roman" w:hAnsi="Times New Roman" w:cs="Times New Roman"/>
                <w:b/>
              </w:rPr>
              <w:t>Route of vaccine administration</w:t>
            </w:r>
          </w:p>
        </w:tc>
      </w:tr>
      <w:tr w:rsidR="00D55344" w:rsidRPr="00710F65" w:rsidTr="00262148">
        <w:trPr>
          <w:jc w:val="center"/>
        </w:trPr>
        <w:tc>
          <w:tcPr>
            <w:tcW w:w="770" w:type="pct"/>
            <w:vMerge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pct"/>
            <w:gridSpan w:val="3"/>
            <w:vMerge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pct"/>
            <w:gridSpan w:val="3"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Intralesional</w:t>
            </w:r>
            <w:proofErr w:type="spellEnd"/>
          </w:p>
        </w:tc>
        <w:tc>
          <w:tcPr>
            <w:tcW w:w="1036" w:type="pct"/>
            <w:gridSpan w:val="3"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Intranodal</w:t>
            </w:r>
            <w:proofErr w:type="spellEnd"/>
          </w:p>
        </w:tc>
        <w:tc>
          <w:tcPr>
            <w:tcW w:w="1130" w:type="pct"/>
            <w:gridSpan w:val="3"/>
          </w:tcPr>
          <w:p w:rsidR="00D55344" w:rsidRPr="00710F65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Intralesional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Intranodal</w:t>
            </w:r>
            <w:proofErr w:type="spellEnd"/>
          </w:p>
        </w:tc>
      </w:tr>
      <w:tr w:rsidR="00D55344" w:rsidRPr="00710F65" w:rsidTr="00262148">
        <w:trPr>
          <w:jc w:val="center"/>
        </w:trPr>
        <w:tc>
          <w:tcPr>
            <w:tcW w:w="770" w:type="pct"/>
            <w:vMerge/>
          </w:tcPr>
          <w:p w:rsidR="00D55344" w:rsidRPr="00710F65" w:rsidRDefault="00D55344" w:rsidP="00FA27CD">
            <w:pPr>
              <w:spacing w:before="40" w:after="20" w:line="240" w:lineRule="auto"/>
              <w:ind w:left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51" w:type="pct"/>
            <w:tcBorders>
              <w:righ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 xml:space="preserve"># </w:t>
            </w:r>
            <w:proofErr w:type="spellStart"/>
            <w:r w:rsidRPr="00CA62AC">
              <w:rPr>
                <w:rFonts w:ascii="Times New Roman" w:hAnsi="Times New Roman" w:cs="Times New Roman"/>
                <w:b/>
              </w:rPr>
              <w:t>pCR</w:t>
            </w:r>
            <w:proofErr w:type="spellEnd"/>
          </w:p>
        </w:tc>
        <w:tc>
          <w:tcPr>
            <w:tcW w:w="349" w:type="pct"/>
            <w:tcBorders>
              <w:lef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5" w:type="pct"/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71" w:type="pct"/>
            <w:tcBorders>
              <w:bottom w:val="single" w:sz="4" w:space="0" w:color="auto"/>
              <w:righ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 xml:space="preserve"># </w:t>
            </w:r>
            <w:proofErr w:type="spellStart"/>
            <w:r w:rsidRPr="00CA62AC">
              <w:rPr>
                <w:rFonts w:ascii="Times New Roman" w:hAnsi="Times New Roman" w:cs="Times New Roman"/>
                <w:b/>
              </w:rPr>
              <w:t>pCR</w:t>
            </w:r>
            <w:proofErr w:type="spellEnd"/>
          </w:p>
        </w:tc>
        <w:tc>
          <w:tcPr>
            <w:tcW w:w="330" w:type="pct"/>
            <w:tcBorders>
              <w:lef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5" w:type="pct"/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70" w:type="pct"/>
            <w:tcBorders>
              <w:righ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 xml:space="preserve"># </w:t>
            </w:r>
            <w:proofErr w:type="spellStart"/>
            <w:r w:rsidRPr="00CA62AC">
              <w:rPr>
                <w:rFonts w:ascii="Times New Roman" w:hAnsi="Times New Roman" w:cs="Times New Roman"/>
                <w:b/>
              </w:rPr>
              <w:t>pCR</w:t>
            </w:r>
            <w:proofErr w:type="spellEnd"/>
          </w:p>
        </w:tc>
        <w:tc>
          <w:tcPr>
            <w:tcW w:w="331" w:type="pct"/>
            <w:tcBorders>
              <w:lef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5" w:type="pct"/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71" w:type="pct"/>
            <w:tcBorders>
              <w:righ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 xml:space="preserve"># </w:t>
            </w:r>
            <w:proofErr w:type="spellStart"/>
            <w:r w:rsidRPr="00CA62AC">
              <w:rPr>
                <w:rFonts w:ascii="Times New Roman" w:hAnsi="Times New Roman" w:cs="Times New Roman"/>
                <w:b/>
              </w:rPr>
              <w:t>pCR</w:t>
            </w:r>
            <w:proofErr w:type="spellEnd"/>
          </w:p>
        </w:tc>
        <w:tc>
          <w:tcPr>
            <w:tcW w:w="424" w:type="pct"/>
            <w:tcBorders>
              <w:left w:val="nil"/>
            </w:tcBorders>
          </w:tcPr>
          <w:p w:rsidR="00D55344" w:rsidRPr="00D56DE3" w:rsidRDefault="00D55344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CA62A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55344" w:rsidRPr="00D56DE3" w:rsidTr="00262148">
        <w:trPr>
          <w:jc w:val="center"/>
        </w:trPr>
        <w:tc>
          <w:tcPr>
            <w:tcW w:w="770" w:type="pct"/>
            <w:shd w:val="clear" w:color="auto" w:fill="FFFFFF" w:themeFill="background1"/>
          </w:tcPr>
          <w:p w:rsidR="00D55344" w:rsidRPr="00174291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291">
              <w:rPr>
                <w:rFonts w:ascii="Times New Roman" w:hAnsi="Times New Roman" w:cs="Times New Roman"/>
              </w:rPr>
              <w:t>ER</w:t>
            </w:r>
            <w:r w:rsidRPr="00174291">
              <w:rPr>
                <w:rFonts w:ascii="Times New Roman" w:hAnsi="Times New Roman" w:cs="Times New Roman"/>
                <w:vertAlign w:val="superscript"/>
              </w:rPr>
              <w:t>neg</w:t>
            </w:r>
            <w:proofErr w:type="spellEnd"/>
            <w:r w:rsidRPr="001742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262148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</w:tr>
      <w:tr w:rsidR="00D55344" w:rsidRPr="00D56DE3" w:rsidTr="00262148">
        <w:trPr>
          <w:jc w:val="center"/>
        </w:trPr>
        <w:tc>
          <w:tcPr>
            <w:tcW w:w="770" w:type="pct"/>
            <w:shd w:val="clear" w:color="auto" w:fill="D9D9D9" w:themeFill="background1" w:themeFillShade="D9"/>
          </w:tcPr>
          <w:p w:rsidR="00D55344" w:rsidRPr="00174291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291">
              <w:rPr>
                <w:rFonts w:ascii="Times New Roman" w:hAnsi="Times New Roman" w:cs="Times New Roman"/>
              </w:rPr>
              <w:t>ER</w:t>
            </w:r>
            <w:r w:rsidRPr="00174291">
              <w:rPr>
                <w:rFonts w:ascii="Times New Roman" w:hAnsi="Times New Roman" w:cs="Times New Roman"/>
                <w:vertAlign w:val="superscript"/>
              </w:rPr>
              <w:t>pos</w:t>
            </w:r>
            <w:proofErr w:type="spellEnd"/>
            <w:r w:rsidRPr="00174291">
              <w:rPr>
                <w:rFonts w:ascii="Times New Roman" w:hAnsi="Times New Roman" w:cs="Times New Roman"/>
              </w:rPr>
              <w:t xml:space="preserve"> w/o AE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Pr="00D56DE3" w:rsidRDefault="00F24A52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D55344" w:rsidRPr="00D56DE3" w:rsidTr="00262148">
        <w:trPr>
          <w:jc w:val="center"/>
        </w:trPr>
        <w:tc>
          <w:tcPr>
            <w:tcW w:w="770" w:type="pct"/>
            <w:shd w:val="clear" w:color="auto" w:fill="FFFFFF" w:themeFill="background1"/>
          </w:tcPr>
          <w:p w:rsidR="00D55344" w:rsidRPr="00174291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291">
              <w:rPr>
                <w:rFonts w:ascii="Times New Roman" w:hAnsi="Times New Roman" w:cs="Times New Roman"/>
              </w:rPr>
              <w:t>ER</w:t>
            </w:r>
            <w:r w:rsidRPr="00174291">
              <w:rPr>
                <w:rFonts w:ascii="Times New Roman" w:hAnsi="Times New Roman" w:cs="Times New Roman"/>
                <w:vertAlign w:val="superscript"/>
              </w:rPr>
              <w:t>pos</w:t>
            </w:r>
            <w:proofErr w:type="spellEnd"/>
            <w:r w:rsidRPr="00174291">
              <w:rPr>
                <w:rFonts w:ascii="Times New Roman" w:hAnsi="Times New Roman" w:cs="Times New Roman"/>
              </w:rPr>
              <w:t xml:space="preserve"> w AE</w:t>
            </w:r>
          </w:p>
        </w:tc>
        <w:tc>
          <w:tcPr>
            <w:tcW w:w="228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235" w:type="pct"/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tcBorders>
              <w:left w:val="nil"/>
            </w:tcBorders>
            <w:shd w:val="clear" w:color="auto" w:fill="FFFFFF" w:themeFill="background1"/>
          </w:tcPr>
          <w:p w:rsidR="00D55344" w:rsidRPr="00D56DE3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</w:t>
            </w:r>
          </w:p>
        </w:tc>
      </w:tr>
      <w:tr w:rsidR="00D55344" w:rsidRPr="00D56DE3" w:rsidTr="00262148">
        <w:trPr>
          <w:jc w:val="center"/>
        </w:trPr>
        <w:tc>
          <w:tcPr>
            <w:tcW w:w="770" w:type="pct"/>
            <w:shd w:val="clear" w:color="auto" w:fill="D9D9D9" w:themeFill="background1" w:themeFillShade="D9"/>
          </w:tcPr>
          <w:p w:rsidR="00D55344" w:rsidRPr="00174291" w:rsidRDefault="00D55344" w:rsidP="00FA27CD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17429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" w:type="pct"/>
            <w:tcBorders>
              <w:righ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tcBorders>
              <w:left w:val="nil"/>
            </w:tcBorders>
            <w:shd w:val="clear" w:color="auto" w:fill="D9D9D9" w:themeFill="background1" w:themeFillShade="D9"/>
          </w:tcPr>
          <w:p w:rsidR="00D55344" w:rsidRDefault="005959E3" w:rsidP="00FA27C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</w:t>
            </w:r>
          </w:p>
        </w:tc>
      </w:tr>
    </w:tbl>
    <w:p w:rsidR="001E41E4" w:rsidRDefault="00D55344">
      <w:r w:rsidRPr="00DD2D09">
        <w:rPr>
          <w:rFonts w:ascii="Times New Roman" w:hAnsi="Times New Roman" w:cs="Times New Roman"/>
        </w:rPr>
        <w:t>ER (estroge</w:t>
      </w:r>
      <w:r>
        <w:rPr>
          <w:rFonts w:ascii="Times New Roman" w:hAnsi="Times New Roman" w:cs="Times New Roman"/>
        </w:rPr>
        <w:t>n receptor), AE (anti-estrogen)</w:t>
      </w:r>
    </w:p>
    <w:sectPr w:rsidR="001E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44"/>
    <w:rsid w:val="001020D1"/>
    <w:rsid w:val="001E41E4"/>
    <w:rsid w:val="00210F4B"/>
    <w:rsid w:val="00262148"/>
    <w:rsid w:val="005959E3"/>
    <w:rsid w:val="007877A2"/>
    <w:rsid w:val="007A35E3"/>
    <w:rsid w:val="008350E0"/>
    <w:rsid w:val="00A8480F"/>
    <w:rsid w:val="00C17057"/>
    <w:rsid w:val="00D55344"/>
    <w:rsid w:val="00EB4D80"/>
    <w:rsid w:val="00F24A52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F174"/>
  <w15:docId w15:val="{5879C2C3-1060-41CB-8333-E825E08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RMick</dc:creator>
  <cp:lastModifiedBy>Lowenfeld, Lea</cp:lastModifiedBy>
  <cp:revision>3</cp:revision>
  <cp:lastPrinted>2016-07-11T15:42:00Z</cp:lastPrinted>
  <dcterms:created xsi:type="dcterms:W3CDTF">2016-07-23T02:23:00Z</dcterms:created>
  <dcterms:modified xsi:type="dcterms:W3CDTF">2016-10-25T09:28:00Z</dcterms:modified>
</cp:coreProperties>
</file>