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2341"/>
        <w:tblW w:w="10440" w:type="dxa"/>
        <w:tblLayout w:type="fixed"/>
        <w:tblLook w:val="0420" w:firstRow="1" w:lastRow="0" w:firstColumn="0" w:lastColumn="0" w:noHBand="0" w:noVBand="1"/>
      </w:tblPr>
      <w:tblGrid>
        <w:gridCol w:w="900"/>
        <w:gridCol w:w="1980"/>
        <w:gridCol w:w="2610"/>
        <w:gridCol w:w="1710"/>
        <w:gridCol w:w="3240"/>
      </w:tblGrid>
      <w:tr w:rsidR="009F2161" w:rsidRPr="009F2161" w14:paraId="1D40C782" w14:textId="77777777" w:rsidTr="009F2161">
        <w:trPr>
          <w:trHeight w:val="584"/>
        </w:trPr>
        <w:tc>
          <w:tcPr>
            <w:tcW w:w="900" w:type="dxa"/>
            <w:hideMark/>
          </w:tcPr>
          <w:p w14:paraId="1346A5D3" w14:textId="77777777" w:rsidR="00570C79" w:rsidRPr="009F2161" w:rsidRDefault="003E5C9F" w:rsidP="009F2161">
            <w:pPr>
              <w:jc w:val="center"/>
            </w:pPr>
            <w:r w:rsidRPr="009F2161">
              <w:rPr>
                <w:b/>
                <w:bCs/>
              </w:rPr>
              <w:t>Study Order</w:t>
            </w:r>
          </w:p>
        </w:tc>
        <w:tc>
          <w:tcPr>
            <w:tcW w:w="1980" w:type="dxa"/>
            <w:hideMark/>
          </w:tcPr>
          <w:p w14:paraId="18544B00" w14:textId="77777777" w:rsidR="00570C79" w:rsidRPr="009F2161" w:rsidRDefault="003E5C9F" w:rsidP="009F2161">
            <w:pPr>
              <w:jc w:val="center"/>
            </w:pPr>
            <w:r w:rsidRPr="009F2161">
              <w:rPr>
                <w:b/>
                <w:bCs/>
              </w:rPr>
              <w:t>Molecular Analysis</w:t>
            </w:r>
          </w:p>
        </w:tc>
        <w:tc>
          <w:tcPr>
            <w:tcW w:w="2610" w:type="dxa"/>
            <w:hideMark/>
          </w:tcPr>
          <w:p w14:paraId="74CE0415" w14:textId="77777777" w:rsidR="00570C79" w:rsidRPr="009F2161" w:rsidRDefault="003E5C9F" w:rsidP="009F2161">
            <w:pPr>
              <w:jc w:val="center"/>
            </w:pPr>
            <w:r w:rsidRPr="009F2161">
              <w:rPr>
                <w:b/>
                <w:bCs/>
              </w:rPr>
              <w:t>Sample Comparison</w:t>
            </w:r>
          </w:p>
        </w:tc>
        <w:tc>
          <w:tcPr>
            <w:tcW w:w="1710" w:type="dxa"/>
            <w:hideMark/>
          </w:tcPr>
          <w:p w14:paraId="1E7F859A" w14:textId="77777777" w:rsidR="00570C79" w:rsidRPr="009F2161" w:rsidRDefault="003E5C9F" w:rsidP="009F2161">
            <w:pPr>
              <w:jc w:val="center"/>
            </w:pPr>
            <w:r w:rsidRPr="009F2161">
              <w:rPr>
                <w:b/>
                <w:bCs/>
              </w:rPr>
              <w:t>Follow-Up Requirement</w:t>
            </w:r>
          </w:p>
        </w:tc>
        <w:tc>
          <w:tcPr>
            <w:tcW w:w="3240" w:type="dxa"/>
            <w:hideMark/>
          </w:tcPr>
          <w:p w14:paraId="1D35350C" w14:textId="77777777" w:rsidR="00570C79" w:rsidRPr="009F2161" w:rsidRDefault="003E5C9F" w:rsidP="009F2161">
            <w:pPr>
              <w:jc w:val="center"/>
            </w:pPr>
            <w:r w:rsidRPr="009F2161">
              <w:rPr>
                <w:b/>
                <w:bCs/>
              </w:rPr>
              <w:t>Rationale for Follow-Up Requirement</w:t>
            </w:r>
          </w:p>
        </w:tc>
      </w:tr>
      <w:tr w:rsidR="009F2161" w:rsidRPr="009F2161" w14:paraId="3A0771FF" w14:textId="77777777" w:rsidTr="009F2161">
        <w:trPr>
          <w:trHeight w:val="584"/>
        </w:trPr>
        <w:tc>
          <w:tcPr>
            <w:tcW w:w="900" w:type="dxa"/>
            <w:vAlign w:val="center"/>
            <w:hideMark/>
          </w:tcPr>
          <w:p w14:paraId="593277E7" w14:textId="77777777" w:rsidR="00570C79" w:rsidRPr="009F2161" w:rsidRDefault="003E5C9F" w:rsidP="009F2161">
            <w:pPr>
              <w:jc w:val="center"/>
            </w:pPr>
            <w:r w:rsidRPr="009F2161">
              <w:t>1</w:t>
            </w:r>
          </w:p>
        </w:tc>
        <w:tc>
          <w:tcPr>
            <w:tcW w:w="1980" w:type="dxa"/>
            <w:vAlign w:val="center"/>
            <w:hideMark/>
          </w:tcPr>
          <w:p w14:paraId="002EC32C" w14:textId="10F0EE35" w:rsidR="00570C79" w:rsidRPr="009F2161" w:rsidRDefault="00F06727" w:rsidP="00F06727">
            <w:r>
              <w:t xml:space="preserve">12-gene expression </w:t>
            </w:r>
            <w:r w:rsidR="003E5C9F" w:rsidRPr="009F2161">
              <w:t>classifier</w:t>
            </w:r>
          </w:p>
        </w:tc>
        <w:tc>
          <w:tcPr>
            <w:tcW w:w="2610" w:type="dxa"/>
            <w:vAlign w:val="center"/>
            <w:hideMark/>
          </w:tcPr>
          <w:p w14:paraId="1D0211D4" w14:textId="77777777" w:rsidR="003E5C9F" w:rsidRPr="009F2161" w:rsidRDefault="003E5C9F" w:rsidP="009F2161">
            <w:r w:rsidRPr="009F2161">
              <w:t xml:space="preserve">Class 1 (n = 216) </w:t>
            </w:r>
          </w:p>
          <w:p w14:paraId="7372B73F" w14:textId="77777777" w:rsidR="00570C79" w:rsidRPr="009F2161" w:rsidRDefault="003E5C9F" w:rsidP="009F2161">
            <w:r w:rsidRPr="009F2161">
              <w:t>Class 2 (n = 173)</w:t>
            </w:r>
          </w:p>
        </w:tc>
        <w:tc>
          <w:tcPr>
            <w:tcW w:w="1710" w:type="dxa"/>
            <w:vAlign w:val="center"/>
            <w:hideMark/>
          </w:tcPr>
          <w:p w14:paraId="12ECF42F" w14:textId="77777777" w:rsidR="00570C79" w:rsidRPr="009F2161" w:rsidRDefault="003E5C9F" w:rsidP="009F2161">
            <w:pPr>
              <w:jc w:val="center"/>
            </w:pPr>
            <w:r w:rsidRPr="009F2161">
              <w:t>None</w:t>
            </w:r>
          </w:p>
        </w:tc>
        <w:tc>
          <w:tcPr>
            <w:tcW w:w="3240" w:type="dxa"/>
            <w:vAlign w:val="center"/>
            <w:hideMark/>
          </w:tcPr>
          <w:p w14:paraId="27607223" w14:textId="77777777" w:rsidR="00570C79" w:rsidRPr="009F2161" w:rsidRDefault="003E5C9F" w:rsidP="009F2161">
            <w:r w:rsidRPr="009F2161">
              <w:t>Performed on all study participants</w:t>
            </w:r>
          </w:p>
        </w:tc>
      </w:tr>
      <w:tr w:rsidR="009F2161" w:rsidRPr="009F2161" w14:paraId="299BBD41" w14:textId="77777777" w:rsidTr="009F2161">
        <w:trPr>
          <w:trHeight w:val="584"/>
        </w:trPr>
        <w:tc>
          <w:tcPr>
            <w:tcW w:w="900" w:type="dxa"/>
            <w:vAlign w:val="center"/>
            <w:hideMark/>
          </w:tcPr>
          <w:p w14:paraId="4AAD0FD7" w14:textId="77777777" w:rsidR="00570C79" w:rsidRPr="009F2161" w:rsidRDefault="003E5C9F" w:rsidP="009F2161">
            <w:pPr>
              <w:jc w:val="center"/>
            </w:pPr>
            <w:r w:rsidRPr="009F2161">
              <w:t>2</w:t>
            </w:r>
          </w:p>
        </w:tc>
        <w:tc>
          <w:tcPr>
            <w:tcW w:w="1980" w:type="dxa"/>
            <w:vAlign w:val="center"/>
            <w:hideMark/>
          </w:tcPr>
          <w:p w14:paraId="6C457A87" w14:textId="77777777" w:rsidR="003E5C9F" w:rsidRPr="009F2161" w:rsidRDefault="003E5C9F" w:rsidP="009F2161">
            <w:r w:rsidRPr="009F2161">
              <w:t xml:space="preserve">PCA analysis of </w:t>
            </w:r>
          </w:p>
          <w:p w14:paraId="407A7B90" w14:textId="7889B93C" w:rsidR="00570C79" w:rsidRPr="009F2161" w:rsidRDefault="00F06727" w:rsidP="00F06727">
            <w:r>
              <w:t>12-gene expression c</w:t>
            </w:r>
            <w:r w:rsidR="003E5C9F" w:rsidRPr="009F2161">
              <w:t>lassifier</w:t>
            </w:r>
          </w:p>
        </w:tc>
        <w:tc>
          <w:tcPr>
            <w:tcW w:w="2610" w:type="dxa"/>
            <w:vAlign w:val="center"/>
            <w:hideMark/>
          </w:tcPr>
          <w:p w14:paraId="35E31A28" w14:textId="77777777" w:rsidR="00570C79" w:rsidRPr="009F2161" w:rsidRDefault="003E5C9F" w:rsidP="009F2161">
            <w:r w:rsidRPr="009F2161">
              <w:t>Class1</w:t>
            </w:r>
            <w:r w:rsidRPr="009F2161">
              <w:rPr>
                <w:vertAlign w:val="superscript"/>
              </w:rPr>
              <w:t>met+</w:t>
            </w:r>
            <w:r w:rsidRPr="009F2161">
              <w:t xml:space="preserve"> (n = 12) Class1</w:t>
            </w:r>
            <w:r w:rsidRPr="009F2161">
              <w:rPr>
                <w:vertAlign w:val="superscript"/>
              </w:rPr>
              <w:t>met-</w:t>
            </w:r>
            <w:r w:rsidRPr="009F2161">
              <w:t xml:space="preserve"> (n = 96)</w:t>
            </w:r>
          </w:p>
        </w:tc>
        <w:tc>
          <w:tcPr>
            <w:tcW w:w="1710" w:type="dxa"/>
            <w:vAlign w:val="center"/>
            <w:hideMark/>
          </w:tcPr>
          <w:p w14:paraId="646F3803" w14:textId="77777777" w:rsidR="00570C79" w:rsidRPr="009F2161" w:rsidRDefault="003E5C9F" w:rsidP="009F2161">
            <w:pPr>
              <w:jc w:val="center"/>
            </w:pPr>
            <w:r w:rsidRPr="009F2161">
              <w:t>None</w:t>
            </w:r>
          </w:p>
        </w:tc>
        <w:tc>
          <w:tcPr>
            <w:tcW w:w="3240" w:type="dxa"/>
            <w:vAlign w:val="center"/>
            <w:hideMark/>
          </w:tcPr>
          <w:p w14:paraId="19C4AFDF" w14:textId="588F5C69" w:rsidR="00570C79" w:rsidRPr="009F2161" w:rsidRDefault="00F06727" w:rsidP="00F06727">
            <w:r>
              <w:t xml:space="preserve">Performed on all samples for which expression of the 12 genes was available before outsourcing to </w:t>
            </w:r>
            <w:proofErr w:type="spellStart"/>
            <w:r>
              <w:t>DecisionDx</w:t>
            </w:r>
            <w:proofErr w:type="spellEnd"/>
            <w:r>
              <w:t>-UM</w:t>
            </w:r>
          </w:p>
        </w:tc>
      </w:tr>
      <w:tr w:rsidR="009F2161" w:rsidRPr="009F2161" w14:paraId="78310F89" w14:textId="77777777" w:rsidTr="009F2161">
        <w:trPr>
          <w:trHeight w:val="584"/>
        </w:trPr>
        <w:tc>
          <w:tcPr>
            <w:tcW w:w="900" w:type="dxa"/>
            <w:vAlign w:val="center"/>
            <w:hideMark/>
          </w:tcPr>
          <w:p w14:paraId="56B825C7" w14:textId="77777777" w:rsidR="00570C79" w:rsidRPr="009F2161" w:rsidRDefault="003E5C9F" w:rsidP="009F2161">
            <w:pPr>
              <w:jc w:val="center"/>
            </w:pPr>
            <w:r w:rsidRPr="009F2161">
              <w:t>3</w:t>
            </w:r>
          </w:p>
        </w:tc>
        <w:tc>
          <w:tcPr>
            <w:tcW w:w="1980" w:type="dxa"/>
            <w:vAlign w:val="center"/>
            <w:hideMark/>
          </w:tcPr>
          <w:p w14:paraId="718E21DA" w14:textId="77777777" w:rsidR="00570C79" w:rsidRPr="009F2161" w:rsidRDefault="003E5C9F" w:rsidP="009F2161">
            <w:r w:rsidRPr="009F2161">
              <w:t>Global transcriptome analysis</w:t>
            </w:r>
          </w:p>
        </w:tc>
        <w:tc>
          <w:tcPr>
            <w:tcW w:w="2610" w:type="dxa"/>
            <w:vAlign w:val="center"/>
            <w:hideMark/>
          </w:tcPr>
          <w:p w14:paraId="74B58ADF" w14:textId="77777777" w:rsidR="00570C79" w:rsidRPr="009F2161" w:rsidRDefault="003E5C9F" w:rsidP="009F2161">
            <w:r w:rsidRPr="009F2161">
              <w:t>Class1</w:t>
            </w:r>
            <w:r w:rsidRPr="009F2161">
              <w:rPr>
                <w:vertAlign w:val="superscript"/>
              </w:rPr>
              <w:t>met+</w:t>
            </w:r>
            <w:r w:rsidRPr="009F2161">
              <w:t xml:space="preserve"> (n = 5) Class1</w:t>
            </w:r>
            <w:r w:rsidRPr="009F2161">
              <w:rPr>
                <w:vertAlign w:val="superscript"/>
              </w:rPr>
              <w:t>met-</w:t>
            </w:r>
            <w:r w:rsidRPr="009F2161">
              <w:t xml:space="preserve"> (n = 8)</w:t>
            </w:r>
          </w:p>
        </w:tc>
        <w:tc>
          <w:tcPr>
            <w:tcW w:w="1710" w:type="dxa"/>
            <w:vAlign w:val="center"/>
            <w:hideMark/>
          </w:tcPr>
          <w:p w14:paraId="739D95C1" w14:textId="77777777" w:rsidR="00570C79" w:rsidRPr="009F2161" w:rsidRDefault="003E5C9F" w:rsidP="009F2161">
            <w:r w:rsidRPr="009F2161">
              <w:t>&gt;1 year follow-up for Class1</w:t>
            </w:r>
            <w:r w:rsidRPr="009F2161">
              <w:rPr>
                <w:vertAlign w:val="superscript"/>
              </w:rPr>
              <w:t>met-</w:t>
            </w:r>
            <w:r w:rsidRPr="009F2161">
              <w:t xml:space="preserve"> tumors</w:t>
            </w:r>
          </w:p>
        </w:tc>
        <w:tc>
          <w:tcPr>
            <w:tcW w:w="3240" w:type="dxa"/>
            <w:vAlign w:val="center"/>
            <w:hideMark/>
          </w:tcPr>
          <w:p w14:paraId="7F86F9FB" w14:textId="77777777" w:rsidR="00570C79" w:rsidRPr="009F2161" w:rsidRDefault="003E5C9F" w:rsidP="009F2161">
            <w:r w:rsidRPr="009F2161">
              <w:t>Class 1 tumors are usually smaller than Class 2 tumors and less commonly treated by enucleation, which is preferred to obtain enough tissue for this analysis.  A less strict (shorter) time requirement was used to allow more samples to be included.</w:t>
            </w:r>
          </w:p>
        </w:tc>
      </w:tr>
      <w:tr w:rsidR="009F2161" w:rsidRPr="009F2161" w14:paraId="42EFD852" w14:textId="77777777" w:rsidTr="009F2161">
        <w:trPr>
          <w:trHeight w:val="584"/>
        </w:trPr>
        <w:tc>
          <w:tcPr>
            <w:tcW w:w="900" w:type="dxa"/>
            <w:vAlign w:val="center"/>
            <w:hideMark/>
          </w:tcPr>
          <w:p w14:paraId="0D2DF6A1" w14:textId="77777777" w:rsidR="00570C79" w:rsidRPr="009F2161" w:rsidRDefault="003E5C9F" w:rsidP="009F2161">
            <w:pPr>
              <w:jc w:val="center"/>
            </w:pPr>
            <w:r w:rsidRPr="009F2161">
              <w:t>4</w:t>
            </w:r>
          </w:p>
        </w:tc>
        <w:tc>
          <w:tcPr>
            <w:tcW w:w="1980" w:type="dxa"/>
            <w:vAlign w:val="center"/>
            <w:hideMark/>
          </w:tcPr>
          <w:p w14:paraId="375B3BB5" w14:textId="77777777" w:rsidR="00570C79" w:rsidRPr="009F2161" w:rsidRDefault="003E5C9F" w:rsidP="009F2161">
            <w:proofErr w:type="spellStart"/>
            <w:r w:rsidRPr="009F2161">
              <w:t>qPCR</w:t>
            </w:r>
            <w:proofErr w:type="spellEnd"/>
            <w:r w:rsidRPr="009F2161">
              <w:t xml:space="preserve"> validation of </w:t>
            </w:r>
            <w:r w:rsidRPr="009F2161">
              <w:rPr>
                <w:i/>
                <w:iCs/>
              </w:rPr>
              <w:t>PRAME</w:t>
            </w:r>
          </w:p>
        </w:tc>
        <w:tc>
          <w:tcPr>
            <w:tcW w:w="2610" w:type="dxa"/>
            <w:vAlign w:val="center"/>
            <w:hideMark/>
          </w:tcPr>
          <w:p w14:paraId="420E5197" w14:textId="77777777" w:rsidR="00570C79" w:rsidRPr="009F2161" w:rsidRDefault="003E5C9F" w:rsidP="009F2161">
            <w:r w:rsidRPr="009F2161">
              <w:t>Class1</w:t>
            </w:r>
            <w:r w:rsidRPr="009F2161">
              <w:rPr>
                <w:vertAlign w:val="superscript"/>
              </w:rPr>
              <w:t>met+</w:t>
            </w:r>
            <w:r w:rsidRPr="009F2161">
              <w:t xml:space="preserve"> (n = 7) Class1</w:t>
            </w:r>
            <w:r w:rsidRPr="009F2161">
              <w:rPr>
                <w:vertAlign w:val="superscript"/>
              </w:rPr>
              <w:t>met-</w:t>
            </w:r>
            <w:r w:rsidRPr="009F2161">
              <w:t xml:space="preserve"> (n = 19)</w:t>
            </w:r>
          </w:p>
        </w:tc>
        <w:tc>
          <w:tcPr>
            <w:tcW w:w="1710" w:type="dxa"/>
            <w:vAlign w:val="center"/>
            <w:hideMark/>
          </w:tcPr>
          <w:p w14:paraId="3A5CE898" w14:textId="77777777" w:rsidR="00570C79" w:rsidRPr="009F2161" w:rsidRDefault="003E5C9F" w:rsidP="009F2161">
            <w:r w:rsidRPr="009F2161">
              <w:t>&gt;3 years follow-up for Class1</w:t>
            </w:r>
            <w:r w:rsidRPr="009F2161">
              <w:rPr>
                <w:vertAlign w:val="superscript"/>
              </w:rPr>
              <w:t>met-</w:t>
            </w:r>
            <w:r w:rsidRPr="009F2161">
              <w:t xml:space="preserve"> tumors</w:t>
            </w:r>
          </w:p>
        </w:tc>
        <w:tc>
          <w:tcPr>
            <w:tcW w:w="3240" w:type="dxa"/>
            <w:vAlign w:val="center"/>
            <w:hideMark/>
          </w:tcPr>
          <w:p w14:paraId="1953E7C9" w14:textId="77777777" w:rsidR="00570C79" w:rsidRPr="009F2161" w:rsidRDefault="003E5C9F" w:rsidP="009F2161">
            <w:r w:rsidRPr="009F2161">
              <w:t xml:space="preserve">Less RNA is needed for </w:t>
            </w:r>
            <w:proofErr w:type="spellStart"/>
            <w:r w:rsidRPr="009F2161">
              <w:t>qPCR</w:t>
            </w:r>
            <w:proofErr w:type="spellEnd"/>
            <w:r w:rsidRPr="009F2161">
              <w:t xml:space="preserve"> than for global transcriptome analysis, so more samples were available that had sufficient RNA remaining.  A stricter (longer) time requirement could be used. </w:t>
            </w:r>
          </w:p>
        </w:tc>
      </w:tr>
      <w:tr w:rsidR="009F2161" w:rsidRPr="009F2161" w14:paraId="21C044BA" w14:textId="77777777" w:rsidTr="009F2161">
        <w:trPr>
          <w:trHeight w:val="584"/>
        </w:trPr>
        <w:tc>
          <w:tcPr>
            <w:tcW w:w="900" w:type="dxa"/>
            <w:vAlign w:val="center"/>
            <w:hideMark/>
          </w:tcPr>
          <w:p w14:paraId="064A9484" w14:textId="77777777" w:rsidR="00570C79" w:rsidRPr="009F2161" w:rsidRDefault="003E5C9F" w:rsidP="009F2161">
            <w:pPr>
              <w:jc w:val="center"/>
            </w:pPr>
            <w:r w:rsidRPr="009F2161">
              <w:t>5</w:t>
            </w:r>
          </w:p>
        </w:tc>
        <w:tc>
          <w:tcPr>
            <w:tcW w:w="1980" w:type="dxa"/>
            <w:vAlign w:val="center"/>
            <w:hideMark/>
          </w:tcPr>
          <w:p w14:paraId="76302D71" w14:textId="77777777" w:rsidR="00570C79" w:rsidRPr="009F2161" w:rsidRDefault="003E5C9F" w:rsidP="009F2161">
            <w:proofErr w:type="spellStart"/>
            <w:r w:rsidRPr="009F2161">
              <w:t>qPCR</w:t>
            </w:r>
            <w:proofErr w:type="spellEnd"/>
            <w:r w:rsidRPr="009F2161">
              <w:t xml:space="preserve"> validation of </w:t>
            </w:r>
            <w:r w:rsidRPr="009F2161">
              <w:rPr>
                <w:i/>
                <w:iCs/>
              </w:rPr>
              <w:t>PRAME</w:t>
            </w:r>
            <w:r w:rsidRPr="009F2161">
              <w:t xml:space="preserve"> for Kaplan-Meier analysis</w:t>
            </w:r>
          </w:p>
        </w:tc>
        <w:tc>
          <w:tcPr>
            <w:tcW w:w="2610" w:type="dxa"/>
            <w:vAlign w:val="center"/>
            <w:hideMark/>
          </w:tcPr>
          <w:p w14:paraId="314C4FAC" w14:textId="77777777" w:rsidR="00570C79" w:rsidRPr="009F2161" w:rsidRDefault="003E5C9F" w:rsidP="009F2161">
            <w:r w:rsidRPr="009F2161">
              <w:t>Class1</w:t>
            </w:r>
            <w:r w:rsidRPr="009F2161">
              <w:rPr>
                <w:vertAlign w:val="superscript"/>
              </w:rPr>
              <w:t>PRAME+</w:t>
            </w:r>
            <w:r w:rsidRPr="009F2161">
              <w:t xml:space="preserve"> (n = 25) Class1</w:t>
            </w:r>
            <w:r w:rsidRPr="009F2161">
              <w:rPr>
                <w:vertAlign w:val="superscript"/>
              </w:rPr>
              <w:t>PRAME-</w:t>
            </w:r>
            <w:r w:rsidRPr="009F2161">
              <w:t xml:space="preserve"> (n = 39)</w:t>
            </w:r>
          </w:p>
        </w:tc>
        <w:tc>
          <w:tcPr>
            <w:tcW w:w="1710" w:type="dxa"/>
            <w:vAlign w:val="center"/>
            <w:hideMark/>
          </w:tcPr>
          <w:p w14:paraId="57994AA1" w14:textId="77777777" w:rsidR="00570C79" w:rsidRPr="009F2161" w:rsidRDefault="003E5C9F" w:rsidP="009F2161">
            <w:pPr>
              <w:jc w:val="center"/>
            </w:pPr>
            <w:r w:rsidRPr="009F2161">
              <w:t>None</w:t>
            </w:r>
          </w:p>
        </w:tc>
        <w:tc>
          <w:tcPr>
            <w:tcW w:w="3240" w:type="dxa"/>
            <w:vAlign w:val="center"/>
            <w:hideMark/>
          </w:tcPr>
          <w:p w14:paraId="2ED0F7D4" w14:textId="41B1D2E3" w:rsidR="00570C79" w:rsidRPr="009F2161" w:rsidRDefault="00FB0E48" w:rsidP="009F2161">
            <w:r>
              <w:t>Performed on all retrospective samples that were available</w:t>
            </w:r>
          </w:p>
        </w:tc>
      </w:tr>
      <w:tr w:rsidR="009F2161" w:rsidRPr="009F2161" w14:paraId="39F6EED1" w14:textId="77777777" w:rsidTr="009F2161">
        <w:trPr>
          <w:trHeight w:val="584"/>
        </w:trPr>
        <w:tc>
          <w:tcPr>
            <w:tcW w:w="900" w:type="dxa"/>
            <w:vAlign w:val="center"/>
            <w:hideMark/>
          </w:tcPr>
          <w:p w14:paraId="68195CB3" w14:textId="77777777" w:rsidR="00570C79" w:rsidRPr="009F2161" w:rsidRDefault="003E5C9F" w:rsidP="009F2161">
            <w:pPr>
              <w:jc w:val="center"/>
            </w:pPr>
            <w:r w:rsidRPr="009F2161">
              <w:t>6</w:t>
            </w:r>
          </w:p>
        </w:tc>
        <w:tc>
          <w:tcPr>
            <w:tcW w:w="1980" w:type="dxa"/>
            <w:vAlign w:val="center"/>
            <w:hideMark/>
          </w:tcPr>
          <w:p w14:paraId="300623A8" w14:textId="77777777" w:rsidR="00570C79" w:rsidRPr="009F2161" w:rsidRDefault="003E5C9F" w:rsidP="009F2161">
            <w:r w:rsidRPr="009F2161">
              <w:t>SNP array</w:t>
            </w:r>
          </w:p>
        </w:tc>
        <w:tc>
          <w:tcPr>
            <w:tcW w:w="2610" w:type="dxa"/>
            <w:vAlign w:val="center"/>
            <w:hideMark/>
          </w:tcPr>
          <w:p w14:paraId="7692BBB2" w14:textId="77777777" w:rsidR="003E5C9F" w:rsidRPr="009F2161" w:rsidRDefault="003E5C9F" w:rsidP="009F2161">
            <w:r w:rsidRPr="009F2161">
              <w:t>Class1</w:t>
            </w:r>
            <w:r w:rsidRPr="009F2161">
              <w:rPr>
                <w:vertAlign w:val="superscript"/>
              </w:rPr>
              <w:t>PRAME+/met+</w:t>
            </w:r>
            <w:r w:rsidRPr="009F2161">
              <w:t xml:space="preserve"> (n = 6) Class1</w:t>
            </w:r>
            <w:r w:rsidRPr="009F2161">
              <w:rPr>
                <w:vertAlign w:val="superscript"/>
              </w:rPr>
              <w:t>PRAME+/met-</w:t>
            </w:r>
            <w:r w:rsidRPr="009F2161">
              <w:t xml:space="preserve"> (n = 3)</w:t>
            </w:r>
          </w:p>
          <w:p w14:paraId="7637896E" w14:textId="77777777" w:rsidR="00570C79" w:rsidRPr="009F2161" w:rsidRDefault="003E5C9F" w:rsidP="009F2161">
            <w:r w:rsidRPr="009F2161">
              <w:t>Class1</w:t>
            </w:r>
            <w:r w:rsidRPr="009F2161">
              <w:rPr>
                <w:vertAlign w:val="superscript"/>
              </w:rPr>
              <w:t xml:space="preserve">PRAME-/met- </w:t>
            </w:r>
            <w:r w:rsidRPr="009F2161">
              <w:t>(n = 3)</w:t>
            </w:r>
          </w:p>
        </w:tc>
        <w:tc>
          <w:tcPr>
            <w:tcW w:w="1710" w:type="dxa"/>
            <w:vAlign w:val="center"/>
            <w:hideMark/>
          </w:tcPr>
          <w:p w14:paraId="4BA04536" w14:textId="77777777" w:rsidR="00570C79" w:rsidRPr="009F2161" w:rsidRDefault="009F2161" w:rsidP="009F2161">
            <w:pPr>
              <w:jc w:val="center"/>
            </w:pPr>
            <w:r>
              <w:t>None</w:t>
            </w:r>
          </w:p>
        </w:tc>
        <w:tc>
          <w:tcPr>
            <w:tcW w:w="3240" w:type="dxa"/>
            <w:vAlign w:val="center"/>
            <w:hideMark/>
          </w:tcPr>
          <w:p w14:paraId="5E8BF305" w14:textId="77777777" w:rsidR="00570C79" w:rsidRPr="009F2161" w:rsidRDefault="003E5C9F" w:rsidP="009F2161">
            <w:r w:rsidRPr="009F2161">
              <w:t xml:space="preserve">Class 1 tumors are usually smaller than Class 2 tumors and less commonly treated by enucleation, which is </w:t>
            </w:r>
            <w:r w:rsidR="009F2161">
              <w:t>required</w:t>
            </w:r>
            <w:r w:rsidRPr="009F2161">
              <w:t xml:space="preserve"> to obtain enough tissue for this analysis.  </w:t>
            </w:r>
            <w:r w:rsidR="009F2161">
              <w:t>These were the only samples available.</w:t>
            </w:r>
          </w:p>
        </w:tc>
      </w:tr>
    </w:tbl>
    <w:p w14:paraId="5134A643" w14:textId="3A02968B" w:rsidR="005958D0" w:rsidRPr="00A45453" w:rsidRDefault="00A45453" w:rsidP="009F2161">
      <w:pPr>
        <w:ind w:left="-900"/>
      </w:pPr>
      <w:r>
        <w:rPr>
          <w:b/>
        </w:rPr>
        <w:t xml:space="preserve">Supplementary Table 1. </w:t>
      </w:r>
      <w:r w:rsidR="0083397F">
        <w:rPr>
          <w:b/>
        </w:rPr>
        <w:t xml:space="preserve"> </w:t>
      </w:r>
      <w:bookmarkStart w:id="0" w:name="_GoBack"/>
      <w:bookmarkEnd w:id="0"/>
      <w:r>
        <w:t xml:space="preserve">Molecular analyses </w:t>
      </w:r>
      <w:r w:rsidR="0083397F">
        <w:t>and the order</w:t>
      </w:r>
      <w:r>
        <w:t xml:space="preserve"> in </w:t>
      </w:r>
      <w:r w:rsidR="0083397F">
        <w:t>which they were</w:t>
      </w:r>
      <w:r>
        <w:t xml:space="preserve"> conducted in this study</w:t>
      </w:r>
      <w:r w:rsidR="0083397F">
        <w:t>.</w:t>
      </w:r>
    </w:p>
    <w:sectPr w:rsidR="005958D0" w:rsidRPr="00A45453" w:rsidSect="004B7B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9F"/>
    <w:rsid w:val="003E5C9F"/>
    <w:rsid w:val="004B7BD6"/>
    <w:rsid w:val="004E34DD"/>
    <w:rsid w:val="00570C79"/>
    <w:rsid w:val="005958D0"/>
    <w:rsid w:val="0083397F"/>
    <w:rsid w:val="00841EBD"/>
    <w:rsid w:val="009F2161"/>
    <w:rsid w:val="00A45453"/>
    <w:rsid w:val="00F06727"/>
    <w:rsid w:val="00F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21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1394</Characters>
  <Application>Microsoft Macintosh Word</Application>
  <DocSecurity>0</DocSecurity>
  <Lines>11</Lines>
  <Paragraphs>3</Paragraphs>
  <ScaleCrop>false</ScaleCrop>
  <Company>University of Miami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Harbour</dc:creator>
  <cp:keywords/>
  <dc:description/>
  <cp:lastModifiedBy>James Harbour</cp:lastModifiedBy>
  <cp:revision>6</cp:revision>
  <dcterms:created xsi:type="dcterms:W3CDTF">2015-09-19T19:58:00Z</dcterms:created>
  <dcterms:modified xsi:type="dcterms:W3CDTF">2015-09-22T20:07:00Z</dcterms:modified>
</cp:coreProperties>
</file>