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53A62" w14:textId="77777777" w:rsidR="00AD59FF" w:rsidRPr="00ED347B" w:rsidRDefault="00AD59FF" w:rsidP="00AD59FF">
      <w:pPr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347B">
        <w:rPr>
          <w:rFonts w:ascii="Arial" w:hAnsi="Arial" w:cs="Arial"/>
          <w:b/>
          <w:sz w:val="24"/>
          <w:szCs w:val="24"/>
        </w:rPr>
        <w:t>Supplemental Materials</w:t>
      </w:r>
    </w:p>
    <w:p w14:paraId="08653A63" w14:textId="77777777" w:rsidR="00AD59FF" w:rsidRPr="00ED347B" w:rsidRDefault="00AD59FF" w:rsidP="00AD59FF">
      <w:pPr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ED347B">
        <w:rPr>
          <w:rFonts w:ascii="Arial" w:hAnsi="Arial" w:cs="Arial"/>
          <w:b/>
          <w:sz w:val="24"/>
          <w:szCs w:val="24"/>
        </w:rPr>
        <w:t>Study design and patient eligibility</w:t>
      </w:r>
    </w:p>
    <w:p w14:paraId="08653A64" w14:textId="77777777" w:rsidR="00AD59FF" w:rsidRPr="005043D1" w:rsidRDefault="00AD59FF" w:rsidP="00AD59FF">
      <w:pPr>
        <w:spacing w:after="0" w:line="480" w:lineRule="auto"/>
        <w:ind w:firstLine="288"/>
        <w:contextualSpacing/>
        <w:rPr>
          <w:rFonts w:ascii="Arial" w:hAnsi="Arial" w:cs="Arial"/>
          <w:sz w:val="24"/>
          <w:szCs w:val="24"/>
        </w:rPr>
      </w:pPr>
      <w:r w:rsidRPr="005043D1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P</w:t>
      </w:r>
      <w:r w:rsidRPr="005043D1">
        <w:rPr>
          <w:rFonts w:ascii="Arial" w:hAnsi="Arial" w:cs="Arial"/>
          <w:sz w:val="24"/>
          <w:szCs w:val="24"/>
        </w:rPr>
        <w:t xml:space="preserve">art A, eligible patients received </w:t>
      </w:r>
      <w:r w:rsidRPr="005043D1">
        <w:rPr>
          <w:rFonts w:ascii="Arial" w:hAnsi="Arial" w:cs="Arial"/>
          <w:bCs/>
          <w:sz w:val="24"/>
          <w:szCs w:val="24"/>
        </w:rPr>
        <w:t>ralimetinib</w:t>
      </w:r>
      <w:r w:rsidRPr="005043D1">
        <w:rPr>
          <w:rFonts w:ascii="Arial" w:hAnsi="Arial" w:cs="Arial"/>
          <w:sz w:val="24"/>
          <w:szCs w:val="24"/>
        </w:rPr>
        <w:t xml:space="preserve"> Q12H at dose levels ranging from 10 to 560 mg either as capsules or tablets on days 1-14 on a 28-day cycle until the criteria for maximum tolerated dose (MTD) were met.  In </w:t>
      </w:r>
      <w:r>
        <w:rPr>
          <w:rFonts w:ascii="Arial" w:hAnsi="Arial" w:cs="Arial"/>
          <w:sz w:val="24"/>
          <w:szCs w:val="24"/>
        </w:rPr>
        <w:t>P</w:t>
      </w:r>
      <w:r w:rsidRPr="005043D1">
        <w:rPr>
          <w:rFonts w:ascii="Arial" w:hAnsi="Arial" w:cs="Arial"/>
          <w:sz w:val="24"/>
          <w:szCs w:val="24"/>
        </w:rPr>
        <w:t xml:space="preserve">art B, patients were treated with 420 mg Q12H of </w:t>
      </w:r>
      <w:r w:rsidRPr="005043D1">
        <w:rPr>
          <w:rFonts w:ascii="Arial" w:hAnsi="Arial" w:cs="Arial"/>
          <w:bCs/>
          <w:sz w:val="24"/>
          <w:szCs w:val="24"/>
        </w:rPr>
        <w:t>ralimetinib</w:t>
      </w:r>
      <w:r w:rsidRPr="005043D1">
        <w:rPr>
          <w:rFonts w:ascii="Arial" w:hAnsi="Arial" w:cs="Arial"/>
          <w:sz w:val="24"/>
          <w:szCs w:val="24"/>
        </w:rPr>
        <w:t xml:space="preserve"> on days 1-14 on a 28-day cycle.  </w:t>
      </w:r>
      <w:r w:rsidRPr="005043D1">
        <w:rPr>
          <w:rFonts w:ascii="Arial" w:eastAsia="TimesNewRoman" w:hAnsi="Arial" w:cs="Arial"/>
          <w:sz w:val="24"/>
          <w:szCs w:val="24"/>
        </w:rPr>
        <w:t xml:space="preserve">During the DDI sub-study, patients received 2 mg of midazolam orally 2 days before starting </w:t>
      </w:r>
      <w:r w:rsidRPr="005043D1">
        <w:rPr>
          <w:rFonts w:ascii="Arial" w:hAnsi="Arial" w:cs="Arial"/>
          <w:bCs/>
          <w:sz w:val="24"/>
          <w:szCs w:val="24"/>
        </w:rPr>
        <w:t>ralimetinib</w:t>
      </w:r>
      <w:r w:rsidRPr="005043D1">
        <w:rPr>
          <w:rFonts w:ascii="Arial" w:eastAsia="TimesNewRoman" w:hAnsi="Arial" w:cs="Arial"/>
          <w:sz w:val="24"/>
          <w:szCs w:val="24"/>
        </w:rPr>
        <w:t xml:space="preserve"> and again with the morning dose of </w:t>
      </w:r>
      <w:r w:rsidRPr="005043D1">
        <w:rPr>
          <w:rFonts w:ascii="Arial" w:hAnsi="Arial" w:cs="Arial"/>
          <w:bCs/>
          <w:sz w:val="24"/>
          <w:szCs w:val="24"/>
        </w:rPr>
        <w:t>ralimetinib</w:t>
      </w:r>
      <w:r w:rsidRPr="005043D1">
        <w:rPr>
          <w:rFonts w:ascii="Arial" w:eastAsia="TimesNewRoman" w:hAnsi="Arial" w:cs="Arial"/>
          <w:sz w:val="24"/>
          <w:szCs w:val="24"/>
        </w:rPr>
        <w:t xml:space="preserve"> on day 8 in cycle 1 only.  Dosing with </w:t>
      </w:r>
      <w:r w:rsidRPr="005043D1">
        <w:rPr>
          <w:rFonts w:ascii="Arial" w:hAnsi="Arial" w:cs="Arial"/>
          <w:bCs/>
          <w:sz w:val="24"/>
          <w:szCs w:val="24"/>
        </w:rPr>
        <w:t>ralimetinib</w:t>
      </w:r>
      <w:r w:rsidRPr="005043D1">
        <w:rPr>
          <w:rFonts w:ascii="Arial" w:eastAsia="TimesNewRoman" w:hAnsi="Arial" w:cs="Arial"/>
          <w:sz w:val="24"/>
          <w:szCs w:val="24"/>
        </w:rPr>
        <w:t xml:space="preserve"> continued uninterrupted on days 1-14 in </w:t>
      </w:r>
      <w:r>
        <w:rPr>
          <w:rFonts w:ascii="Arial" w:eastAsia="TimesNewRoman" w:hAnsi="Arial" w:cs="Arial"/>
          <w:sz w:val="24"/>
          <w:szCs w:val="24"/>
        </w:rPr>
        <w:t>P</w:t>
      </w:r>
      <w:r w:rsidRPr="005043D1">
        <w:rPr>
          <w:rFonts w:ascii="Arial" w:eastAsia="TimesNewRoman" w:hAnsi="Arial" w:cs="Arial"/>
          <w:sz w:val="24"/>
          <w:szCs w:val="24"/>
        </w:rPr>
        <w:t xml:space="preserve">art B. After review of the </w:t>
      </w:r>
      <w:r>
        <w:rPr>
          <w:rFonts w:ascii="Arial" w:eastAsia="TimesNewRoman" w:hAnsi="Arial" w:cs="Arial"/>
          <w:sz w:val="24"/>
          <w:szCs w:val="24"/>
        </w:rPr>
        <w:t>P</w:t>
      </w:r>
      <w:r w:rsidRPr="005043D1">
        <w:rPr>
          <w:rFonts w:ascii="Arial" w:eastAsia="TimesNewRoman" w:hAnsi="Arial" w:cs="Arial"/>
          <w:sz w:val="24"/>
          <w:szCs w:val="24"/>
        </w:rPr>
        <w:t xml:space="preserve">art B safety data, the dose was de-escalated and </w:t>
      </w:r>
      <w:r>
        <w:rPr>
          <w:rFonts w:ascii="Arial" w:eastAsia="TimesNewRoman" w:hAnsi="Arial" w:cs="Arial"/>
          <w:sz w:val="24"/>
          <w:szCs w:val="24"/>
        </w:rPr>
        <w:t>P</w:t>
      </w:r>
      <w:r w:rsidRPr="005043D1">
        <w:rPr>
          <w:rFonts w:ascii="Arial" w:eastAsia="TimesNewRoman" w:hAnsi="Arial" w:cs="Arial"/>
          <w:sz w:val="24"/>
          <w:szCs w:val="24"/>
        </w:rPr>
        <w:t>art C</w:t>
      </w:r>
      <w:r>
        <w:rPr>
          <w:rFonts w:ascii="Arial" w:eastAsia="TimesNewRoman" w:hAnsi="Arial" w:cs="Arial"/>
          <w:sz w:val="24"/>
          <w:szCs w:val="24"/>
        </w:rPr>
        <w:t>)</w:t>
      </w:r>
      <w:r w:rsidRPr="005043D1">
        <w:rPr>
          <w:rFonts w:ascii="Arial" w:eastAsia="TimesNewRoman" w:hAnsi="Arial" w:cs="Arial"/>
          <w:sz w:val="24"/>
          <w:szCs w:val="24"/>
        </w:rPr>
        <w:t xml:space="preserve"> was initiated to obtain additional data on the recommended phase II dose, safety, PK/PD and efficacy of </w:t>
      </w:r>
      <w:r w:rsidRPr="005043D1">
        <w:rPr>
          <w:rFonts w:ascii="Arial" w:hAnsi="Arial" w:cs="Arial"/>
          <w:sz w:val="24"/>
          <w:szCs w:val="24"/>
        </w:rPr>
        <w:t xml:space="preserve">300 mg Q12H of </w:t>
      </w:r>
      <w:r w:rsidRPr="005043D1">
        <w:rPr>
          <w:rFonts w:ascii="Arial" w:hAnsi="Arial" w:cs="Arial"/>
          <w:bCs/>
          <w:sz w:val="24"/>
          <w:szCs w:val="24"/>
        </w:rPr>
        <w:t>ralimetinib</w:t>
      </w:r>
      <w:r w:rsidRPr="005043D1">
        <w:rPr>
          <w:rFonts w:ascii="Arial" w:hAnsi="Arial" w:cs="Arial"/>
          <w:sz w:val="24"/>
          <w:szCs w:val="24"/>
        </w:rPr>
        <w:t xml:space="preserve"> on days 1-14 on a 28-day cycle.  Part D consisted of an expansion cohort of patients with hormone receptor-positive metastatic breast cancer with prior progression or intolerance to aromatase inhibitors who received 200 or 300 mg of </w:t>
      </w:r>
      <w:r w:rsidRPr="005043D1">
        <w:rPr>
          <w:rFonts w:ascii="Arial" w:hAnsi="Arial" w:cs="Arial"/>
          <w:bCs/>
          <w:sz w:val="24"/>
          <w:szCs w:val="24"/>
        </w:rPr>
        <w:t>ralimetinib</w:t>
      </w:r>
      <w:r w:rsidRPr="005043D1">
        <w:rPr>
          <w:rFonts w:ascii="Arial" w:hAnsi="Arial" w:cs="Arial"/>
          <w:sz w:val="24"/>
          <w:szCs w:val="24"/>
        </w:rPr>
        <w:t xml:space="preserve"> Q12H days 1-14 in combination with </w:t>
      </w:r>
      <w:proofErr w:type="spellStart"/>
      <w:r w:rsidRPr="005043D1">
        <w:rPr>
          <w:rFonts w:ascii="Arial" w:hAnsi="Arial" w:cs="Arial"/>
          <w:sz w:val="24"/>
          <w:szCs w:val="24"/>
        </w:rPr>
        <w:t>tamoxifen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 20 mg every 24 hours administered on days 1-28 on a 28-day cycle.  </w:t>
      </w:r>
    </w:p>
    <w:p w14:paraId="08653A65" w14:textId="77777777" w:rsidR="00AD59FF" w:rsidRPr="00ED347B" w:rsidRDefault="00AD59FF" w:rsidP="00AD59FF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14:paraId="08653A66" w14:textId="77777777" w:rsidR="00AD59FF" w:rsidRPr="00ED347B" w:rsidRDefault="00AD59FF" w:rsidP="00AD59F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D347B">
        <w:rPr>
          <w:rFonts w:ascii="Arial" w:hAnsi="Arial" w:cs="Arial"/>
          <w:b/>
          <w:sz w:val="24"/>
          <w:szCs w:val="24"/>
        </w:rPr>
        <w:t>Pharmacokinetic studies</w:t>
      </w:r>
    </w:p>
    <w:p w14:paraId="08653A67" w14:textId="77777777" w:rsidR="00AD59FF" w:rsidRPr="005043D1" w:rsidRDefault="00AD59FF" w:rsidP="00AD59FF">
      <w:pPr>
        <w:spacing w:after="0" w:line="480" w:lineRule="auto"/>
        <w:ind w:firstLine="288"/>
        <w:rPr>
          <w:rFonts w:ascii="Arial" w:hAnsi="Arial" w:cs="Arial"/>
          <w:sz w:val="24"/>
          <w:szCs w:val="24"/>
        </w:rPr>
      </w:pPr>
      <w:r w:rsidRPr="005043D1">
        <w:rPr>
          <w:rFonts w:ascii="Arial" w:hAnsi="Arial" w:cs="Arial"/>
          <w:bCs/>
          <w:sz w:val="24"/>
          <w:szCs w:val="24"/>
        </w:rPr>
        <w:t>Ralimetinib</w:t>
      </w:r>
      <w:r w:rsidRPr="005043D1">
        <w:rPr>
          <w:rFonts w:ascii="Arial" w:hAnsi="Arial" w:cs="Arial"/>
          <w:sz w:val="24"/>
          <w:szCs w:val="24"/>
        </w:rPr>
        <w:t xml:space="preserve"> drug concentrations were determined for all patients using a validated liquid chromatography/tandem mass spectrometry (LC/MS/MS) method. For </w:t>
      </w:r>
      <w:r w:rsidRPr="005043D1">
        <w:rPr>
          <w:rFonts w:ascii="Arial" w:hAnsi="Arial" w:cs="Arial"/>
          <w:bCs/>
          <w:sz w:val="24"/>
          <w:szCs w:val="24"/>
        </w:rPr>
        <w:t>ralimetinib</w:t>
      </w:r>
      <w:r w:rsidRPr="005043D1">
        <w:rPr>
          <w:rFonts w:ascii="Arial" w:hAnsi="Arial" w:cs="Arial"/>
          <w:sz w:val="24"/>
          <w:szCs w:val="24"/>
        </w:rPr>
        <w:t xml:space="preserve">, the lower limit of quantification was 1 ng/mL and the upper limit of quantification was </w:t>
      </w:r>
      <w:proofErr w:type="gramStart"/>
      <w:r w:rsidRPr="005043D1">
        <w:rPr>
          <w:rFonts w:ascii="Arial" w:hAnsi="Arial" w:cs="Arial"/>
          <w:sz w:val="24"/>
          <w:szCs w:val="24"/>
        </w:rPr>
        <w:t>100 ng/</w:t>
      </w:r>
      <w:proofErr w:type="spellStart"/>
      <w:r w:rsidRPr="005043D1">
        <w:rPr>
          <w:rFonts w:ascii="Arial" w:hAnsi="Arial" w:cs="Arial"/>
          <w:sz w:val="24"/>
          <w:szCs w:val="24"/>
        </w:rPr>
        <w:t>mL</w:t>
      </w:r>
      <w:proofErr w:type="gramEnd"/>
      <w:r w:rsidRPr="005043D1">
        <w:rPr>
          <w:rFonts w:ascii="Arial" w:hAnsi="Arial" w:cs="Arial"/>
          <w:sz w:val="24"/>
          <w:szCs w:val="24"/>
        </w:rPr>
        <w:t>.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5043D1">
        <w:rPr>
          <w:rFonts w:ascii="Arial" w:hAnsi="Arial" w:cs="Arial"/>
          <w:sz w:val="24"/>
          <w:szCs w:val="24"/>
        </w:rPr>
        <w:t>interassay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 accuracy (% relative error) during validation ranged from -5.00% to 3.36% and the </w:t>
      </w:r>
      <w:proofErr w:type="spellStart"/>
      <w:r w:rsidRPr="005043D1">
        <w:rPr>
          <w:rFonts w:ascii="Arial" w:hAnsi="Arial" w:cs="Arial"/>
          <w:sz w:val="24"/>
          <w:szCs w:val="24"/>
        </w:rPr>
        <w:t>interassay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 precision (% relative SD) during validation was </w:t>
      </w:r>
      <w:r w:rsidRPr="005043D1">
        <w:rPr>
          <w:rFonts w:ascii="Arial" w:hAnsi="Arial" w:cs="Arial"/>
          <w:sz w:val="24"/>
          <w:szCs w:val="24"/>
        </w:rPr>
        <w:lastRenderedPageBreak/>
        <w:t>≤5.26%.  For midazolam and 1’</w:t>
      </w:r>
      <w:r w:rsidRPr="005043D1">
        <w:rPr>
          <w:rFonts w:ascii="Arial" w:hAnsi="Arial" w:cs="Arial"/>
          <w:sz w:val="24"/>
          <w:szCs w:val="24"/>
        </w:rPr>
        <w:noBreakHyphen/>
        <w:t xml:space="preserve">hydroxymidazolam, the lower limit of quantitation was </w:t>
      </w:r>
      <w:proofErr w:type="gramStart"/>
      <w:r w:rsidRPr="005043D1">
        <w:rPr>
          <w:rFonts w:ascii="Arial" w:hAnsi="Arial" w:cs="Arial"/>
          <w:sz w:val="24"/>
          <w:szCs w:val="24"/>
        </w:rPr>
        <w:t>0.1 ng/mL</w:t>
      </w:r>
      <w:proofErr w:type="gramEnd"/>
      <w:r w:rsidRPr="005043D1">
        <w:rPr>
          <w:rFonts w:ascii="Arial" w:hAnsi="Arial" w:cs="Arial"/>
          <w:sz w:val="24"/>
          <w:szCs w:val="24"/>
        </w:rPr>
        <w:t xml:space="preserve"> and the upper limit of quantitation was 100 ng/</w:t>
      </w:r>
      <w:proofErr w:type="spellStart"/>
      <w:r w:rsidRPr="005043D1">
        <w:rPr>
          <w:rFonts w:ascii="Arial" w:hAnsi="Arial" w:cs="Arial"/>
          <w:sz w:val="24"/>
          <w:szCs w:val="24"/>
        </w:rPr>
        <w:t>mL.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 The </w:t>
      </w:r>
      <w:proofErr w:type="spellStart"/>
      <w:r w:rsidRPr="005043D1">
        <w:rPr>
          <w:rFonts w:ascii="Arial" w:hAnsi="Arial" w:cs="Arial"/>
          <w:sz w:val="24"/>
          <w:szCs w:val="24"/>
        </w:rPr>
        <w:t>interassay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 accuracy (% relative error) during validation ranged from –11.8% to –1.3% for midazolam and from –15.5% to 2.0% for 1’</w:t>
      </w:r>
      <w:r w:rsidRPr="005043D1">
        <w:rPr>
          <w:rFonts w:ascii="Arial" w:hAnsi="Arial" w:cs="Arial"/>
          <w:sz w:val="24"/>
          <w:szCs w:val="24"/>
        </w:rPr>
        <w:noBreakHyphen/>
        <w:t xml:space="preserve">hydroxymidazolam.  The </w:t>
      </w:r>
      <w:proofErr w:type="spellStart"/>
      <w:r w:rsidRPr="005043D1">
        <w:rPr>
          <w:rFonts w:ascii="Arial" w:hAnsi="Arial" w:cs="Arial"/>
          <w:sz w:val="24"/>
          <w:szCs w:val="24"/>
        </w:rPr>
        <w:t>interassay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 precision (% relative SD) during validation was ≤17.9% for midazolam and ≤18.3% for 1’</w:t>
      </w:r>
      <w:r w:rsidRPr="005043D1">
        <w:rPr>
          <w:rFonts w:ascii="Arial" w:hAnsi="Arial" w:cs="Arial"/>
          <w:sz w:val="24"/>
          <w:szCs w:val="24"/>
        </w:rPr>
        <w:noBreakHyphen/>
        <w:t xml:space="preserve">hydroxymidazolam. For </w:t>
      </w:r>
      <w:proofErr w:type="spellStart"/>
      <w:r w:rsidRPr="005043D1">
        <w:rPr>
          <w:rFonts w:ascii="Arial" w:hAnsi="Arial" w:cs="Arial"/>
          <w:sz w:val="24"/>
          <w:szCs w:val="24"/>
        </w:rPr>
        <w:t>tamoxifen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 and its 2 metabolites, the lower limit of quantification was </w:t>
      </w:r>
      <w:proofErr w:type="gramStart"/>
      <w:r w:rsidRPr="005043D1">
        <w:rPr>
          <w:rFonts w:ascii="Arial" w:hAnsi="Arial" w:cs="Arial"/>
          <w:sz w:val="24"/>
          <w:szCs w:val="24"/>
        </w:rPr>
        <w:t>0.5 ng/mL</w:t>
      </w:r>
      <w:proofErr w:type="gramEnd"/>
      <w:r w:rsidRPr="005043D1">
        <w:rPr>
          <w:rFonts w:ascii="Arial" w:hAnsi="Arial" w:cs="Arial"/>
          <w:sz w:val="24"/>
          <w:szCs w:val="24"/>
        </w:rPr>
        <w:t xml:space="preserve"> and the upper limit of quantification was 500 ng/</w:t>
      </w:r>
      <w:proofErr w:type="spellStart"/>
      <w:r w:rsidRPr="005043D1">
        <w:rPr>
          <w:rFonts w:ascii="Arial" w:hAnsi="Arial" w:cs="Arial"/>
          <w:sz w:val="24"/>
          <w:szCs w:val="24"/>
        </w:rPr>
        <w:t>mL.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  For </w:t>
      </w:r>
      <w:proofErr w:type="spellStart"/>
      <w:r w:rsidRPr="005043D1">
        <w:rPr>
          <w:rFonts w:ascii="Arial" w:hAnsi="Arial" w:cs="Arial"/>
          <w:sz w:val="24"/>
          <w:szCs w:val="24"/>
        </w:rPr>
        <w:t>tamoxifen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Pr="005043D1">
        <w:rPr>
          <w:rFonts w:ascii="Arial" w:hAnsi="Arial" w:cs="Arial"/>
          <w:sz w:val="24"/>
          <w:szCs w:val="24"/>
        </w:rPr>
        <w:t>interassay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 accuracy (% relative error) ranged from -1.6% to 0.5% and the </w:t>
      </w:r>
      <w:proofErr w:type="spellStart"/>
      <w:r w:rsidRPr="005043D1">
        <w:rPr>
          <w:rFonts w:ascii="Arial" w:hAnsi="Arial" w:cs="Arial"/>
          <w:sz w:val="24"/>
          <w:szCs w:val="24"/>
        </w:rPr>
        <w:t>interassay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 precision (% relative SD) ranged from 1.8% to 9.9%.  For 4-hydroxytamoxifen, the </w:t>
      </w:r>
      <w:proofErr w:type="spellStart"/>
      <w:r w:rsidRPr="005043D1">
        <w:rPr>
          <w:rFonts w:ascii="Arial" w:hAnsi="Arial" w:cs="Arial"/>
          <w:sz w:val="24"/>
          <w:szCs w:val="24"/>
        </w:rPr>
        <w:t>interassay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 accuracy (% relative error) ranged from 1.7% to 6.3% and the </w:t>
      </w:r>
      <w:proofErr w:type="spellStart"/>
      <w:r w:rsidRPr="005043D1">
        <w:rPr>
          <w:rFonts w:ascii="Arial" w:hAnsi="Arial" w:cs="Arial"/>
          <w:sz w:val="24"/>
          <w:szCs w:val="24"/>
        </w:rPr>
        <w:t>interassay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 precision (% relative SD) ranged from </w:t>
      </w:r>
      <w:r w:rsidRPr="005043D1">
        <w:rPr>
          <w:rFonts w:ascii="Arial" w:hAnsi="Arial" w:cs="Arial"/>
          <w:sz w:val="24"/>
          <w:szCs w:val="24"/>
        </w:rPr>
        <w:noBreakHyphen/>
        <w:t xml:space="preserve">0.4% to 3.3%.  For </w:t>
      </w:r>
      <w:proofErr w:type="spellStart"/>
      <w:r w:rsidRPr="005043D1">
        <w:rPr>
          <w:rFonts w:ascii="Arial" w:hAnsi="Arial" w:cs="Arial"/>
          <w:sz w:val="24"/>
          <w:szCs w:val="24"/>
        </w:rPr>
        <w:t>endoxifen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, the </w:t>
      </w:r>
      <w:proofErr w:type="spellStart"/>
      <w:r w:rsidRPr="005043D1">
        <w:rPr>
          <w:rFonts w:ascii="Arial" w:hAnsi="Arial" w:cs="Arial"/>
          <w:sz w:val="24"/>
          <w:szCs w:val="24"/>
        </w:rPr>
        <w:t>interassay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 accuracy (% relative error) ranged from </w:t>
      </w:r>
      <w:r w:rsidRPr="005043D1">
        <w:rPr>
          <w:rFonts w:ascii="Arial" w:hAnsi="Arial" w:cs="Arial"/>
          <w:sz w:val="24"/>
          <w:szCs w:val="24"/>
        </w:rPr>
        <w:noBreakHyphen/>
        <w:t xml:space="preserve">9.2% to </w:t>
      </w:r>
      <w:r w:rsidRPr="005043D1">
        <w:rPr>
          <w:rFonts w:ascii="Arial" w:hAnsi="Arial" w:cs="Arial"/>
          <w:sz w:val="24"/>
          <w:szCs w:val="24"/>
        </w:rPr>
        <w:noBreakHyphen/>
        <w:t xml:space="preserve">1.5% and the </w:t>
      </w:r>
      <w:proofErr w:type="spellStart"/>
      <w:r w:rsidRPr="005043D1">
        <w:rPr>
          <w:rFonts w:ascii="Arial" w:hAnsi="Arial" w:cs="Arial"/>
          <w:sz w:val="24"/>
          <w:szCs w:val="24"/>
        </w:rPr>
        <w:t>interassay</w:t>
      </w:r>
      <w:proofErr w:type="spellEnd"/>
      <w:r w:rsidRPr="005043D1">
        <w:rPr>
          <w:rFonts w:ascii="Arial" w:hAnsi="Arial" w:cs="Arial"/>
          <w:sz w:val="24"/>
          <w:szCs w:val="24"/>
        </w:rPr>
        <w:t xml:space="preserve"> precision (% relative SD) ranged from 3.2% to 10.1%.</w:t>
      </w:r>
    </w:p>
    <w:p w14:paraId="08653A68" w14:textId="77777777" w:rsidR="00AD59FF" w:rsidRPr="00ED347B" w:rsidRDefault="00AD59FF" w:rsidP="00AD59F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8653A69" w14:textId="77777777" w:rsidR="00AD59FF" w:rsidRPr="00ED347B" w:rsidRDefault="00AD59FF" w:rsidP="00AD59F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D347B">
        <w:rPr>
          <w:rFonts w:ascii="Arial" w:hAnsi="Arial" w:cs="Arial"/>
          <w:b/>
          <w:sz w:val="24"/>
          <w:szCs w:val="24"/>
        </w:rPr>
        <w:t>Pharmacodynamic</w:t>
      </w:r>
      <w:proofErr w:type="spellEnd"/>
      <w:r w:rsidRPr="00ED347B">
        <w:rPr>
          <w:rFonts w:ascii="Arial" w:hAnsi="Arial" w:cs="Arial"/>
          <w:b/>
          <w:sz w:val="24"/>
          <w:szCs w:val="24"/>
        </w:rPr>
        <w:t xml:space="preserve"> studies</w:t>
      </w:r>
    </w:p>
    <w:p w14:paraId="08653A6A" w14:textId="77777777" w:rsidR="00AD59FF" w:rsidRPr="00ED347B" w:rsidRDefault="00AD59FF" w:rsidP="00AD59FF">
      <w:pPr>
        <w:spacing w:line="480" w:lineRule="auto"/>
        <w:ind w:firstLine="288"/>
        <w:rPr>
          <w:rFonts w:ascii="Arial" w:hAnsi="Arial" w:cs="Arial"/>
          <w:sz w:val="24"/>
          <w:szCs w:val="24"/>
        </w:rPr>
      </w:pPr>
      <w:r w:rsidRPr="00ED347B">
        <w:rPr>
          <w:rFonts w:ascii="Arial" w:hAnsi="Arial" w:cs="Arial"/>
          <w:sz w:val="24"/>
          <w:szCs w:val="24"/>
        </w:rPr>
        <w:t xml:space="preserve">Intracellular levels of pMAPKAP-K2 were measured in peripheral blood mononuclear cells by flow cytometry following methodology previously published by </w:t>
      </w:r>
      <w:proofErr w:type="spellStart"/>
      <w:r w:rsidRPr="00ED347B">
        <w:rPr>
          <w:rFonts w:ascii="Arial" w:hAnsi="Arial" w:cs="Arial"/>
          <w:sz w:val="24"/>
          <w:szCs w:val="24"/>
        </w:rPr>
        <w:t>Esoterix</w:t>
      </w:r>
      <w:proofErr w:type="spellEnd"/>
      <w:r w:rsidRPr="00ED347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D347B">
        <w:rPr>
          <w:rFonts w:ascii="Arial" w:hAnsi="Arial" w:cs="Arial"/>
          <w:sz w:val="24"/>
          <w:szCs w:val="24"/>
        </w:rPr>
        <w:t>Esoterix</w:t>
      </w:r>
      <w:proofErr w:type="spellEnd"/>
      <w:r w:rsidRPr="00ED347B">
        <w:rPr>
          <w:rFonts w:ascii="Arial" w:hAnsi="Arial" w:cs="Arial"/>
          <w:sz w:val="24"/>
          <w:szCs w:val="24"/>
        </w:rPr>
        <w:t xml:space="preserve">, US Patent No. 7326577).  Briefly, CD3-FITC (BD Biosciences #349201) and CD14-PE (BD </w:t>
      </w:r>
      <w:proofErr w:type="spellStart"/>
      <w:r w:rsidRPr="00ED347B">
        <w:rPr>
          <w:rFonts w:ascii="Arial" w:hAnsi="Arial" w:cs="Arial"/>
          <w:sz w:val="24"/>
          <w:szCs w:val="24"/>
        </w:rPr>
        <w:t>Pharmingen</w:t>
      </w:r>
      <w:proofErr w:type="spellEnd"/>
      <w:r w:rsidRPr="00ED347B">
        <w:rPr>
          <w:rFonts w:ascii="Arial" w:hAnsi="Arial" w:cs="Arial"/>
          <w:sz w:val="24"/>
          <w:szCs w:val="24"/>
        </w:rPr>
        <w:t xml:space="preserve"> #555398) were added to plasma from patients. The samples were then fixed (</w:t>
      </w:r>
      <w:proofErr w:type="spellStart"/>
      <w:r w:rsidRPr="00ED347B">
        <w:rPr>
          <w:rFonts w:ascii="Arial" w:hAnsi="Arial" w:cs="Arial"/>
          <w:sz w:val="24"/>
          <w:szCs w:val="24"/>
        </w:rPr>
        <w:t>Esoterix</w:t>
      </w:r>
      <w:proofErr w:type="spellEnd"/>
      <w:r w:rsidRPr="00ED347B">
        <w:rPr>
          <w:rFonts w:ascii="Arial" w:hAnsi="Arial" w:cs="Arial"/>
          <w:sz w:val="24"/>
          <w:szCs w:val="24"/>
        </w:rPr>
        <w:t xml:space="preserve">, US Patent No. 7326577), and pMAPKAPK-2-Alexa Fluor 647 (Cell Signaling Technology #4320) was added.  The samples were then analyzed on </w:t>
      </w:r>
      <w:proofErr w:type="spellStart"/>
      <w:r w:rsidRPr="00ED347B">
        <w:rPr>
          <w:rFonts w:ascii="Arial" w:hAnsi="Arial" w:cs="Arial"/>
          <w:sz w:val="24"/>
          <w:szCs w:val="24"/>
        </w:rPr>
        <w:t>FACSCalibur</w:t>
      </w:r>
      <w:proofErr w:type="spellEnd"/>
      <w:r w:rsidRPr="00ED347B">
        <w:rPr>
          <w:rFonts w:ascii="Arial" w:hAnsi="Arial" w:cs="Arial"/>
          <w:sz w:val="24"/>
          <w:szCs w:val="24"/>
        </w:rPr>
        <w:t xml:space="preserve"> flow cytometer (BD Biosciences) and pMAPKAP</w:t>
      </w:r>
      <w:r>
        <w:rPr>
          <w:rFonts w:ascii="Arial" w:hAnsi="Arial" w:cs="Arial"/>
          <w:sz w:val="24"/>
          <w:szCs w:val="24"/>
        </w:rPr>
        <w:t>-K</w:t>
      </w:r>
      <w:r w:rsidRPr="00ED347B">
        <w:rPr>
          <w:rFonts w:ascii="Arial" w:hAnsi="Arial" w:cs="Arial"/>
          <w:sz w:val="24"/>
          <w:szCs w:val="24"/>
        </w:rPr>
        <w:t xml:space="preserve">2 levels were assessed in the CD14 positive monocyte population. </w:t>
      </w:r>
    </w:p>
    <w:p w14:paraId="08653A6B" w14:textId="77777777" w:rsidR="00AD59FF" w:rsidRPr="00C31D88" w:rsidRDefault="0041688B" w:rsidP="00AD59FF">
      <w:pPr>
        <w:spacing w:after="0"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</w:t>
      </w:r>
      <w:r w:rsidR="00AD59FF" w:rsidRPr="00C31D88">
        <w:rPr>
          <w:rFonts w:ascii="Arial" w:hAnsi="Arial" w:cs="Arial"/>
          <w:b/>
        </w:rPr>
        <w:t xml:space="preserve">ble S1. </w:t>
      </w:r>
      <w:r w:rsidR="00AD59FF">
        <w:rPr>
          <w:rFonts w:ascii="Arial" w:hAnsi="Arial" w:cs="Arial"/>
          <w:b/>
        </w:rPr>
        <w:t>Summary of baseline pathological diagnosis</w:t>
      </w:r>
    </w:p>
    <w:tbl>
      <w:tblPr>
        <w:tblStyle w:val="TableGrid"/>
        <w:tblW w:w="97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63"/>
        <w:gridCol w:w="1521"/>
        <w:gridCol w:w="1464"/>
        <w:gridCol w:w="1521"/>
        <w:gridCol w:w="1408"/>
        <w:gridCol w:w="1463"/>
      </w:tblGrid>
      <w:tr w:rsidR="00AD59FF" w:rsidRPr="00ED347B" w14:paraId="08653A77" w14:textId="77777777" w:rsidTr="00056FB7">
        <w:trPr>
          <w:trHeight w:val="317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6C" w14:textId="77777777" w:rsidR="00AD59FF" w:rsidRPr="00ED347B" w:rsidRDefault="00AD59FF" w:rsidP="00056FB7">
            <w:pPr>
              <w:rPr>
                <w:rFonts w:ascii="Arial" w:hAnsi="Arial" w:cs="Arial"/>
                <w:b/>
              </w:rPr>
            </w:pPr>
            <w:r w:rsidRPr="00ED347B">
              <w:rPr>
                <w:rFonts w:ascii="Arial" w:hAnsi="Arial" w:cs="Arial"/>
                <w:b/>
              </w:rPr>
              <w:t>Characteristic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6D" w14:textId="77777777" w:rsidR="00AD59FF" w:rsidRPr="00ED347B" w:rsidRDefault="00AD59FF" w:rsidP="00056F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A</w:t>
            </w:r>
          </w:p>
          <w:p w14:paraId="08653A6E" w14:textId="77777777" w:rsidR="00AD59FF" w:rsidRPr="00ED347B" w:rsidRDefault="00AD59FF" w:rsidP="00056FB7">
            <w:pPr>
              <w:jc w:val="center"/>
              <w:rPr>
                <w:rFonts w:ascii="Arial" w:hAnsi="Arial" w:cs="Arial"/>
                <w:b/>
              </w:rPr>
            </w:pPr>
            <w:r w:rsidRPr="00ED347B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6F" w14:textId="77777777" w:rsidR="00AD59FF" w:rsidRPr="00ED347B" w:rsidRDefault="00AD59FF" w:rsidP="00056F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B</w:t>
            </w:r>
          </w:p>
          <w:p w14:paraId="08653A70" w14:textId="77777777" w:rsidR="00AD59FF" w:rsidRPr="00ED347B" w:rsidRDefault="00AD59FF" w:rsidP="00056FB7">
            <w:pPr>
              <w:jc w:val="center"/>
              <w:rPr>
                <w:rFonts w:ascii="Arial" w:hAnsi="Arial" w:cs="Arial"/>
                <w:b/>
              </w:rPr>
            </w:pPr>
            <w:r w:rsidRPr="00ED347B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71" w14:textId="77777777" w:rsidR="00AD59FF" w:rsidRPr="00ED347B" w:rsidRDefault="00AD59FF" w:rsidP="00056F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C</w:t>
            </w:r>
          </w:p>
          <w:p w14:paraId="08653A72" w14:textId="77777777" w:rsidR="00AD59FF" w:rsidRPr="00ED347B" w:rsidRDefault="00AD59FF" w:rsidP="00056FB7">
            <w:pPr>
              <w:jc w:val="center"/>
              <w:rPr>
                <w:rFonts w:ascii="Arial" w:hAnsi="Arial" w:cs="Arial"/>
                <w:b/>
              </w:rPr>
            </w:pPr>
            <w:r w:rsidRPr="00ED347B">
              <w:rPr>
                <w:rFonts w:ascii="Arial" w:hAnsi="Arial" w:cs="Arial"/>
                <w:b/>
              </w:rPr>
              <w:t>n=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73" w14:textId="77777777" w:rsidR="00AD59FF" w:rsidRDefault="00AD59FF" w:rsidP="00056F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D</w:t>
            </w:r>
          </w:p>
          <w:p w14:paraId="08653A74" w14:textId="77777777" w:rsidR="00AD59FF" w:rsidRDefault="00AD59FF" w:rsidP="00056F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n=9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75" w14:textId="77777777" w:rsidR="00AD59FF" w:rsidRDefault="00AD59FF" w:rsidP="00056F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  <w:p w14:paraId="08653A76" w14:textId="77777777" w:rsidR="00AD59FF" w:rsidRDefault="00AD59FF" w:rsidP="00056F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n=89</w:t>
            </w:r>
          </w:p>
        </w:tc>
      </w:tr>
      <w:tr w:rsidR="00AD59FF" w:rsidRPr="00ED347B" w14:paraId="08653A7E" w14:textId="77777777" w:rsidTr="00056FB7">
        <w:trPr>
          <w:trHeight w:val="317"/>
        </w:trPr>
        <w:tc>
          <w:tcPr>
            <w:tcW w:w="23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653A78" w14:textId="77777777" w:rsidR="00AD59FF" w:rsidRPr="00ED347B" w:rsidRDefault="00AD59FF" w:rsidP="00056FB7">
            <w:pPr>
              <w:rPr>
                <w:rFonts w:ascii="Arial" w:hAnsi="Arial" w:cs="Arial"/>
              </w:rPr>
            </w:pPr>
            <w:r w:rsidRPr="00ED347B">
              <w:rPr>
                <w:rFonts w:ascii="Arial" w:hAnsi="Arial" w:cs="Arial"/>
              </w:rPr>
              <w:t>Tumor type [n (%)]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79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7A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7B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7C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7D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</w:p>
        </w:tc>
      </w:tr>
      <w:tr w:rsidR="00AD59FF" w:rsidRPr="00ED347B" w14:paraId="08653A85" w14:textId="77777777" w:rsidTr="00056FB7">
        <w:trPr>
          <w:trHeight w:val="318"/>
        </w:trPr>
        <w:tc>
          <w:tcPr>
            <w:tcW w:w="23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653A7F" w14:textId="77777777" w:rsidR="00AD59FF" w:rsidRPr="00ED347B" w:rsidRDefault="00AD59FF" w:rsidP="00056FB7">
            <w:pPr>
              <w:ind w:left="180"/>
              <w:rPr>
                <w:rFonts w:ascii="Arial" w:hAnsi="Arial" w:cs="Arial"/>
              </w:rPr>
            </w:pPr>
            <w:r w:rsidRPr="00ED347B">
              <w:rPr>
                <w:rFonts w:ascii="Arial" w:hAnsi="Arial" w:cs="Arial"/>
              </w:rPr>
              <w:t>Colorectal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80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(33.3)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81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(33.3)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82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(12.5)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83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84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(28.1)</w:t>
            </w:r>
          </w:p>
        </w:tc>
      </w:tr>
      <w:tr w:rsidR="00AD59FF" w:rsidRPr="00ED347B" w14:paraId="08653A8C" w14:textId="77777777" w:rsidTr="00056FB7">
        <w:trPr>
          <w:trHeight w:val="317"/>
        </w:trPr>
        <w:tc>
          <w:tcPr>
            <w:tcW w:w="23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653A86" w14:textId="77777777" w:rsidR="00AD59FF" w:rsidRPr="00ED347B" w:rsidRDefault="00AD59FF" w:rsidP="00056FB7">
            <w:pPr>
              <w:ind w:left="180"/>
              <w:rPr>
                <w:rFonts w:ascii="Arial" w:hAnsi="Arial" w:cs="Arial"/>
              </w:rPr>
            </w:pPr>
            <w:r w:rsidRPr="00ED347B">
              <w:rPr>
                <w:rFonts w:ascii="Arial" w:hAnsi="Arial" w:cs="Arial"/>
              </w:rPr>
              <w:t>Breast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87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(5.6)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88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(22.2)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89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(37.5)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8A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(100.0)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8B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(21.3)</w:t>
            </w:r>
          </w:p>
        </w:tc>
      </w:tr>
      <w:tr w:rsidR="00AD59FF" w:rsidRPr="00ED347B" w14:paraId="08653A93" w14:textId="77777777" w:rsidTr="00056FB7">
        <w:trPr>
          <w:trHeight w:val="317"/>
        </w:trPr>
        <w:tc>
          <w:tcPr>
            <w:tcW w:w="23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653A8D" w14:textId="77777777" w:rsidR="00AD59FF" w:rsidRPr="00ED347B" w:rsidRDefault="00AD59FF" w:rsidP="00056FB7">
            <w:pPr>
              <w:ind w:left="180"/>
              <w:rPr>
                <w:rFonts w:ascii="Arial" w:hAnsi="Arial" w:cs="Arial"/>
              </w:rPr>
            </w:pPr>
            <w:r w:rsidRPr="00ED347B">
              <w:rPr>
                <w:rFonts w:ascii="Arial" w:hAnsi="Arial" w:cs="Arial"/>
              </w:rPr>
              <w:t>Sarcoma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8E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(13.0)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8F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(16.7)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90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(12.5)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91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92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(12.4)</w:t>
            </w:r>
          </w:p>
        </w:tc>
      </w:tr>
      <w:tr w:rsidR="00AD59FF" w:rsidRPr="00ED347B" w14:paraId="08653A9A" w14:textId="77777777" w:rsidTr="00056FB7">
        <w:trPr>
          <w:trHeight w:val="318"/>
        </w:trPr>
        <w:tc>
          <w:tcPr>
            <w:tcW w:w="23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653A94" w14:textId="77777777" w:rsidR="00AD59FF" w:rsidRPr="00ED347B" w:rsidRDefault="00AD59FF" w:rsidP="00056FB7">
            <w:pPr>
              <w:ind w:left="180"/>
              <w:rPr>
                <w:rFonts w:ascii="Arial" w:hAnsi="Arial" w:cs="Arial"/>
              </w:rPr>
            </w:pPr>
            <w:r w:rsidRPr="00ED347B">
              <w:rPr>
                <w:rFonts w:ascii="Arial" w:hAnsi="Arial" w:cs="Arial"/>
              </w:rPr>
              <w:t>NSCLC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95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(5.6)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96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(11.1)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97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(12.5)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98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99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(6.7)</w:t>
            </w:r>
          </w:p>
        </w:tc>
      </w:tr>
      <w:tr w:rsidR="00AD59FF" w:rsidRPr="00ED347B" w14:paraId="08653AA1" w14:textId="77777777" w:rsidTr="00056FB7">
        <w:trPr>
          <w:trHeight w:val="317"/>
        </w:trPr>
        <w:tc>
          <w:tcPr>
            <w:tcW w:w="23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653A9B" w14:textId="77777777" w:rsidR="00AD59FF" w:rsidRPr="00ED347B" w:rsidRDefault="00AD59FF" w:rsidP="00056FB7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Pancreas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9C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(3.7)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9D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(5.6)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9E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(25.0)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9F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A0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(5.6)</w:t>
            </w:r>
          </w:p>
        </w:tc>
      </w:tr>
      <w:tr w:rsidR="00AD59FF" w:rsidRPr="00ED347B" w14:paraId="08653AA8" w14:textId="77777777" w:rsidTr="00056FB7">
        <w:trPr>
          <w:trHeight w:val="317"/>
        </w:trPr>
        <w:tc>
          <w:tcPr>
            <w:tcW w:w="23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653AA2" w14:textId="77777777" w:rsidR="00AD59FF" w:rsidRPr="00ED347B" w:rsidRDefault="00AD59FF" w:rsidP="00056FB7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A3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(7.4)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A4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(5.6)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A5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A6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A7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(5.6)</w:t>
            </w:r>
          </w:p>
        </w:tc>
      </w:tr>
      <w:tr w:rsidR="00AD59FF" w:rsidRPr="00ED347B" w14:paraId="08653AAF" w14:textId="77777777" w:rsidTr="00056FB7">
        <w:trPr>
          <w:trHeight w:val="318"/>
        </w:trPr>
        <w:tc>
          <w:tcPr>
            <w:tcW w:w="23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653AA9" w14:textId="77777777" w:rsidR="00AD59FF" w:rsidRPr="00ED347B" w:rsidRDefault="00AD59FF" w:rsidP="00056FB7">
            <w:pPr>
              <w:ind w:left="180"/>
              <w:rPr>
                <w:rFonts w:ascii="Arial" w:hAnsi="Arial" w:cs="Arial"/>
              </w:rPr>
            </w:pPr>
            <w:r w:rsidRPr="00ED347B">
              <w:rPr>
                <w:rFonts w:ascii="Arial" w:hAnsi="Arial" w:cs="Arial"/>
              </w:rPr>
              <w:t>Melanoma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AA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(5.6)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AB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AC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AD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AE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(3.4)</w:t>
            </w:r>
          </w:p>
        </w:tc>
      </w:tr>
      <w:tr w:rsidR="00AD59FF" w:rsidRPr="00ED347B" w14:paraId="08653AB6" w14:textId="77777777" w:rsidTr="00056FB7">
        <w:trPr>
          <w:trHeight w:val="317"/>
        </w:trPr>
        <w:tc>
          <w:tcPr>
            <w:tcW w:w="23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653AB0" w14:textId="77777777" w:rsidR="00AD59FF" w:rsidRPr="00ED347B" w:rsidRDefault="00AD59FF" w:rsidP="00056FB7">
            <w:pPr>
              <w:ind w:left="180"/>
              <w:rPr>
                <w:rFonts w:ascii="Arial" w:hAnsi="Arial" w:cs="Arial"/>
              </w:rPr>
            </w:pPr>
            <w:r w:rsidRPr="00ED347B">
              <w:rPr>
                <w:rFonts w:ascii="Arial" w:hAnsi="Arial" w:cs="Arial"/>
              </w:rPr>
              <w:t>Ovary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B1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(3.7)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B2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B3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B4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B5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(2.2)</w:t>
            </w:r>
          </w:p>
        </w:tc>
      </w:tr>
      <w:tr w:rsidR="00AD59FF" w:rsidRPr="00ED347B" w14:paraId="08653ABD" w14:textId="77777777" w:rsidTr="00056FB7">
        <w:trPr>
          <w:trHeight w:val="74"/>
        </w:trPr>
        <w:tc>
          <w:tcPr>
            <w:tcW w:w="23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653AB7" w14:textId="77777777" w:rsidR="00AD59FF" w:rsidRPr="00ED347B" w:rsidRDefault="00AD59FF" w:rsidP="00056FB7">
            <w:pPr>
              <w:ind w:left="180"/>
              <w:rPr>
                <w:rFonts w:ascii="Arial" w:hAnsi="Arial" w:cs="Arial"/>
              </w:rPr>
            </w:pPr>
            <w:r w:rsidRPr="00ED347B">
              <w:rPr>
                <w:rFonts w:ascii="Arial" w:hAnsi="Arial" w:cs="Arial"/>
              </w:rPr>
              <w:t>Other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B8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(22.2)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B9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(5.6)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BA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BB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53ABC" w14:textId="77777777" w:rsidR="00AD59FF" w:rsidRPr="00ED347B" w:rsidRDefault="00AD59FF" w:rsidP="00056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(14.6)</w:t>
            </w:r>
          </w:p>
        </w:tc>
      </w:tr>
    </w:tbl>
    <w:p w14:paraId="08653ABE" w14:textId="77777777" w:rsidR="00AD59FF" w:rsidRPr="00ED347B" w:rsidRDefault="00AD59FF" w:rsidP="00AD59FF">
      <w:pPr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</w:p>
    <w:p w14:paraId="08653ABF" w14:textId="77777777" w:rsidR="00AD59FF" w:rsidRPr="00ED347B" w:rsidRDefault="00AD59FF" w:rsidP="00AD59FF">
      <w:pPr>
        <w:keepNext/>
        <w:keepLines/>
        <w:spacing w:before="240" w:after="120" w:line="259" w:lineRule="atLeast"/>
        <w:ind w:left="2304" w:hanging="2304"/>
        <w:rPr>
          <w:rFonts w:ascii="Arial" w:hAnsi="Arial" w:cs="Arial"/>
          <w:b/>
          <w:bCs/>
          <w:szCs w:val="24"/>
        </w:rPr>
      </w:pPr>
      <w:bookmarkStart w:id="1" w:name="_Ref357516409"/>
      <w:bookmarkStart w:id="2" w:name="_Toc406754808"/>
      <w:r w:rsidRPr="00ED347B">
        <w:rPr>
          <w:rFonts w:ascii="Arial" w:hAnsi="Arial" w:cs="Arial"/>
          <w:b/>
          <w:bCs/>
          <w:szCs w:val="20"/>
        </w:rPr>
        <w:lastRenderedPageBreak/>
        <w:t>Table </w:t>
      </w:r>
      <w:bookmarkEnd w:id="1"/>
      <w:r w:rsidRPr="00ED347B">
        <w:rPr>
          <w:rFonts w:ascii="Arial" w:hAnsi="Arial" w:cs="Arial"/>
          <w:b/>
          <w:bCs/>
          <w:szCs w:val="20"/>
        </w:rPr>
        <w:t>S</w:t>
      </w:r>
      <w:r>
        <w:rPr>
          <w:rFonts w:ascii="Arial" w:hAnsi="Arial" w:cs="Arial"/>
          <w:b/>
          <w:bCs/>
          <w:szCs w:val="20"/>
        </w:rPr>
        <w:t>2</w:t>
      </w:r>
      <w:r w:rsidRPr="00ED347B">
        <w:rPr>
          <w:rFonts w:ascii="Arial" w:hAnsi="Arial" w:cs="Arial"/>
          <w:b/>
          <w:bCs/>
          <w:szCs w:val="20"/>
        </w:rPr>
        <w:tab/>
      </w:r>
      <w:proofErr w:type="spellStart"/>
      <w:r w:rsidRPr="00ED347B">
        <w:rPr>
          <w:rFonts w:ascii="Arial" w:hAnsi="Arial" w:cs="Arial"/>
          <w:b/>
          <w:bCs/>
          <w:szCs w:val="20"/>
        </w:rPr>
        <w:t>Noncompartmental</w:t>
      </w:r>
      <w:proofErr w:type="spellEnd"/>
      <w:r w:rsidRPr="00ED347B">
        <w:rPr>
          <w:rFonts w:ascii="Arial" w:hAnsi="Arial" w:cs="Arial"/>
          <w:b/>
          <w:bCs/>
          <w:szCs w:val="20"/>
        </w:rPr>
        <w:t xml:space="preserve"> Pharmacokinetic Summary Following Oral Administration of </w:t>
      </w:r>
      <w:r w:rsidRPr="00DB7634">
        <w:rPr>
          <w:rFonts w:ascii="Arial" w:hAnsi="Arial" w:cs="Arial"/>
          <w:b/>
          <w:bCs/>
        </w:rPr>
        <w:t>ralimetinib</w:t>
      </w:r>
      <w:r w:rsidRPr="00ED347B">
        <w:rPr>
          <w:rFonts w:ascii="Arial" w:hAnsi="Arial" w:cs="Arial"/>
          <w:b/>
          <w:bCs/>
          <w:szCs w:val="20"/>
        </w:rPr>
        <w:t xml:space="preserve"> on Day 1 and on Day 14 (Cycle 1) – Capsule Formulation</w:t>
      </w:r>
      <w:bookmarkEnd w:id="2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327"/>
        <w:gridCol w:w="903"/>
        <w:gridCol w:w="904"/>
        <w:gridCol w:w="904"/>
        <w:gridCol w:w="904"/>
        <w:gridCol w:w="904"/>
        <w:gridCol w:w="904"/>
        <w:gridCol w:w="904"/>
        <w:gridCol w:w="904"/>
      </w:tblGrid>
      <w:tr w:rsidR="00AD59FF" w:rsidRPr="00ED347B" w14:paraId="08653AC3" w14:textId="77777777" w:rsidTr="00056FB7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653AC0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AC1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AC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bCs/>
                <w:sz w:val="20"/>
                <w:szCs w:val="20"/>
              </w:rPr>
              <w:t>Geometric Mean (</w:t>
            </w:r>
            <w:proofErr w:type="gramStart"/>
            <w:r w:rsidRPr="00ED347B">
              <w:rPr>
                <w:rFonts w:ascii="Arial" w:hAnsi="Arial" w:cs="Arial"/>
                <w:b/>
                <w:bCs/>
                <w:sz w:val="20"/>
                <w:szCs w:val="20"/>
              </w:rPr>
              <w:t>CV%</w:t>
            </w:r>
            <w:proofErr w:type="gramEnd"/>
            <w:r w:rsidRPr="00ED347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D59FF" w:rsidRPr="00ED347B" w14:paraId="08653ACE" w14:textId="77777777" w:rsidTr="00056FB7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653AC4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AC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AC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 xml:space="preserve">Cohort 1 </w:t>
            </w:r>
            <w:r w:rsidRPr="00ED347B">
              <w:rPr>
                <w:rFonts w:ascii="Arial" w:hAnsi="Arial" w:cs="Arial"/>
                <w:b/>
                <w:sz w:val="20"/>
                <w:szCs w:val="20"/>
              </w:rPr>
              <w:br/>
              <w:t xml:space="preserve">(10 mg </w:t>
            </w:r>
            <w:r w:rsidRPr="00ED347B">
              <w:rPr>
                <w:rFonts w:ascii="Arial" w:hAnsi="Arial" w:cs="Arial"/>
                <w:b/>
                <w:sz w:val="20"/>
                <w:szCs w:val="20"/>
              </w:rPr>
              <w:br/>
              <w:t>Q12H)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C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 xml:space="preserve">Cohort 2 </w:t>
            </w:r>
            <w:r w:rsidRPr="00ED347B">
              <w:rPr>
                <w:rFonts w:ascii="Arial" w:hAnsi="Arial" w:cs="Arial"/>
                <w:b/>
                <w:sz w:val="20"/>
                <w:szCs w:val="20"/>
              </w:rPr>
              <w:br/>
              <w:t xml:space="preserve">(20 mg </w:t>
            </w:r>
            <w:r w:rsidRPr="00ED347B">
              <w:rPr>
                <w:rFonts w:ascii="Arial" w:hAnsi="Arial" w:cs="Arial"/>
                <w:b/>
                <w:sz w:val="20"/>
                <w:szCs w:val="20"/>
              </w:rPr>
              <w:br/>
              <w:t>Q12H)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C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 xml:space="preserve">Cohort 3 </w:t>
            </w:r>
            <w:r w:rsidRPr="00ED347B">
              <w:rPr>
                <w:rFonts w:ascii="Arial" w:hAnsi="Arial" w:cs="Arial"/>
                <w:b/>
                <w:sz w:val="20"/>
                <w:szCs w:val="20"/>
              </w:rPr>
              <w:br/>
              <w:t xml:space="preserve">(40 mg </w:t>
            </w:r>
            <w:r w:rsidRPr="00ED347B">
              <w:rPr>
                <w:rFonts w:ascii="Arial" w:hAnsi="Arial" w:cs="Arial"/>
                <w:b/>
                <w:sz w:val="20"/>
                <w:szCs w:val="20"/>
              </w:rPr>
              <w:br/>
              <w:t>Q12H)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C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 xml:space="preserve">Cohort 4 </w:t>
            </w:r>
            <w:r w:rsidRPr="00ED347B">
              <w:rPr>
                <w:rFonts w:ascii="Arial" w:hAnsi="Arial" w:cs="Arial"/>
                <w:b/>
                <w:sz w:val="20"/>
                <w:szCs w:val="20"/>
              </w:rPr>
              <w:br/>
              <w:t xml:space="preserve">(65 mg </w:t>
            </w:r>
            <w:r w:rsidRPr="00ED347B">
              <w:rPr>
                <w:rFonts w:ascii="Arial" w:hAnsi="Arial" w:cs="Arial"/>
                <w:b/>
                <w:sz w:val="20"/>
                <w:szCs w:val="20"/>
              </w:rPr>
              <w:br/>
              <w:t>Q12H)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C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 xml:space="preserve">Cohort 5 </w:t>
            </w:r>
            <w:r w:rsidRPr="00ED347B">
              <w:rPr>
                <w:rFonts w:ascii="Arial" w:hAnsi="Arial" w:cs="Arial"/>
                <w:b/>
                <w:sz w:val="20"/>
                <w:szCs w:val="20"/>
              </w:rPr>
              <w:br/>
              <w:t xml:space="preserve">(90 mg </w:t>
            </w:r>
            <w:r w:rsidRPr="00ED347B">
              <w:rPr>
                <w:rFonts w:ascii="Arial" w:hAnsi="Arial" w:cs="Arial"/>
                <w:b/>
                <w:sz w:val="20"/>
                <w:szCs w:val="20"/>
              </w:rPr>
              <w:br/>
              <w:t>Q12H)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53AC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 xml:space="preserve">Cohort 6 </w:t>
            </w:r>
            <w:r w:rsidRPr="00ED347B">
              <w:rPr>
                <w:rFonts w:ascii="Arial" w:hAnsi="Arial" w:cs="Arial"/>
                <w:b/>
                <w:sz w:val="20"/>
                <w:szCs w:val="20"/>
              </w:rPr>
              <w:br/>
              <w:t>(120 mg Q12H)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53AC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 xml:space="preserve">Cohort 7 </w:t>
            </w:r>
            <w:r w:rsidRPr="00ED347B">
              <w:rPr>
                <w:rFonts w:ascii="Arial" w:hAnsi="Arial" w:cs="Arial"/>
                <w:b/>
                <w:sz w:val="20"/>
                <w:szCs w:val="20"/>
              </w:rPr>
              <w:br/>
              <w:t>(160 mg Q12H)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53AC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 xml:space="preserve">Cohort 8 </w:t>
            </w:r>
            <w:r w:rsidRPr="00ED347B">
              <w:rPr>
                <w:rFonts w:ascii="Arial" w:hAnsi="Arial" w:cs="Arial"/>
                <w:b/>
                <w:sz w:val="20"/>
                <w:szCs w:val="20"/>
              </w:rPr>
              <w:br/>
              <w:t>(200 mg Q12H)</w:t>
            </w:r>
          </w:p>
        </w:tc>
      </w:tr>
      <w:tr w:rsidR="00AD59FF" w:rsidRPr="00ED347B" w14:paraId="08653AD9" w14:textId="77777777" w:rsidTr="00056FB7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nil"/>
            </w:tcBorders>
          </w:tcPr>
          <w:p w14:paraId="08653ACF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Day 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AD0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AD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D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D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D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D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D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D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D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D59FF" w:rsidRPr="00ED347B" w14:paraId="08653AED" w14:textId="77777777" w:rsidTr="00056FB7">
        <w:trPr>
          <w:trHeight w:val="255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nil"/>
            </w:tcBorders>
          </w:tcPr>
          <w:p w14:paraId="08653ADA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ADB" w14:textId="77777777" w:rsidR="00AD59FF" w:rsidRPr="00ED347B" w:rsidRDefault="00AD59FF" w:rsidP="00056FB7">
            <w:pPr>
              <w:keepNext/>
              <w:keepLines/>
              <w:adjustRightInd w:val="0"/>
              <w:snapToGrid w:val="0"/>
              <w:spacing w:after="0" w:line="259" w:lineRule="atLeast"/>
              <w:textAlignment w:val="baseline"/>
              <w:outlineLvl w:val="0"/>
              <w:rPr>
                <w:rFonts w:ascii="Arial" w:hAnsi="Arial" w:cs="Arial"/>
                <w:position w:val="-4"/>
                <w:sz w:val="16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C</w:t>
            </w:r>
            <w:r w:rsidRPr="00ED347B">
              <w:rPr>
                <w:rFonts w:ascii="Arial" w:hAnsi="Arial" w:cs="Arial"/>
                <w:position w:val="-4"/>
                <w:sz w:val="20"/>
                <w:szCs w:val="20"/>
              </w:rPr>
              <w:t>max</w:t>
            </w:r>
          </w:p>
          <w:p w14:paraId="08653ADC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(ng/mL)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AD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14.7</w:t>
            </w:r>
          </w:p>
          <w:p w14:paraId="08653AD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(75)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D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90.1</w:t>
            </w:r>
          </w:p>
          <w:p w14:paraId="08653AE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(75)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E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144</w:t>
            </w:r>
          </w:p>
          <w:p w14:paraId="08653AE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(83)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E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135</w:t>
            </w:r>
          </w:p>
          <w:p w14:paraId="08653AE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(87)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E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202</w:t>
            </w:r>
          </w:p>
          <w:p w14:paraId="08653AE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(62)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E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405</w:t>
            </w:r>
          </w:p>
          <w:p w14:paraId="08653AE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(68)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E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606</w:t>
            </w:r>
          </w:p>
          <w:p w14:paraId="08653AE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(53)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E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673</w:t>
            </w:r>
          </w:p>
          <w:p w14:paraId="08653AE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(55)</w:t>
            </w:r>
          </w:p>
        </w:tc>
      </w:tr>
      <w:tr w:rsidR="00AD59FF" w:rsidRPr="00ED347B" w14:paraId="08653B01" w14:textId="77777777" w:rsidTr="00056FB7">
        <w:trPr>
          <w:trHeight w:val="255"/>
          <w:jc w:val="center"/>
        </w:trPr>
        <w:tc>
          <w:tcPr>
            <w:tcW w:w="436" w:type="pct"/>
            <w:vMerge/>
            <w:tcBorders>
              <w:left w:val="nil"/>
            </w:tcBorders>
          </w:tcPr>
          <w:p w14:paraId="08653AEE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AEF" w14:textId="77777777" w:rsidR="00AD59FF" w:rsidRPr="00ED347B" w:rsidRDefault="00AD59FF" w:rsidP="00056FB7">
            <w:pPr>
              <w:keepNext/>
              <w:keepLines/>
              <w:adjustRightInd w:val="0"/>
              <w:snapToGrid w:val="0"/>
              <w:spacing w:after="0" w:line="259" w:lineRule="atLeast"/>
              <w:textAlignment w:val="baseline"/>
              <w:outlineLvl w:val="0"/>
              <w:rPr>
                <w:rFonts w:ascii="Arial" w:hAnsi="Arial" w:cs="Arial"/>
                <w:position w:val="4"/>
                <w:sz w:val="16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t</w:t>
            </w:r>
            <w:r w:rsidRPr="00ED347B">
              <w:rPr>
                <w:rFonts w:ascii="Arial" w:hAnsi="Arial" w:cs="Arial"/>
                <w:position w:val="-4"/>
                <w:sz w:val="20"/>
                <w:szCs w:val="20"/>
              </w:rPr>
              <w:t>max</w:t>
            </w:r>
            <w:r w:rsidRPr="00ED347B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8653AF0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D347B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ED34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AF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2.51</w:t>
            </w:r>
          </w:p>
          <w:p w14:paraId="08653AF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(1.00–6.00)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F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08653AF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(0.52–7.57)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F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1.02</w:t>
            </w:r>
          </w:p>
          <w:p w14:paraId="08653AF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(1.00–1.02)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F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2.02</w:t>
            </w:r>
          </w:p>
          <w:p w14:paraId="08653AF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(2.00–6.03)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F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2.00</w:t>
            </w:r>
          </w:p>
          <w:p w14:paraId="08653AF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(1.00–3.00)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F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1.05</w:t>
            </w:r>
          </w:p>
          <w:p w14:paraId="08653AF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(1.00–2.95)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F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2.03</w:t>
            </w:r>
          </w:p>
          <w:p w14:paraId="08653AF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(1.00–3.00)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AF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2.00</w:t>
            </w:r>
          </w:p>
          <w:p w14:paraId="08653B0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(1.00–3.02)</w:t>
            </w:r>
          </w:p>
        </w:tc>
      </w:tr>
      <w:tr w:rsidR="00AD59FF" w:rsidRPr="00ED347B" w14:paraId="08653B15" w14:textId="77777777" w:rsidTr="00056FB7">
        <w:trPr>
          <w:trHeight w:val="255"/>
          <w:jc w:val="center"/>
        </w:trPr>
        <w:tc>
          <w:tcPr>
            <w:tcW w:w="436" w:type="pct"/>
            <w:vMerge/>
            <w:tcBorders>
              <w:left w:val="nil"/>
              <w:bottom w:val="single" w:sz="4" w:space="0" w:color="auto"/>
            </w:tcBorders>
          </w:tcPr>
          <w:p w14:paraId="08653B02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03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Cs/>
                <w:position w:val="-4"/>
                <w:sz w:val="20"/>
                <w:szCs w:val="20"/>
              </w:rPr>
            </w:pPr>
            <w:r w:rsidRPr="00ED347B">
              <w:rPr>
                <w:rFonts w:ascii="Arial" w:hAnsi="Arial" w:cs="Arial"/>
                <w:bCs/>
                <w:sz w:val="20"/>
                <w:szCs w:val="20"/>
              </w:rPr>
              <w:t>AUC(0-8)</w:t>
            </w:r>
          </w:p>
          <w:p w14:paraId="08653B04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ED347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ED347B">
              <w:rPr>
                <w:rFonts w:ascii="Arial" w:hAnsi="Arial" w:cs="Arial"/>
                <w:bCs/>
                <w:sz w:val="20"/>
                <w:szCs w:val="20"/>
              </w:rPr>
              <w:t>ng·hr</w:t>
            </w:r>
            <w:proofErr w:type="spellEnd"/>
            <w:r w:rsidRPr="00ED347B">
              <w:rPr>
                <w:rFonts w:ascii="Arial" w:hAnsi="Arial" w:cs="Arial"/>
                <w:bCs/>
                <w:sz w:val="20"/>
                <w:szCs w:val="20"/>
              </w:rPr>
              <w:t>/mL)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0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55.6</w:t>
            </w:r>
          </w:p>
          <w:p w14:paraId="08653B0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(36)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0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257</w:t>
            </w:r>
          </w:p>
          <w:p w14:paraId="08653B0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0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375</w:t>
            </w:r>
          </w:p>
          <w:p w14:paraId="08653B0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(79)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0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445</w:t>
            </w:r>
          </w:p>
          <w:p w14:paraId="08653B0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(83)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0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707</w:t>
            </w:r>
          </w:p>
          <w:p w14:paraId="08653B0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(45)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0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1310</w:t>
            </w:r>
          </w:p>
          <w:p w14:paraId="08653B1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1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2120</w:t>
            </w:r>
          </w:p>
          <w:p w14:paraId="08653B1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(39)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1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2550</w:t>
            </w:r>
          </w:p>
          <w:p w14:paraId="08653B1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(55)</w:t>
            </w:r>
          </w:p>
        </w:tc>
      </w:tr>
      <w:tr w:rsidR="00AD59FF" w:rsidRPr="00ED347B" w14:paraId="08653B20" w14:textId="77777777" w:rsidTr="00056FB7">
        <w:trPr>
          <w:trHeight w:val="255"/>
          <w:jc w:val="center"/>
        </w:trPr>
        <w:tc>
          <w:tcPr>
            <w:tcW w:w="436" w:type="pct"/>
            <w:tcBorders>
              <w:top w:val="single" w:sz="4" w:space="0" w:color="auto"/>
              <w:left w:val="nil"/>
            </w:tcBorders>
          </w:tcPr>
          <w:p w14:paraId="08653B16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Day 14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17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1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1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1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1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1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1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1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1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D59FF" w:rsidRPr="00ED347B" w14:paraId="08653B34" w14:textId="77777777" w:rsidTr="00056FB7">
        <w:trPr>
          <w:trHeight w:val="255"/>
          <w:jc w:val="center"/>
        </w:trPr>
        <w:tc>
          <w:tcPr>
            <w:tcW w:w="436" w:type="pct"/>
            <w:vMerge w:val="restart"/>
            <w:tcBorders>
              <w:top w:val="single" w:sz="4" w:space="0" w:color="auto"/>
              <w:left w:val="nil"/>
            </w:tcBorders>
          </w:tcPr>
          <w:p w14:paraId="08653B21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22" w14:textId="77777777" w:rsidR="00AD59FF" w:rsidRPr="00ED347B" w:rsidRDefault="00AD59FF" w:rsidP="00056FB7">
            <w:pPr>
              <w:keepNext/>
              <w:keepLines/>
              <w:adjustRightInd w:val="0"/>
              <w:snapToGrid w:val="0"/>
              <w:spacing w:after="0" w:line="259" w:lineRule="atLeast"/>
              <w:textAlignment w:val="baseline"/>
              <w:outlineLvl w:val="0"/>
              <w:rPr>
                <w:rFonts w:ascii="Arial" w:hAnsi="Arial" w:cs="Arial"/>
                <w:position w:val="-4"/>
                <w:sz w:val="16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C</w:t>
            </w:r>
            <w:r w:rsidRPr="00ED347B">
              <w:rPr>
                <w:rFonts w:ascii="Arial" w:hAnsi="Arial" w:cs="Arial"/>
                <w:position w:val="-4"/>
                <w:sz w:val="20"/>
                <w:szCs w:val="20"/>
              </w:rPr>
              <w:t>max</w:t>
            </w:r>
          </w:p>
          <w:p w14:paraId="08653B23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(ng/mL)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2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28.4</w:t>
            </w:r>
          </w:p>
          <w:p w14:paraId="08653B2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(63)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2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81.4</w:t>
            </w:r>
          </w:p>
          <w:p w14:paraId="08653B2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(63)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2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252</w:t>
            </w:r>
          </w:p>
          <w:p w14:paraId="08653B2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(144)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2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415</w:t>
            </w:r>
          </w:p>
          <w:p w14:paraId="08653B2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2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208</w:t>
            </w:r>
          </w:p>
          <w:p w14:paraId="08653B2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(74)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2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530</w:t>
            </w:r>
          </w:p>
          <w:p w14:paraId="08653B2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(38)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3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1930</w:t>
            </w:r>
          </w:p>
          <w:p w14:paraId="08653B3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(64)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3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1330</w:t>
            </w:r>
          </w:p>
          <w:p w14:paraId="08653B3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(56)</w:t>
            </w:r>
          </w:p>
        </w:tc>
      </w:tr>
      <w:tr w:rsidR="00AD59FF" w:rsidRPr="00ED347B" w14:paraId="08653B48" w14:textId="77777777" w:rsidTr="00056FB7">
        <w:trPr>
          <w:trHeight w:val="255"/>
          <w:jc w:val="center"/>
        </w:trPr>
        <w:tc>
          <w:tcPr>
            <w:tcW w:w="436" w:type="pct"/>
            <w:vMerge/>
            <w:tcBorders>
              <w:left w:val="nil"/>
            </w:tcBorders>
          </w:tcPr>
          <w:p w14:paraId="08653B35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36" w14:textId="77777777" w:rsidR="00AD59FF" w:rsidRPr="00ED347B" w:rsidRDefault="00AD59FF" w:rsidP="00056FB7">
            <w:pPr>
              <w:keepNext/>
              <w:keepLines/>
              <w:adjustRightInd w:val="0"/>
              <w:snapToGrid w:val="0"/>
              <w:spacing w:after="0" w:line="259" w:lineRule="atLeast"/>
              <w:textAlignment w:val="baseline"/>
              <w:outlineLvl w:val="0"/>
              <w:rPr>
                <w:rFonts w:ascii="Arial" w:hAnsi="Arial" w:cs="Arial"/>
                <w:position w:val="4"/>
                <w:sz w:val="16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t</w:t>
            </w:r>
            <w:r w:rsidRPr="00ED347B">
              <w:rPr>
                <w:rFonts w:ascii="Arial" w:hAnsi="Arial" w:cs="Arial"/>
                <w:position w:val="-4"/>
                <w:sz w:val="20"/>
                <w:szCs w:val="20"/>
              </w:rPr>
              <w:t>max</w:t>
            </w:r>
            <w:r w:rsidRPr="00ED347B">
              <w:rPr>
                <w:rFonts w:ascii="Arial" w:hAnsi="Arial" w:cs="Arial"/>
                <w:position w:val="4"/>
                <w:sz w:val="16"/>
                <w:szCs w:val="20"/>
              </w:rPr>
              <w:t>a</w:t>
            </w:r>
          </w:p>
          <w:p w14:paraId="08653B37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(h)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3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1.03</w:t>
            </w:r>
          </w:p>
          <w:p w14:paraId="08653B3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(1.00–2.00)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3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08653B3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(1.00–4.05)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3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08653B3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(0.98–1.98)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3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08653B3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(0.98–1.00)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4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2.00</w:t>
            </w:r>
          </w:p>
          <w:p w14:paraId="08653B4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(1.97–2.00)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4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1.05</w:t>
            </w:r>
          </w:p>
          <w:p w14:paraId="08653B4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(0.98–2.00)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4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1.02</w:t>
            </w:r>
          </w:p>
          <w:p w14:paraId="08653B4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(0.50–2.03)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4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1.50</w:t>
            </w:r>
          </w:p>
          <w:p w14:paraId="08653B4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(1.00–3.00)</w:t>
            </w:r>
          </w:p>
        </w:tc>
      </w:tr>
      <w:tr w:rsidR="00AD59FF" w:rsidRPr="00ED347B" w14:paraId="08653B5C" w14:textId="77777777" w:rsidTr="00056FB7">
        <w:trPr>
          <w:trHeight w:val="255"/>
          <w:jc w:val="center"/>
        </w:trPr>
        <w:tc>
          <w:tcPr>
            <w:tcW w:w="436" w:type="pct"/>
            <w:vMerge/>
            <w:tcBorders>
              <w:left w:val="nil"/>
            </w:tcBorders>
          </w:tcPr>
          <w:p w14:paraId="08653B49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4A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Cs/>
                <w:position w:val="-4"/>
                <w:sz w:val="20"/>
                <w:szCs w:val="20"/>
              </w:rPr>
            </w:pPr>
            <w:r w:rsidRPr="00ED347B">
              <w:rPr>
                <w:rFonts w:ascii="Arial" w:hAnsi="Arial" w:cs="Arial"/>
                <w:bCs/>
                <w:sz w:val="20"/>
                <w:szCs w:val="20"/>
              </w:rPr>
              <w:t>AUC(0-8)</w:t>
            </w:r>
          </w:p>
          <w:p w14:paraId="08653B4B" w14:textId="77777777" w:rsidR="00AD59FF" w:rsidRPr="00ED347B" w:rsidRDefault="00AD59FF" w:rsidP="00056FB7">
            <w:pPr>
              <w:keepNext/>
              <w:keepLines/>
              <w:adjustRightInd w:val="0"/>
              <w:snapToGrid w:val="0"/>
              <w:spacing w:after="0" w:line="259" w:lineRule="atLeast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ED347B">
              <w:rPr>
                <w:rFonts w:ascii="Arial" w:hAnsi="Arial" w:cs="Arial"/>
                <w:bCs/>
                <w:sz w:val="20"/>
                <w:szCs w:val="20"/>
              </w:rPr>
              <w:t>ng·hr</w:t>
            </w:r>
            <w:proofErr w:type="spellEnd"/>
            <w:r w:rsidRPr="00ED347B">
              <w:rPr>
                <w:rFonts w:ascii="Arial" w:hAnsi="Arial" w:cs="Arial"/>
                <w:bCs/>
                <w:sz w:val="20"/>
                <w:szCs w:val="20"/>
              </w:rPr>
              <w:t>/mL)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4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151</w:t>
            </w:r>
          </w:p>
          <w:p w14:paraId="08653B4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(83)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4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372</w:t>
            </w:r>
          </w:p>
          <w:p w14:paraId="08653B4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5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1070</w:t>
            </w:r>
          </w:p>
          <w:p w14:paraId="08653B5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(130)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5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1300</w:t>
            </w:r>
          </w:p>
          <w:p w14:paraId="08653B5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5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827</w:t>
            </w:r>
          </w:p>
          <w:p w14:paraId="08653B5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(61)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5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1960</w:t>
            </w:r>
          </w:p>
          <w:p w14:paraId="08653B5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5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6000</w:t>
            </w:r>
          </w:p>
          <w:p w14:paraId="08653B5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5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6220</w:t>
            </w:r>
          </w:p>
          <w:p w14:paraId="08653B5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(42)</w:t>
            </w:r>
          </w:p>
        </w:tc>
      </w:tr>
      <w:tr w:rsidR="00AD59FF" w:rsidRPr="00ED347B" w14:paraId="08653B70" w14:textId="77777777" w:rsidTr="00056FB7">
        <w:trPr>
          <w:trHeight w:val="255"/>
          <w:jc w:val="center"/>
        </w:trPr>
        <w:tc>
          <w:tcPr>
            <w:tcW w:w="436" w:type="pct"/>
            <w:vMerge/>
            <w:tcBorders>
              <w:left w:val="nil"/>
            </w:tcBorders>
          </w:tcPr>
          <w:p w14:paraId="08653B5D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5E" w14:textId="77777777" w:rsidR="00AD59FF" w:rsidRPr="00ED347B" w:rsidRDefault="00AD59FF" w:rsidP="00056FB7">
            <w:pPr>
              <w:keepNext/>
              <w:keepLines/>
              <w:adjustRightInd w:val="0"/>
              <w:snapToGrid w:val="0"/>
              <w:spacing w:after="0" w:line="259" w:lineRule="atLeast"/>
              <w:textAlignment w:val="baseline"/>
              <w:outlineLvl w:val="0"/>
              <w:rPr>
                <w:rFonts w:ascii="Arial" w:hAnsi="Arial" w:cs="Arial"/>
                <w:bCs/>
                <w:position w:val="4"/>
                <w:sz w:val="16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AUC(0-24,ss)</w:t>
            </w:r>
            <w:r w:rsidRPr="00ED347B">
              <w:rPr>
                <w:rFonts w:ascii="Arial" w:hAnsi="Arial" w:cs="Arial"/>
                <w:bCs/>
                <w:position w:val="4"/>
                <w:sz w:val="16"/>
                <w:szCs w:val="20"/>
              </w:rPr>
              <w:t>b</w:t>
            </w:r>
          </w:p>
          <w:p w14:paraId="08653B5F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ED347B">
              <w:rPr>
                <w:rFonts w:ascii="Arial" w:hAnsi="Arial" w:cs="Arial"/>
                <w:bCs/>
                <w:sz w:val="20"/>
                <w:szCs w:val="20"/>
              </w:rPr>
              <w:t>ng·hr</w:t>
            </w:r>
            <w:proofErr w:type="spellEnd"/>
            <w:r w:rsidRPr="00ED347B">
              <w:rPr>
                <w:rFonts w:ascii="Arial" w:hAnsi="Arial" w:cs="Arial"/>
                <w:bCs/>
                <w:sz w:val="20"/>
                <w:szCs w:val="20"/>
              </w:rPr>
              <w:t>/mL)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6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407</w:t>
            </w:r>
          </w:p>
          <w:p w14:paraId="08653B6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(87)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6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1020</w:t>
            </w:r>
          </w:p>
          <w:p w14:paraId="08653B6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6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2840</w:t>
            </w:r>
          </w:p>
          <w:p w14:paraId="08653B6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(133)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6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3220</w:t>
            </w:r>
          </w:p>
          <w:p w14:paraId="08653B6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6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2230</w:t>
            </w:r>
          </w:p>
          <w:p w14:paraId="08653B6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(69)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6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5150</w:t>
            </w:r>
          </w:p>
          <w:p w14:paraId="08653B6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(48)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6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14900</w:t>
            </w:r>
          </w:p>
          <w:p w14:paraId="08653B6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6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17000</w:t>
            </w:r>
          </w:p>
          <w:p w14:paraId="08653B6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(42)</w:t>
            </w:r>
          </w:p>
        </w:tc>
      </w:tr>
      <w:tr w:rsidR="00AD59FF" w:rsidRPr="00ED347B" w14:paraId="08653B84" w14:textId="77777777" w:rsidTr="00056FB7">
        <w:trPr>
          <w:trHeight w:val="255"/>
          <w:jc w:val="center"/>
        </w:trPr>
        <w:tc>
          <w:tcPr>
            <w:tcW w:w="436" w:type="pct"/>
            <w:vMerge/>
            <w:tcBorders>
              <w:left w:val="nil"/>
            </w:tcBorders>
          </w:tcPr>
          <w:p w14:paraId="08653B71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72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CL</w:t>
            </w:r>
            <w:proofErr w:type="spellStart"/>
            <w:r w:rsidRPr="00ED347B">
              <w:rPr>
                <w:rFonts w:ascii="Arial" w:hAnsi="Arial" w:cs="Arial"/>
                <w:position w:val="-4"/>
                <w:sz w:val="20"/>
                <w:szCs w:val="20"/>
              </w:rPr>
              <w:t>ss</w:t>
            </w:r>
            <w:proofErr w:type="spellEnd"/>
            <w:r w:rsidRPr="00ED347B">
              <w:rPr>
                <w:rFonts w:ascii="Arial" w:hAnsi="Arial" w:cs="Arial"/>
                <w:sz w:val="20"/>
                <w:szCs w:val="20"/>
              </w:rPr>
              <w:t>/F</w:t>
            </w:r>
          </w:p>
          <w:p w14:paraId="08653B73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(L/</w:t>
            </w:r>
            <w:proofErr w:type="spellStart"/>
            <w:r w:rsidRPr="00ED347B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ED34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7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49.1</w:t>
            </w:r>
          </w:p>
          <w:p w14:paraId="08653B7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(87)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7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39.4</w:t>
            </w:r>
          </w:p>
          <w:p w14:paraId="08653B7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7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28.1</w:t>
            </w:r>
          </w:p>
          <w:p w14:paraId="08653B7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(133)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7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40.4</w:t>
            </w:r>
          </w:p>
          <w:p w14:paraId="08653B7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7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80.9</w:t>
            </w:r>
          </w:p>
          <w:p w14:paraId="08653B7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(69)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7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46.6</w:t>
            </w:r>
          </w:p>
          <w:p w14:paraId="08653B7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(48)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8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21.5</w:t>
            </w:r>
          </w:p>
          <w:p w14:paraId="08653B8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8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23.5</w:t>
            </w:r>
          </w:p>
          <w:p w14:paraId="08653B8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(42)</w:t>
            </w:r>
          </w:p>
        </w:tc>
      </w:tr>
      <w:tr w:rsidR="00AD59FF" w:rsidRPr="00ED347B" w14:paraId="08653B98" w14:textId="77777777" w:rsidTr="00056FB7">
        <w:trPr>
          <w:trHeight w:val="255"/>
          <w:jc w:val="center"/>
        </w:trPr>
        <w:tc>
          <w:tcPr>
            <w:tcW w:w="436" w:type="pct"/>
            <w:vMerge/>
            <w:tcBorders>
              <w:left w:val="nil"/>
            </w:tcBorders>
          </w:tcPr>
          <w:p w14:paraId="08653B85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86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347B">
              <w:rPr>
                <w:rFonts w:ascii="Arial" w:hAnsi="Arial" w:cs="Arial"/>
                <w:sz w:val="20"/>
                <w:szCs w:val="20"/>
              </w:rPr>
              <w:t>Vd</w:t>
            </w:r>
            <w:r w:rsidRPr="00ED347B">
              <w:rPr>
                <w:rFonts w:ascii="Arial" w:hAnsi="Arial" w:cs="Arial"/>
                <w:position w:val="-4"/>
                <w:sz w:val="20"/>
                <w:szCs w:val="20"/>
              </w:rPr>
              <w:t>ss</w:t>
            </w:r>
            <w:proofErr w:type="spellEnd"/>
            <w:r w:rsidRPr="00ED347B">
              <w:rPr>
                <w:rFonts w:ascii="Arial" w:hAnsi="Arial" w:cs="Arial"/>
                <w:sz w:val="20"/>
                <w:szCs w:val="20"/>
              </w:rPr>
              <w:t>/F</w:t>
            </w:r>
          </w:p>
          <w:p w14:paraId="08653B87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8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3850</w:t>
            </w:r>
          </w:p>
          <w:p w14:paraId="08653B8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(72)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8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4500</w:t>
            </w:r>
          </w:p>
          <w:p w14:paraId="08653B8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(122)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8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3080</w:t>
            </w:r>
          </w:p>
          <w:p w14:paraId="08653B8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(180)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8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1510</w:t>
            </w:r>
          </w:p>
          <w:p w14:paraId="08653B8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(45)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9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5600</w:t>
            </w:r>
          </w:p>
          <w:p w14:paraId="08653B9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(74)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9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1640</w:t>
            </w:r>
          </w:p>
          <w:p w14:paraId="08653B9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(79)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9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1010</w:t>
            </w:r>
          </w:p>
          <w:p w14:paraId="08653B9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9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1860</w:t>
            </w:r>
          </w:p>
          <w:p w14:paraId="08653B9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(61)</w:t>
            </w:r>
          </w:p>
        </w:tc>
      </w:tr>
      <w:tr w:rsidR="00AD59FF" w:rsidRPr="00ED347B" w14:paraId="08653BAC" w14:textId="77777777" w:rsidTr="00056FB7">
        <w:trPr>
          <w:trHeight w:val="255"/>
          <w:jc w:val="center"/>
        </w:trPr>
        <w:tc>
          <w:tcPr>
            <w:tcW w:w="436" w:type="pct"/>
            <w:vMerge/>
            <w:tcBorders>
              <w:left w:val="nil"/>
            </w:tcBorders>
          </w:tcPr>
          <w:p w14:paraId="08653B99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9A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t</w:t>
            </w:r>
            <w:r w:rsidRPr="00ED347B">
              <w:rPr>
                <w:rFonts w:ascii="Arial" w:hAnsi="Arial" w:cs="Arial"/>
                <w:position w:val="-4"/>
                <w:sz w:val="16"/>
                <w:szCs w:val="20"/>
              </w:rPr>
              <w:t>1/2</w:t>
            </w:r>
          </w:p>
          <w:p w14:paraId="08653B9B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D347B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ED34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9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66.3</w:t>
            </w:r>
          </w:p>
          <w:p w14:paraId="08653B9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(99)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9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284</w:t>
            </w:r>
          </w:p>
          <w:p w14:paraId="08653B9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(140)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A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123</w:t>
            </w:r>
          </w:p>
          <w:p w14:paraId="08653BA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A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71.5</w:t>
            </w:r>
          </w:p>
          <w:p w14:paraId="08653BA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(120)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A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93.3</w:t>
            </w:r>
          </w:p>
          <w:p w14:paraId="08653BA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A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44.0</w:t>
            </w:r>
          </w:p>
          <w:p w14:paraId="08653BA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(172)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A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61.3</w:t>
            </w:r>
          </w:p>
          <w:p w14:paraId="08653BA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A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113</w:t>
            </w:r>
          </w:p>
          <w:p w14:paraId="08653BA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(71)</w:t>
            </w:r>
          </w:p>
        </w:tc>
      </w:tr>
      <w:tr w:rsidR="00AD59FF" w:rsidRPr="00ED347B" w14:paraId="08653BC0" w14:textId="77777777" w:rsidTr="00056FB7">
        <w:trPr>
          <w:trHeight w:val="255"/>
          <w:jc w:val="center"/>
        </w:trPr>
        <w:tc>
          <w:tcPr>
            <w:tcW w:w="436" w:type="pct"/>
            <w:vMerge/>
            <w:tcBorders>
              <w:left w:val="nil"/>
              <w:bottom w:val="single" w:sz="4" w:space="0" w:color="auto"/>
            </w:tcBorders>
          </w:tcPr>
          <w:p w14:paraId="08653BAD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AE" w14:textId="77777777" w:rsidR="00AD59FF" w:rsidRPr="00ED347B" w:rsidRDefault="00AD59FF" w:rsidP="00056FB7">
            <w:pPr>
              <w:keepNext/>
              <w:keepLines/>
              <w:adjustRightInd w:val="0"/>
              <w:snapToGrid w:val="0"/>
              <w:spacing w:after="0" w:line="259" w:lineRule="atLeast"/>
              <w:textAlignment w:val="baseline"/>
              <w:outlineLvl w:val="0"/>
              <w:rPr>
                <w:rFonts w:ascii="Arial" w:hAnsi="Arial" w:cs="Arial"/>
                <w:bCs/>
                <w:position w:val="4"/>
                <w:sz w:val="16"/>
                <w:szCs w:val="20"/>
              </w:rPr>
            </w:pPr>
            <w:r w:rsidRPr="00ED347B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ED347B">
              <w:rPr>
                <w:rFonts w:ascii="Arial" w:hAnsi="Arial" w:cs="Arial"/>
                <w:bCs/>
                <w:position w:val="-4"/>
                <w:sz w:val="20"/>
                <w:szCs w:val="20"/>
              </w:rPr>
              <w:t>A</w:t>
            </w:r>
            <w:r w:rsidRPr="00ED347B">
              <w:rPr>
                <w:rFonts w:ascii="Arial" w:hAnsi="Arial" w:cs="Arial"/>
                <w:bCs/>
                <w:position w:val="4"/>
                <w:sz w:val="16"/>
                <w:szCs w:val="20"/>
              </w:rPr>
              <w:t>c</w:t>
            </w:r>
          </w:p>
          <w:p w14:paraId="08653BAF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Cs/>
                <w:position w:val="-4"/>
                <w:sz w:val="20"/>
                <w:szCs w:val="20"/>
                <w:vertAlign w:val="superscript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B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2.52</w:t>
            </w:r>
          </w:p>
          <w:p w14:paraId="08653BB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(65)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B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1.45</w:t>
            </w:r>
          </w:p>
          <w:p w14:paraId="08653BB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(51)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B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2.84</w:t>
            </w:r>
          </w:p>
          <w:p w14:paraId="08653BB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(35)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B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2.93</w:t>
            </w:r>
          </w:p>
          <w:p w14:paraId="08653BB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(65)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B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1.30</w:t>
            </w:r>
          </w:p>
          <w:p w14:paraId="08653BB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B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1.49</w:t>
            </w:r>
          </w:p>
          <w:p w14:paraId="08653BB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(44)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B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2.82</w:t>
            </w:r>
          </w:p>
          <w:p w14:paraId="08653BB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(58)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653BB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2.45</w:t>
            </w:r>
          </w:p>
          <w:p w14:paraId="08653BB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(38)</w:t>
            </w:r>
          </w:p>
        </w:tc>
      </w:tr>
    </w:tbl>
    <w:p w14:paraId="08653BC1" w14:textId="77777777" w:rsidR="00AD59FF" w:rsidRPr="00ED347B" w:rsidRDefault="00AD59FF" w:rsidP="00AD59FF">
      <w:pPr>
        <w:keepNext/>
        <w:keepLines/>
        <w:tabs>
          <w:tab w:val="left" w:pos="259"/>
        </w:tabs>
        <w:spacing w:after="0" w:line="259" w:lineRule="atLeast"/>
        <w:ind w:left="259" w:hanging="259"/>
        <w:rPr>
          <w:rFonts w:ascii="Arial" w:hAnsi="Arial" w:cs="Arial"/>
          <w:sz w:val="20"/>
          <w:szCs w:val="20"/>
        </w:rPr>
      </w:pPr>
      <w:r w:rsidRPr="00ED347B">
        <w:rPr>
          <w:rFonts w:ascii="Arial" w:hAnsi="Arial" w:cs="Arial"/>
          <w:sz w:val="20"/>
          <w:szCs w:val="20"/>
        </w:rPr>
        <w:t>Abbreviations:  AUC</w:t>
      </w:r>
      <w:r w:rsidRPr="001D73CB">
        <w:rPr>
          <w:rFonts w:ascii="Arial" w:hAnsi="Arial" w:cs="Arial"/>
          <w:sz w:val="20"/>
          <w:szCs w:val="20"/>
          <w:vertAlign w:val="subscript"/>
        </w:rPr>
        <w:t>(0-8)</w:t>
      </w:r>
      <w:r w:rsidRPr="00ED347B">
        <w:rPr>
          <w:rFonts w:ascii="Arial" w:hAnsi="Arial" w:cs="Arial"/>
          <w:sz w:val="20"/>
          <w:szCs w:val="20"/>
        </w:rPr>
        <w:t xml:space="preserve"> = area under the baseline-corrected serum concentration versus time curve from time zero to 8 hours; AUC</w:t>
      </w:r>
      <w:r w:rsidRPr="001D73CB">
        <w:rPr>
          <w:rFonts w:ascii="Arial" w:hAnsi="Arial" w:cs="Arial"/>
          <w:sz w:val="20"/>
          <w:szCs w:val="20"/>
          <w:vertAlign w:val="subscript"/>
        </w:rPr>
        <w:t>(0</w:t>
      </w:r>
      <w:r w:rsidRPr="001D73CB">
        <w:rPr>
          <w:rFonts w:ascii="Arial" w:hAnsi="Arial" w:cs="Arial"/>
          <w:sz w:val="20"/>
          <w:szCs w:val="20"/>
          <w:vertAlign w:val="subscript"/>
        </w:rPr>
        <w:noBreakHyphen/>
        <w:t>12,ss)</w:t>
      </w:r>
      <w:r w:rsidRPr="00ED347B">
        <w:rPr>
          <w:rFonts w:ascii="Arial" w:hAnsi="Arial" w:cs="Arial"/>
          <w:sz w:val="20"/>
          <w:szCs w:val="20"/>
        </w:rPr>
        <w:t xml:space="preserve"> = area under the baseline-corrected serum concentration versus time curve from time zero to 12 hours at steady state; AUC</w:t>
      </w:r>
      <w:r w:rsidRPr="001D73CB">
        <w:rPr>
          <w:rFonts w:ascii="Arial" w:hAnsi="Arial" w:cs="Arial"/>
          <w:sz w:val="20"/>
          <w:szCs w:val="20"/>
          <w:vertAlign w:val="subscript"/>
        </w:rPr>
        <w:t>(0-24,ss)</w:t>
      </w:r>
      <w:r w:rsidRPr="00ED347B">
        <w:rPr>
          <w:rFonts w:ascii="Arial" w:hAnsi="Arial" w:cs="Arial"/>
          <w:sz w:val="20"/>
          <w:szCs w:val="20"/>
        </w:rPr>
        <w:t xml:space="preserve"> = area under the baseline-corrected serum concentration versus time curve from time zero to 24 hours at steady state; CL</w:t>
      </w:r>
      <w:proofErr w:type="spellStart"/>
      <w:r w:rsidRPr="00ED347B">
        <w:rPr>
          <w:rFonts w:ascii="Arial" w:hAnsi="Arial" w:cs="Arial"/>
          <w:position w:val="-4"/>
          <w:sz w:val="16"/>
          <w:szCs w:val="20"/>
        </w:rPr>
        <w:t>ss</w:t>
      </w:r>
      <w:proofErr w:type="spellEnd"/>
      <w:r w:rsidRPr="00ED347B">
        <w:rPr>
          <w:rFonts w:ascii="Arial" w:hAnsi="Arial" w:cs="Arial"/>
          <w:sz w:val="20"/>
          <w:szCs w:val="20"/>
        </w:rPr>
        <w:t>/F = apparent total body clearance at steady state after extra-vascular administration; C</w:t>
      </w:r>
      <w:r w:rsidRPr="00ED347B">
        <w:rPr>
          <w:rFonts w:ascii="Arial" w:hAnsi="Arial" w:cs="Arial"/>
          <w:position w:val="-4"/>
          <w:sz w:val="16"/>
          <w:szCs w:val="20"/>
        </w:rPr>
        <w:t>max</w:t>
      </w:r>
      <w:r w:rsidRPr="00ED347B">
        <w:rPr>
          <w:rFonts w:ascii="Arial" w:hAnsi="Arial" w:cs="Arial"/>
          <w:sz w:val="20"/>
          <w:szCs w:val="20"/>
        </w:rPr>
        <w:t> = maximum plasma concentration; CV% = coefficient of variation; Q12H = every 12 hours; R</w:t>
      </w:r>
      <w:r w:rsidRPr="00ED347B">
        <w:rPr>
          <w:rFonts w:ascii="Arial" w:hAnsi="Arial" w:cs="Arial"/>
          <w:position w:val="-4"/>
          <w:sz w:val="16"/>
          <w:szCs w:val="20"/>
        </w:rPr>
        <w:t>A</w:t>
      </w:r>
      <w:r w:rsidRPr="00ED347B">
        <w:rPr>
          <w:rFonts w:ascii="Arial" w:hAnsi="Arial" w:cs="Arial"/>
          <w:sz w:val="20"/>
          <w:szCs w:val="20"/>
        </w:rPr>
        <w:t> = accumulation ratio; t</w:t>
      </w:r>
      <w:r w:rsidRPr="00ED347B">
        <w:rPr>
          <w:rFonts w:ascii="Arial" w:hAnsi="Arial" w:cs="Arial"/>
          <w:position w:val="-4"/>
          <w:sz w:val="16"/>
          <w:szCs w:val="20"/>
        </w:rPr>
        <w:t>1/2</w:t>
      </w:r>
      <w:r w:rsidRPr="00ED347B">
        <w:rPr>
          <w:rFonts w:ascii="Arial" w:hAnsi="Arial" w:cs="Arial"/>
          <w:sz w:val="20"/>
          <w:szCs w:val="20"/>
        </w:rPr>
        <w:t> = terminal half-life; t</w:t>
      </w:r>
      <w:r w:rsidRPr="00ED347B">
        <w:rPr>
          <w:rFonts w:ascii="Arial" w:hAnsi="Arial" w:cs="Arial"/>
          <w:position w:val="-4"/>
          <w:sz w:val="16"/>
          <w:szCs w:val="20"/>
        </w:rPr>
        <w:t>max</w:t>
      </w:r>
      <w:r w:rsidRPr="00ED347B">
        <w:rPr>
          <w:rFonts w:ascii="Arial" w:hAnsi="Arial" w:cs="Arial"/>
          <w:sz w:val="20"/>
          <w:szCs w:val="20"/>
        </w:rPr>
        <w:t xml:space="preserve"> = time to reach C</w:t>
      </w:r>
      <w:r w:rsidRPr="00ED347B">
        <w:rPr>
          <w:rFonts w:ascii="Arial" w:hAnsi="Arial" w:cs="Arial"/>
          <w:position w:val="-4"/>
          <w:sz w:val="16"/>
          <w:szCs w:val="20"/>
        </w:rPr>
        <w:t>max</w:t>
      </w:r>
      <w:r w:rsidRPr="00ED347B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D347B">
        <w:rPr>
          <w:rFonts w:ascii="Arial" w:hAnsi="Arial" w:cs="Arial"/>
          <w:sz w:val="20"/>
          <w:szCs w:val="20"/>
        </w:rPr>
        <w:t>Vd</w:t>
      </w:r>
      <w:r w:rsidRPr="00ED347B">
        <w:rPr>
          <w:rFonts w:ascii="Arial" w:hAnsi="Arial" w:cs="Arial"/>
          <w:position w:val="-4"/>
          <w:sz w:val="16"/>
          <w:szCs w:val="20"/>
        </w:rPr>
        <w:t>ss</w:t>
      </w:r>
      <w:proofErr w:type="spellEnd"/>
      <w:r w:rsidRPr="00ED347B">
        <w:rPr>
          <w:rFonts w:ascii="Arial" w:hAnsi="Arial" w:cs="Arial"/>
          <w:sz w:val="20"/>
          <w:szCs w:val="20"/>
        </w:rPr>
        <w:t>/F = apparent volume of distribution at steady state after extra-vascular administration.</w:t>
      </w:r>
    </w:p>
    <w:p w14:paraId="08653BC2" w14:textId="77777777" w:rsidR="00AD59FF" w:rsidRPr="00ED347B" w:rsidRDefault="00AD59FF" w:rsidP="00AD59FF">
      <w:pPr>
        <w:keepNext/>
        <w:keepLines/>
        <w:tabs>
          <w:tab w:val="left" w:pos="259"/>
        </w:tabs>
        <w:spacing w:after="0" w:line="259" w:lineRule="atLeast"/>
        <w:ind w:left="259" w:hanging="259"/>
        <w:rPr>
          <w:rFonts w:ascii="Arial" w:hAnsi="Arial" w:cs="Arial"/>
          <w:sz w:val="20"/>
          <w:szCs w:val="20"/>
        </w:rPr>
      </w:pPr>
      <w:proofErr w:type="gramStart"/>
      <w:r w:rsidRPr="00ED347B">
        <w:rPr>
          <w:rFonts w:ascii="Arial" w:hAnsi="Arial" w:cs="Arial"/>
          <w:position w:val="4"/>
          <w:sz w:val="16"/>
          <w:szCs w:val="20"/>
        </w:rPr>
        <w:t>a</w:t>
      </w:r>
      <w:proofErr w:type="gramEnd"/>
      <w:r w:rsidRPr="00ED347B">
        <w:rPr>
          <w:rFonts w:ascii="Arial" w:hAnsi="Arial" w:cs="Arial"/>
          <w:sz w:val="20"/>
          <w:szCs w:val="20"/>
        </w:rPr>
        <w:tab/>
        <w:t>Median (range).</w:t>
      </w:r>
    </w:p>
    <w:p w14:paraId="08653BC3" w14:textId="77777777" w:rsidR="00AD59FF" w:rsidRPr="00ED347B" w:rsidRDefault="00AD59FF" w:rsidP="00AD59FF">
      <w:pPr>
        <w:keepNext/>
        <w:keepLines/>
        <w:tabs>
          <w:tab w:val="left" w:pos="259"/>
        </w:tabs>
        <w:spacing w:after="0" w:line="259" w:lineRule="atLeast"/>
        <w:ind w:left="259" w:hanging="259"/>
        <w:rPr>
          <w:rFonts w:ascii="Arial" w:hAnsi="Arial" w:cs="Arial"/>
          <w:sz w:val="20"/>
          <w:szCs w:val="20"/>
        </w:rPr>
      </w:pPr>
      <w:proofErr w:type="gramStart"/>
      <w:r w:rsidRPr="00ED347B">
        <w:rPr>
          <w:rFonts w:ascii="Arial" w:hAnsi="Arial" w:cs="Arial"/>
          <w:position w:val="4"/>
          <w:sz w:val="16"/>
          <w:szCs w:val="20"/>
        </w:rPr>
        <w:t>b</w:t>
      </w:r>
      <w:proofErr w:type="gramEnd"/>
      <w:r w:rsidRPr="00ED347B">
        <w:rPr>
          <w:rFonts w:ascii="Arial" w:hAnsi="Arial" w:cs="Arial"/>
          <w:sz w:val="20"/>
          <w:szCs w:val="20"/>
        </w:rPr>
        <w:t xml:space="preserve"> </w:t>
      </w:r>
      <w:r w:rsidRPr="00ED347B">
        <w:rPr>
          <w:rFonts w:ascii="Arial" w:hAnsi="Arial" w:cs="Arial"/>
          <w:sz w:val="20"/>
          <w:szCs w:val="20"/>
        </w:rPr>
        <w:tab/>
        <w:t>AUC</w:t>
      </w:r>
      <w:r w:rsidRPr="001D73CB">
        <w:rPr>
          <w:rFonts w:ascii="Arial" w:hAnsi="Arial" w:cs="Arial"/>
          <w:sz w:val="20"/>
          <w:szCs w:val="20"/>
          <w:vertAlign w:val="subscript"/>
        </w:rPr>
        <w:t>(0-24,ss)</w:t>
      </w:r>
      <w:r w:rsidRPr="00ED347B">
        <w:rPr>
          <w:rFonts w:ascii="Arial" w:hAnsi="Arial" w:cs="Arial"/>
          <w:sz w:val="20"/>
          <w:szCs w:val="20"/>
        </w:rPr>
        <w:t xml:space="preserve"> represents the sum of AUC</w:t>
      </w:r>
      <w:r w:rsidRPr="001D73CB">
        <w:rPr>
          <w:rFonts w:ascii="Arial" w:hAnsi="Arial" w:cs="Arial"/>
          <w:sz w:val="20"/>
          <w:szCs w:val="20"/>
          <w:vertAlign w:val="subscript"/>
        </w:rPr>
        <w:t>(0-12,ss)</w:t>
      </w:r>
      <w:r w:rsidRPr="00ED347B">
        <w:rPr>
          <w:rFonts w:ascii="Arial" w:hAnsi="Arial" w:cs="Arial"/>
          <w:sz w:val="20"/>
          <w:szCs w:val="20"/>
        </w:rPr>
        <w:t xml:space="preserve"> + AUC</w:t>
      </w:r>
      <w:r w:rsidRPr="001D73CB">
        <w:rPr>
          <w:rFonts w:ascii="Arial" w:hAnsi="Arial" w:cs="Arial"/>
          <w:sz w:val="20"/>
          <w:szCs w:val="20"/>
          <w:vertAlign w:val="subscript"/>
        </w:rPr>
        <w:t>(0-12,ss).</w:t>
      </w:r>
    </w:p>
    <w:p w14:paraId="08653BC4" w14:textId="77777777" w:rsidR="00AD59FF" w:rsidRPr="00ED347B" w:rsidRDefault="00AD59FF" w:rsidP="00AD59FF">
      <w:pPr>
        <w:keepLines/>
        <w:tabs>
          <w:tab w:val="left" w:pos="259"/>
        </w:tabs>
        <w:spacing w:after="0" w:line="259" w:lineRule="atLeast"/>
        <w:ind w:left="259" w:hanging="259"/>
        <w:rPr>
          <w:rFonts w:ascii="Arial" w:hAnsi="Arial" w:cs="Arial"/>
          <w:sz w:val="20"/>
          <w:szCs w:val="20"/>
        </w:rPr>
      </w:pPr>
      <w:proofErr w:type="gramStart"/>
      <w:r w:rsidRPr="00ED347B">
        <w:rPr>
          <w:rFonts w:ascii="Arial" w:hAnsi="Arial" w:cs="Arial"/>
          <w:position w:val="4"/>
          <w:sz w:val="16"/>
          <w:szCs w:val="20"/>
        </w:rPr>
        <w:t>c</w:t>
      </w:r>
      <w:proofErr w:type="gramEnd"/>
      <w:r w:rsidRPr="00ED347B">
        <w:rPr>
          <w:rFonts w:ascii="Arial" w:hAnsi="Arial" w:cs="Arial"/>
          <w:sz w:val="20"/>
          <w:szCs w:val="20"/>
        </w:rPr>
        <w:tab/>
        <w:t>R</w:t>
      </w:r>
      <w:r w:rsidRPr="00ED347B">
        <w:rPr>
          <w:rFonts w:ascii="Arial" w:hAnsi="Arial" w:cs="Arial"/>
          <w:position w:val="-4"/>
          <w:sz w:val="16"/>
          <w:szCs w:val="20"/>
        </w:rPr>
        <w:t>A</w:t>
      </w:r>
      <w:r w:rsidRPr="00ED347B">
        <w:rPr>
          <w:rFonts w:ascii="Arial" w:hAnsi="Arial" w:cs="Arial"/>
          <w:sz w:val="20"/>
          <w:szCs w:val="20"/>
        </w:rPr>
        <w:t>:  accumulation ratio between Day 1 and Day 14 of Cycle 1 (Ratio of AUC</w:t>
      </w:r>
      <w:r w:rsidRPr="001D73CB">
        <w:rPr>
          <w:rFonts w:ascii="Arial" w:hAnsi="Arial" w:cs="Arial"/>
          <w:sz w:val="20"/>
          <w:szCs w:val="20"/>
          <w:vertAlign w:val="subscript"/>
        </w:rPr>
        <w:t>[0-8]</w:t>
      </w:r>
      <w:r w:rsidRPr="00ED347B">
        <w:rPr>
          <w:rFonts w:ascii="Arial" w:hAnsi="Arial" w:cs="Arial"/>
          <w:sz w:val="20"/>
          <w:szCs w:val="20"/>
        </w:rPr>
        <w:t xml:space="preserve"> [Day 14]/AUC</w:t>
      </w:r>
      <w:r w:rsidRPr="001D73CB">
        <w:rPr>
          <w:rFonts w:ascii="Arial" w:hAnsi="Arial" w:cs="Arial"/>
          <w:sz w:val="20"/>
          <w:szCs w:val="20"/>
          <w:vertAlign w:val="subscript"/>
        </w:rPr>
        <w:t>[0-8]</w:t>
      </w:r>
      <w:r w:rsidRPr="00ED347B">
        <w:rPr>
          <w:rFonts w:ascii="Arial" w:hAnsi="Arial" w:cs="Arial"/>
          <w:sz w:val="20"/>
          <w:szCs w:val="20"/>
        </w:rPr>
        <w:t xml:space="preserve"> [Day 1]).</w:t>
      </w:r>
    </w:p>
    <w:p w14:paraId="08653BC5" w14:textId="77777777" w:rsidR="00AD59FF" w:rsidRPr="00ED347B" w:rsidRDefault="00AD59FF" w:rsidP="00AD59FF">
      <w:pPr>
        <w:spacing w:before="14" w:after="144" w:line="300" w:lineRule="atLeast"/>
        <w:rPr>
          <w:rFonts w:ascii="Arial" w:hAnsi="Arial" w:cs="Arial"/>
          <w:sz w:val="24"/>
          <w:szCs w:val="24"/>
        </w:rPr>
      </w:pPr>
    </w:p>
    <w:p w14:paraId="08653BC6" w14:textId="77777777" w:rsidR="00AD59FF" w:rsidRPr="00ED347B" w:rsidRDefault="00AD59FF" w:rsidP="00AD59FF">
      <w:pPr>
        <w:keepNext/>
        <w:keepLines/>
        <w:spacing w:before="240" w:after="120" w:line="259" w:lineRule="atLeast"/>
        <w:ind w:left="2304" w:hanging="2304"/>
        <w:rPr>
          <w:rFonts w:ascii="Arial" w:hAnsi="Arial" w:cs="Arial"/>
          <w:b/>
          <w:bCs/>
          <w:szCs w:val="24"/>
        </w:rPr>
      </w:pPr>
      <w:bookmarkStart w:id="3" w:name="_Ref357516518"/>
      <w:bookmarkStart w:id="4" w:name="_Toc406754809"/>
      <w:r w:rsidRPr="00ED347B">
        <w:rPr>
          <w:rFonts w:ascii="Arial" w:hAnsi="Arial" w:cs="Arial"/>
          <w:b/>
          <w:bCs/>
          <w:szCs w:val="20"/>
        </w:rPr>
        <w:lastRenderedPageBreak/>
        <w:t>Table </w:t>
      </w:r>
      <w:bookmarkEnd w:id="3"/>
      <w:r w:rsidRPr="00ED347B">
        <w:rPr>
          <w:rFonts w:ascii="Arial" w:hAnsi="Arial" w:cs="Arial"/>
          <w:b/>
          <w:bCs/>
          <w:szCs w:val="20"/>
        </w:rPr>
        <w:t>S</w:t>
      </w:r>
      <w:r>
        <w:rPr>
          <w:rFonts w:ascii="Arial" w:hAnsi="Arial" w:cs="Arial"/>
          <w:b/>
          <w:bCs/>
          <w:szCs w:val="20"/>
        </w:rPr>
        <w:t>3</w:t>
      </w:r>
      <w:r w:rsidRPr="00ED347B">
        <w:rPr>
          <w:rFonts w:ascii="Arial" w:hAnsi="Arial" w:cs="Arial"/>
          <w:b/>
          <w:bCs/>
          <w:szCs w:val="20"/>
        </w:rPr>
        <w:tab/>
      </w:r>
      <w:proofErr w:type="spellStart"/>
      <w:r w:rsidRPr="00ED347B">
        <w:rPr>
          <w:rFonts w:ascii="Arial" w:hAnsi="Arial" w:cs="Arial"/>
          <w:b/>
          <w:bCs/>
          <w:szCs w:val="20"/>
        </w:rPr>
        <w:t>Noncompartmental</w:t>
      </w:r>
      <w:proofErr w:type="spellEnd"/>
      <w:r w:rsidRPr="00ED347B">
        <w:rPr>
          <w:rFonts w:ascii="Arial" w:hAnsi="Arial" w:cs="Arial"/>
          <w:b/>
          <w:bCs/>
          <w:szCs w:val="20"/>
        </w:rPr>
        <w:t xml:space="preserve"> Pharmacokinetic Summary Following Oral Administration of </w:t>
      </w:r>
      <w:r w:rsidRPr="00DB7634">
        <w:rPr>
          <w:rFonts w:ascii="Arial" w:hAnsi="Arial" w:cs="Arial"/>
          <w:b/>
          <w:bCs/>
        </w:rPr>
        <w:t>ralimetinib</w:t>
      </w:r>
      <w:r w:rsidRPr="00ED347B">
        <w:rPr>
          <w:rFonts w:ascii="Arial" w:hAnsi="Arial" w:cs="Arial"/>
          <w:b/>
          <w:bCs/>
          <w:szCs w:val="20"/>
        </w:rPr>
        <w:t xml:space="preserve"> on Day 1 and on Day 14 (Cycle 1) – Tablet Formulation</w:t>
      </w:r>
      <w:bookmarkEnd w:id="4"/>
    </w:p>
    <w:tbl>
      <w:tblPr>
        <w:tblW w:w="8188" w:type="dxa"/>
        <w:jc w:val="center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260"/>
        <w:gridCol w:w="1260"/>
        <w:gridCol w:w="1080"/>
        <w:gridCol w:w="1427"/>
        <w:gridCol w:w="1363"/>
        <w:gridCol w:w="1034"/>
      </w:tblGrid>
      <w:tr w:rsidR="00AD59FF" w:rsidRPr="00ED347B" w14:paraId="08653BCA" w14:textId="77777777" w:rsidTr="00056FB7">
        <w:trPr>
          <w:trHeight w:val="255"/>
          <w:jc w:val="center"/>
        </w:trPr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653BC7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C8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C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bCs/>
                <w:sz w:val="20"/>
                <w:szCs w:val="20"/>
              </w:rPr>
              <w:t>Geometric Mean (</w:t>
            </w:r>
            <w:proofErr w:type="gramStart"/>
            <w:r w:rsidRPr="00ED347B">
              <w:rPr>
                <w:rFonts w:ascii="Arial" w:hAnsi="Arial" w:cs="Arial"/>
                <w:b/>
                <w:bCs/>
                <w:sz w:val="20"/>
                <w:szCs w:val="20"/>
              </w:rPr>
              <w:t>CV%</w:t>
            </w:r>
            <w:proofErr w:type="gramEnd"/>
            <w:r w:rsidRPr="00ED347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D59FF" w:rsidRPr="00ED347B" w14:paraId="08653BD2" w14:textId="77777777" w:rsidTr="00056FB7">
        <w:trPr>
          <w:trHeight w:val="255"/>
          <w:jc w:val="center"/>
        </w:trPr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653BCB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CC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653BC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Cohort 10 (160 mg Q12H)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53BC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Cohort 11 (200 mg Q12H)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53BC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Cohort 12 + Part C (300 mg Q12H)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53BD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Cohort 13 + Part B (420 mg Q12H)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53BD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Cohort 14 (560 mg Q12H)</w:t>
            </w:r>
          </w:p>
        </w:tc>
      </w:tr>
      <w:tr w:rsidR="00AD59FF" w:rsidRPr="00ED347B" w14:paraId="08653BDA" w14:textId="77777777" w:rsidTr="00056FB7">
        <w:trPr>
          <w:trHeight w:val="255"/>
          <w:jc w:val="center"/>
        </w:trPr>
        <w:tc>
          <w:tcPr>
            <w:tcW w:w="764" w:type="dxa"/>
            <w:tcBorders>
              <w:top w:val="single" w:sz="4" w:space="0" w:color="auto"/>
              <w:left w:val="nil"/>
            </w:tcBorders>
          </w:tcPr>
          <w:p w14:paraId="08653BD3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Day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D4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3BD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D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D7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D8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D9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D59FF" w:rsidRPr="00ED347B" w14:paraId="08653BE8" w14:textId="77777777" w:rsidTr="00056FB7">
        <w:trPr>
          <w:trHeight w:val="25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nil"/>
            </w:tcBorders>
          </w:tcPr>
          <w:p w14:paraId="08653BDB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DC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C</w:t>
            </w:r>
            <w:r w:rsidRPr="00ED347B">
              <w:rPr>
                <w:rFonts w:ascii="Arial" w:hAnsi="Arial" w:cs="Arial"/>
                <w:position w:val="-4"/>
                <w:sz w:val="16"/>
                <w:szCs w:val="20"/>
              </w:rPr>
              <w:t>max</w:t>
            </w:r>
          </w:p>
          <w:p w14:paraId="08653BDD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(ng/mL)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3BD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454</w:t>
            </w:r>
          </w:p>
          <w:p w14:paraId="08653BD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E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636</w:t>
            </w:r>
          </w:p>
          <w:p w14:paraId="08653BE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(78)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E2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1020</w:t>
            </w:r>
          </w:p>
          <w:p w14:paraId="08653BE3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(58)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E4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1700</w:t>
            </w:r>
          </w:p>
          <w:p w14:paraId="08653BE5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(71)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E6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2360</w:t>
            </w:r>
          </w:p>
          <w:p w14:paraId="08653BE7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</w:tr>
      <w:tr w:rsidR="00AD59FF" w:rsidRPr="00ED347B" w14:paraId="08653BF6" w14:textId="77777777" w:rsidTr="00056FB7">
        <w:trPr>
          <w:trHeight w:val="255"/>
          <w:jc w:val="center"/>
        </w:trPr>
        <w:tc>
          <w:tcPr>
            <w:tcW w:w="764" w:type="dxa"/>
            <w:vMerge/>
            <w:tcBorders>
              <w:left w:val="nil"/>
            </w:tcBorders>
          </w:tcPr>
          <w:p w14:paraId="08653BE9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EA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t</w:t>
            </w:r>
            <w:r w:rsidRPr="00ED347B">
              <w:rPr>
                <w:rFonts w:ascii="Arial" w:hAnsi="Arial" w:cs="Arial"/>
                <w:position w:val="-4"/>
                <w:sz w:val="16"/>
                <w:szCs w:val="20"/>
              </w:rPr>
              <w:t>max</w:t>
            </w:r>
            <w:r w:rsidRPr="00ED347B">
              <w:rPr>
                <w:rFonts w:ascii="Arial" w:hAnsi="Arial" w:cs="Arial"/>
                <w:position w:val="4"/>
                <w:sz w:val="16"/>
                <w:szCs w:val="20"/>
              </w:rPr>
              <w:t>a</w:t>
            </w:r>
          </w:p>
          <w:p w14:paraId="08653BEB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D347B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ED34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3BE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2.00</w:t>
            </w:r>
          </w:p>
          <w:p w14:paraId="08653BE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(1.00–2.00)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E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08653BE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(0.50–1.00)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F0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08653BF1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(0.98–3.00)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F2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08653BF3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(0.50–8.00)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F4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1.98</w:t>
            </w:r>
          </w:p>
          <w:p w14:paraId="08653BF5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(1.00–2.07)</w:t>
            </w:r>
          </w:p>
        </w:tc>
      </w:tr>
      <w:tr w:rsidR="00AD59FF" w:rsidRPr="00ED347B" w14:paraId="08653C03" w14:textId="77777777" w:rsidTr="00056FB7">
        <w:trPr>
          <w:trHeight w:val="255"/>
          <w:jc w:val="center"/>
        </w:trPr>
        <w:tc>
          <w:tcPr>
            <w:tcW w:w="764" w:type="dxa"/>
            <w:vMerge/>
            <w:tcBorders>
              <w:left w:val="nil"/>
              <w:bottom w:val="single" w:sz="4" w:space="0" w:color="auto"/>
            </w:tcBorders>
          </w:tcPr>
          <w:p w14:paraId="08653BF7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BF8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AUC</w:t>
            </w:r>
            <w:r w:rsidRPr="001D73CB">
              <w:rPr>
                <w:rFonts w:ascii="Arial" w:hAnsi="Arial" w:cs="Arial"/>
                <w:sz w:val="20"/>
                <w:szCs w:val="20"/>
                <w:vertAlign w:val="subscript"/>
              </w:rPr>
              <w:t>(0-8)</w:t>
            </w:r>
            <w:r w:rsidRPr="00ED347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D347B">
              <w:rPr>
                <w:rFonts w:ascii="Arial" w:hAnsi="Arial" w:cs="Arial"/>
                <w:sz w:val="20"/>
                <w:szCs w:val="20"/>
              </w:rPr>
              <w:t>ng·hr</w:t>
            </w:r>
            <w:proofErr w:type="spellEnd"/>
            <w:r w:rsidRPr="00ED347B">
              <w:rPr>
                <w:rFonts w:ascii="Arial" w:hAnsi="Arial" w:cs="Arial"/>
                <w:sz w:val="20"/>
                <w:szCs w:val="20"/>
              </w:rPr>
              <w:t>/mL)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3BF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1750</w:t>
            </w:r>
          </w:p>
          <w:p w14:paraId="08653BF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F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1720</w:t>
            </w:r>
          </w:p>
          <w:p w14:paraId="08653BF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(70)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FD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3460</w:t>
            </w:r>
          </w:p>
          <w:p w14:paraId="08653BFE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(51)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BFF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5780</w:t>
            </w:r>
          </w:p>
          <w:p w14:paraId="08653C00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(57)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01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8880</w:t>
            </w:r>
          </w:p>
          <w:p w14:paraId="08653C02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(37)</w:t>
            </w:r>
          </w:p>
        </w:tc>
      </w:tr>
      <w:tr w:rsidR="00AD59FF" w:rsidRPr="00ED347B" w14:paraId="08653C0B" w14:textId="77777777" w:rsidTr="00056FB7">
        <w:trPr>
          <w:trHeight w:val="255"/>
          <w:jc w:val="center"/>
        </w:trPr>
        <w:tc>
          <w:tcPr>
            <w:tcW w:w="764" w:type="dxa"/>
            <w:tcBorders>
              <w:top w:val="single" w:sz="4" w:space="0" w:color="auto"/>
              <w:left w:val="nil"/>
            </w:tcBorders>
          </w:tcPr>
          <w:p w14:paraId="08653C04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Day 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C05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3C06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0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D347B">
              <w:rPr>
                <w:rFonts w:ascii="Arial" w:hAnsi="Arial" w:cs="Arial"/>
                <w:b/>
                <w:position w:val="4"/>
                <w:sz w:val="16"/>
                <w:szCs w:val="20"/>
              </w:rPr>
              <w:t>d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08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D347B">
              <w:rPr>
                <w:rFonts w:ascii="Arial" w:hAnsi="Arial" w:cs="Arial"/>
                <w:b/>
                <w:position w:val="4"/>
                <w:sz w:val="20"/>
                <w:szCs w:val="20"/>
              </w:rPr>
              <w:t>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09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ED347B">
              <w:rPr>
                <w:rFonts w:ascii="Arial" w:hAnsi="Arial" w:cs="Arial"/>
                <w:b/>
                <w:position w:val="4"/>
                <w:sz w:val="20"/>
                <w:szCs w:val="20"/>
              </w:rPr>
              <w:t>f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0A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4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D59FF" w:rsidRPr="00ED347B" w14:paraId="08653C18" w14:textId="77777777" w:rsidTr="00056FB7">
        <w:trPr>
          <w:trHeight w:val="25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nil"/>
            </w:tcBorders>
          </w:tcPr>
          <w:p w14:paraId="08653C0C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C0D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C</w:t>
            </w:r>
            <w:r w:rsidRPr="00ED347B">
              <w:rPr>
                <w:rFonts w:ascii="Arial" w:hAnsi="Arial" w:cs="Arial"/>
                <w:position w:val="-4"/>
                <w:sz w:val="16"/>
                <w:szCs w:val="20"/>
              </w:rPr>
              <w:t>max</w:t>
            </w:r>
          </w:p>
          <w:p w14:paraId="08653C0E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(ng/mL)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3C0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574</w:t>
            </w:r>
          </w:p>
          <w:p w14:paraId="08653C1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1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963</w:t>
            </w:r>
          </w:p>
          <w:p w14:paraId="08653C12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(82)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13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1400</w:t>
            </w:r>
          </w:p>
          <w:p w14:paraId="08653C14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(81)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15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2230</w:t>
            </w:r>
          </w:p>
          <w:p w14:paraId="08653C16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(53)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17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3060</w:t>
            </w:r>
          </w:p>
        </w:tc>
      </w:tr>
      <w:tr w:rsidR="00AD59FF" w:rsidRPr="00ED347B" w14:paraId="08653C25" w14:textId="77777777" w:rsidTr="00056FB7">
        <w:trPr>
          <w:trHeight w:val="255"/>
          <w:jc w:val="center"/>
        </w:trPr>
        <w:tc>
          <w:tcPr>
            <w:tcW w:w="764" w:type="dxa"/>
            <w:vMerge/>
            <w:tcBorders>
              <w:left w:val="nil"/>
            </w:tcBorders>
          </w:tcPr>
          <w:p w14:paraId="08653C19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C1A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t</w:t>
            </w:r>
            <w:r w:rsidRPr="00ED347B">
              <w:rPr>
                <w:rFonts w:ascii="Arial" w:hAnsi="Arial" w:cs="Arial"/>
                <w:position w:val="-4"/>
                <w:sz w:val="16"/>
                <w:szCs w:val="20"/>
              </w:rPr>
              <w:t>max</w:t>
            </w:r>
            <w:r w:rsidRPr="00ED347B">
              <w:rPr>
                <w:rFonts w:ascii="Arial" w:hAnsi="Arial" w:cs="Arial"/>
                <w:position w:val="4"/>
                <w:sz w:val="16"/>
                <w:szCs w:val="20"/>
              </w:rPr>
              <w:t>a</w:t>
            </w:r>
          </w:p>
          <w:p w14:paraId="08653C1B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D347B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ED34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3C1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08653C1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(0.98–1.00)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1E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08653C1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(0.55–1.03)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20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2.02</w:t>
            </w:r>
          </w:p>
          <w:p w14:paraId="08653C21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(1.00–11.72)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22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1.53</w:t>
            </w:r>
          </w:p>
          <w:p w14:paraId="08653C23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(0.50–4.00)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24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AD59FF" w:rsidRPr="00ED347B" w14:paraId="08653C30" w14:textId="77777777" w:rsidTr="00056FB7">
        <w:trPr>
          <w:trHeight w:val="255"/>
          <w:jc w:val="center"/>
        </w:trPr>
        <w:tc>
          <w:tcPr>
            <w:tcW w:w="764" w:type="dxa"/>
            <w:vMerge/>
            <w:tcBorders>
              <w:left w:val="nil"/>
            </w:tcBorders>
          </w:tcPr>
          <w:p w14:paraId="08653C26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C27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AUC</w:t>
            </w:r>
            <w:r w:rsidRPr="001D73CB">
              <w:rPr>
                <w:rFonts w:ascii="Arial" w:hAnsi="Arial" w:cs="Arial"/>
                <w:sz w:val="20"/>
                <w:szCs w:val="20"/>
                <w:vertAlign w:val="subscript"/>
              </w:rPr>
              <w:t>(0-8)</w:t>
            </w:r>
            <w:r w:rsidRPr="00ED347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D347B">
              <w:rPr>
                <w:rFonts w:ascii="Arial" w:hAnsi="Arial" w:cs="Arial"/>
                <w:sz w:val="20"/>
                <w:szCs w:val="20"/>
              </w:rPr>
              <w:t>ng·hr</w:t>
            </w:r>
            <w:proofErr w:type="spellEnd"/>
            <w:r w:rsidRPr="00ED347B">
              <w:rPr>
                <w:rFonts w:ascii="Arial" w:hAnsi="Arial" w:cs="Arial"/>
                <w:sz w:val="20"/>
                <w:szCs w:val="20"/>
              </w:rPr>
              <w:t>/mL)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3C2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2810</w:t>
            </w:r>
          </w:p>
          <w:p w14:paraId="08653C2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2A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2140 - 7090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2B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6620</w:t>
            </w:r>
          </w:p>
          <w:p w14:paraId="08653C2C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(85)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2D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10200</w:t>
            </w:r>
          </w:p>
          <w:p w14:paraId="08653C2E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(55)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2F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15200</w:t>
            </w:r>
          </w:p>
        </w:tc>
      </w:tr>
      <w:tr w:rsidR="00AD59FF" w:rsidRPr="00ED347B" w14:paraId="08653C3B" w14:textId="77777777" w:rsidTr="00056FB7">
        <w:trPr>
          <w:trHeight w:val="255"/>
          <w:jc w:val="center"/>
        </w:trPr>
        <w:tc>
          <w:tcPr>
            <w:tcW w:w="764" w:type="dxa"/>
            <w:vMerge/>
            <w:tcBorders>
              <w:left w:val="nil"/>
            </w:tcBorders>
          </w:tcPr>
          <w:p w14:paraId="08653C31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C32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AUC</w:t>
            </w:r>
            <w:r w:rsidRPr="001D73CB">
              <w:rPr>
                <w:rFonts w:ascii="Arial" w:hAnsi="Arial" w:cs="Arial"/>
                <w:sz w:val="20"/>
                <w:szCs w:val="20"/>
                <w:vertAlign w:val="subscript"/>
              </w:rPr>
              <w:t>(0-24,ss)</w:t>
            </w:r>
            <w:r w:rsidRPr="00ED347B">
              <w:rPr>
                <w:rFonts w:ascii="Arial" w:hAnsi="Arial" w:cs="Arial"/>
                <w:bCs/>
                <w:position w:val="4"/>
                <w:sz w:val="16"/>
                <w:szCs w:val="20"/>
              </w:rPr>
              <w:t xml:space="preserve">b </w:t>
            </w:r>
            <w:r w:rsidRPr="00ED347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ED347B">
              <w:rPr>
                <w:rFonts w:ascii="Arial" w:hAnsi="Arial" w:cs="Arial"/>
                <w:bCs/>
                <w:sz w:val="20"/>
                <w:szCs w:val="20"/>
              </w:rPr>
              <w:t>ng·hr</w:t>
            </w:r>
            <w:proofErr w:type="spellEnd"/>
            <w:r w:rsidRPr="00ED347B">
              <w:rPr>
                <w:rFonts w:ascii="Arial" w:hAnsi="Arial" w:cs="Arial"/>
                <w:bCs/>
                <w:sz w:val="20"/>
                <w:szCs w:val="20"/>
              </w:rPr>
              <w:t>/mL)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3C3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7590</w:t>
            </w:r>
          </w:p>
          <w:p w14:paraId="08653C3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3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4920 – 17600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36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17900</w:t>
            </w:r>
          </w:p>
          <w:p w14:paraId="08653C37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(85)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38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26200</w:t>
            </w:r>
          </w:p>
          <w:p w14:paraId="08653C39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(57)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3A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40500</w:t>
            </w:r>
          </w:p>
        </w:tc>
      </w:tr>
      <w:tr w:rsidR="00AD59FF" w:rsidRPr="00ED347B" w14:paraId="08653C47" w14:textId="77777777" w:rsidTr="00056FB7">
        <w:trPr>
          <w:trHeight w:val="255"/>
          <w:jc w:val="center"/>
        </w:trPr>
        <w:tc>
          <w:tcPr>
            <w:tcW w:w="764" w:type="dxa"/>
            <w:vMerge/>
            <w:tcBorders>
              <w:left w:val="nil"/>
            </w:tcBorders>
          </w:tcPr>
          <w:p w14:paraId="08653C3C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C3D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CL</w:t>
            </w:r>
            <w:proofErr w:type="spellStart"/>
            <w:r w:rsidRPr="00ED347B">
              <w:rPr>
                <w:rFonts w:ascii="Arial" w:hAnsi="Arial" w:cs="Arial"/>
                <w:position w:val="-4"/>
                <w:sz w:val="16"/>
                <w:szCs w:val="16"/>
              </w:rPr>
              <w:t>ss</w:t>
            </w:r>
            <w:proofErr w:type="spellEnd"/>
            <w:r w:rsidRPr="00ED347B">
              <w:rPr>
                <w:rFonts w:ascii="Arial" w:hAnsi="Arial" w:cs="Arial"/>
                <w:sz w:val="20"/>
                <w:szCs w:val="20"/>
              </w:rPr>
              <w:t>/F</w:t>
            </w:r>
          </w:p>
          <w:p w14:paraId="08653C3E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(L/</w:t>
            </w:r>
            <w:proofErr w:type="spellStart"/>
            <w:r w:rsidRPr="00ED347B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ED34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3C3F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42.2</w:t>
            </w:r>
          </w:p>
          <w:p w14:paraId="08653C40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41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22.7 – 81.3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42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33.6</w:t>
            </w:r>
          </w:p>
          <w:p w14:paraId="08653C43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(85)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44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32.1</w:t>
            </w:r>
          </w:p>
          <w:p w14:paraId="08653C45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(57)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46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27.7</w:t>
            </w:r>
          </w:p>
        </w:tc>
      </w:tr>
      <w:tr w:rsidR="00AD59FF" w:rsidRPr="00ED347B" w14:paraId="08653C53" w14:textId="77777777" w:rsidTr="00056FB7">
        <w:trPr>
          <w:trHeight w:val="255"/>
          <w:jc w:val="center"/>
        </w:trPr>
        <w:tc>
          <w:tcPr>
            <w:tcW w:w="764" w:type="dxa"/>
            <w:vMerge/>
            <w:tcBorders>
              <w:left w:val="nil"/>
            </w:tcBorders>
          </w:tcPr>
          <w:p w14:paraId="08653C48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C49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347B">
              <w:rPr>
                <w:rFonts w:ascii="Arial" w:hAnsi="Arial" w:cs="Arial"/>
                <w:sz w:val="20"/>
                <w:szCs w:val="20"/>
              </w:rPr>
              <w:t>Vd</w:t>
            </w:r>
            <w:r w:rsidRPr="00ED347B">
              <w:rPr>
                <w:rFonts w:ascii="Arial" w:hAnsi="Arial" w:cs="Arial"/>
                <w:position w:val="-4"/>
                <w:sz w:val="16"/>
                <w:szCs w:val="16"/>
              </w:rPr>
              <w:t>ss</w:t>
            </w:r>
            <w:proofErr w:type="spellEnd"/>
            <w:r w:rsidRPr="00ED347B">
              <w:rPr>
                <w:rFonts w:ascii="Arial" w:hAnsi="Arial" w:cs="Arial"/>
                <w:sz w:val="20"/>
                <w:szCs w:val="20"/>
              </w:rPr>
              <w:t>/F</w:t>
            </w:r>
          </w:p>
          <w:p w14:paraId="08653C4A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3C4B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2580</w:t>
            </w:r>
          </w:p>
          <w:p w14:paraId="08653C4C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(44)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4D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1280 – 2250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4E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2130</w:t>
            </w:r>
          </w:p>
          <w:p w14:paraId="08653C4F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(100)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50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1620</w:t>
            </w:r>
          </w:p>
          <w:p w14:paraId="08653C51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(165)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52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3930</w:t>
            </w:r>
          </w:p>
        </w:tc>
      </w:tr>
      <w:tr w:rsidR="00AD59FF" w:rsidRPr="00ED347B" w14:paraId="08653C5F" w14:textId="77777777" w:rsidTr="00056FB7">
        <w:trPr>
          <w:trHeight w:val="255"/>
          <w:jc w:val="center"/>
        </w:trPr>
        <w:tc>
          <w:tcPr>
            <w:tcW w:w="764" w:type="dxa"/>
            <w:vMerge/>
            <w:tcBorders>
              <w:left w:val="nil"/>
            </w:tcBorders>
          </w:tcPr>
          <w:p w14:paraId="08653C54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C55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t</w:t>
            </w:r>
            <w:r w:rsidRPr="00ED347B">
              <w:rPr>
                <w:rFonts w:ascii="Arial" w:hAnsi="Arial" w:cs="Arial"/>
                <w:position w:val="-4"/>
                <w:sz w:val="16"/>
                <w:szCs w:val="16"/>
              </w:rPr>
              <w:t>1/2</w:t>
            </w:r>
          </w:p>
          <w:p w14:paraId="08653C56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D347B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ED34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3C57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86.8</w:t>
            </w:r>
          </w:p>
          <w:p w14:paraId="08653C58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59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111 – 193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5A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92.6</w:t>
            </w:r>
          </w:p>
          <w:p w14:paraId="08653C5B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(46)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5C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77.4</w:t>
            </w:r>
          </w:p>
          <w:p w14:paraId="08653C5D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(150)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5E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193</w:t>
            </w:r>
          </w:p>
        </w:tc>
      </w:tr>
      <w:tr w:rsidR="00AD59FF" w:rsidRPr="00ED347B" w14:paraId="08653C6C" w14:textId="77777777" w:rsidTr="00056FB7">
        <w:trPr>
          <w:trHeight w:val="255"/>
          <w:jc w:val="center"/>
        </w:trPr>
        <w:tc>
          <w:tcPr>
            <w:tcW w:w="764" w:type="dxa"/>
            <w:vMerge/>
            <w:tcBorders>
              <w:left w:val="nil"/>
              <w:bottom w:val="single" w:sz="4" w:space="0" w:color="auto"/>
            </w:tcBorders>
          </w:tcPr>
          <w:p w14:paraId="08653C60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3C61" w14:textId="77777777" w:rsidR="00AD59FF" w:rsidRPr="00ED347B" w:rsidRDefault="00AD59FF" w:rsidP="00056FB7">
            <w:pPr>
              <w:keepNext/>
              <w:keepLines/>
              <w:adjustRightInd w:val="0"/>
              <w:snapToGrid w:val="0"/>
              <w:spacing w:after="0" w:line="259" w:lineRule="atLeast"/>
              <w:textAlignment w:val="baseline"/>
              <w:outlineLvl w:val="0"/>
              <w:rPr>
                <w:rFonts w:ascii="Arial" w:hAnsi="Arial" w:cs="Arial"/>
                <w:bCs/>
                <w:position w:val="4"/>
                <w:sz w:val="16"/>
                <w:szCs w:val="20"/>
              </w:rPr>
            </w:pPr>
            <w:r w:rsidRPr="00ED347B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ED347B">
              <w:rPr>
                <w:rFonts w:ascii="Arial" w:hAnsi="Arial" w:cs="Arial"/>
                <w:bCs/>
                <w:position w:val="-4"/>
                <w:sz w:val="20"/>
                <w:szCs w:val="20"/>
              </w:rPr>
              <w:t>A</w:t>
            </w:r>
            <w:r w:rsidRPr="00ED347B">
              <w:rPr>
                <w:rFonts w:ascii="Arial" w:hAnsi="Arial" w:cs="Arial"/>
                <w:bCs/>
                <w:position w:val="4"/>
                <w:sz w:val="16"/>
                <w:szCs w:val="20"/>
              </w:rPr>
              <w:t>c</w:t>
            </w:r>
          </w:p>
          <w:p w14:paraId="08653C62" w14:textId="77777777" w:rsidR="00AD59FF" w:rsidRPr="00ED347B" w:rsidRDefault="00AD59FF" w:rsidP="00056FB7">
            <w:pPr>
              <w:keepNext/>
              <w:keepLines/>
              <w:spacing w:after="0" w:line="259" w:lineRule="atLeast"/>
              <w:rPr>
                <w:rFonts w:ascii="Arial" w:hAnsi="Arial" w:cs="Arial"/>
                <w:bCs/>
                <w:position w:val="-4"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3C63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1.60</w:t>
            </w:r>
          </w:p>
          <w:p w14:paraId="08653C64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65" w14:textId="77777777" w:rsidR="00AD59FF" w:rsidRPr="00ED347B" w:rsidRDefault="00AD59FF" w:rsidP="00056FB7">
            <w:pPr>
              <w:keepNext/>
              <w:keepLines/>
              <w:spacing w:after="0" w:line="25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47B">
              <w:rPr>
                <w:rFonts w:ascii="Arial" w:hAnsi="Arial" w:cs="Arial"/>
                <w:sz w:val="20"/>
                <w:szCs w:val="20"/>
              </w:rPr>
              <w:t>0.948 – 2.63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66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1.89</w:t>
            </w:r>
          </w:p>
          <w:p w14:paraId="08653C67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(33)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68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1.79</w:t>
            </w:r>
          </w:p>
          <w:p w14:paraId="08653C69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(28)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53C6A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  <w:r w:rsidRPr="00ED347B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1.52</w:t>
            </w:r>
          </w:p>
          <w:p w14:paraId="08653C6B" w14:textId="77777777" w:rsidR="00AD59FF" w:rsidRPr="00ED347B" w:rsidRDefault="00AD59FF" w:rsidP="00056FB7">
            <w:pPr>
              <w:keepNext/>
              <w:keepLines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="TimesNewRoman" w:hAnsi="Arial" w:cs="Arial"/>
                <w:color w:val="000000"/>
                <w:sz w:val="20"/>
                <w:szCs w:val="20"/>
              </w:rPr>
            </w:pPr>
          </w:p>
        </w:tc>
      </w:tr>
    </w:tbl>
    <w:p w14:paraId="08653C6D" w14:textId="77777777" w:rsidR="00AD59FF" w:rsidRPr="00ED347B" w:rsidRDefault="00AD59FF" w:rsidP="00AD59FF">
      <w:pPr>
        <w:keepNext/>
        <w:keepLines/>
        <w:tabs>
          <w:tab w:val="left" w:pos="259"/>
        </w:tabs>
        <w:spacing w:after="0" w:line="259" w:lineRule="atLeast"/>
        <w:ind w:left="259" w:hanging="259"/>
        <w:rPr>
          <w:rFonts w:ascii="Arial" w:hAnsi="Arial" w:cs="Arial"/>
          <w:sz w:val="20"/>
          <w:szCs w:val="20"/>
        </w:rPr>
      </w:pPr>
      <w:r w:rsidRPr="00ED347B">
        <w:rPr>
          <w:rFonts w:ascii="Arial" w:hAnsi="Arial" w:cs="Arial"/>
          <w:sz w:val="20"/>
          <w:szCs w:val="20"/>
        </w:rPr>
        <w:t>Abbreviations:  AUC</w:t>
      </w:r>
      <w:r w:rsidRPr="001D73CB">
        <w:rPr>
          <w:rFonts w:ascii="Arial" w:hAnsi="Arial" w:cs="Arial"/>
          <w:sz w:val="20"/>
          <w:szCs w:val="20"/>
          <w:vertAlign w:val="subscript"/>
        </w:rPr>
        <w:t>(0-8)</w:t>
      </w:r>
      <w:r w:rsidRPr="00ED347B">
        <w:rPr>
          <w:rFonts w:ascii="Arial" w:hAnsi="Arial" w:cs="Arial"/>
          <w:sz w:val="20"/>
          <w:szCs w:val="20"/>
        </w:rPr>
        <w:t xml:space="preserve"> = area under the baseline-corrected serum concentration versus time curve from time zero to 8 hours; AUC</w:t>
      </w:r>
      <w:r w:rsidRPr="001D73CB">
        <w:rPr>
          <w:rFonts w:ascii="Arial" w:hAnsi="Arial" w:cs="Arial"/>
          <w:sz w:val="20"/>
          <w:szCs w:val="20"/>
          <w:vertAlign w:val="subscript"/>
        </w:rPr>
        <w:t>(0</w:t>
      </w:r>
      <w:r w:rsidRPr="001D73CB">
        <w:rPr>
          <w:rFonts w:ascii="Arial" w:hAnsi="Arial" w:cs="Arial"/>
          <w:sz w:val="20"/>
          <w:szCs w:val="20"/>
          <w:vertAlign w:val="subscript"/>
        </w:rPr>
        <w:noBreakHyphen/>
        <w:t>12,ss)</w:t>
      </w:r>
      <w:r w:rsidRPr="00ED347B">
        <w:rPr>
          <w:rFonts w:ascii="Arial" w:hAnsi="Arial" w:cs="Arial"/>
          <w:sz w:val="20"/>
          <w:szCs w:val="20"/>
        </w:rPr>
        <w:t xml:space="preserve"> = area under the baseline-corrected serum concentration versus time curve from time zero to 12 hours at steady state; AUC</w:t>
      </w:r>
      <w:r w:rsidRPr="001D73CB">
        <w:rPr>
          <w:rFonts w:ascii="Arial" w:hAnsi="Arial" w:cs="Arial"/>
          <w:sz w:val="20"/>
          <w:szCs w:val="20"/>
          <w:vertAlign w:val="subscript"/>
        </w:rPr>
        <w:t>(0-24,ss)</w:t>
      </w:r>
      <w:r w:rsidRPr="00ED347B">
        <w:rPr>
          <w:rFonts w:ascii="Arial" w:hAnsi="Arial" w:cs="Arial"/>
          <w:sz w:val="20"/>
          <w:szCs w:val="20"/>
        </w:rPr>
        <w:t xml:space="preserve"> = area under the baseline-corrected serum concentration versus time curve from time zero to 24 hours at steady state; CL</w:t>
      </w:r>
      <w:proofErr w:type="spellStart"/>
      <w:r w:rsidRPr="00ED347B">
        <w:rPr>
          <w:rFonts w:ascii="Arial" w:hAnsi="Arial" w:cs="Arial"/>
          <w:position w:val="-4"/>
          <w:sz w:val="16"/>
          <w:szCs w:val="20"/>
        </w:rPr>
        <w:t>ss</w:t>
      </w:r>
      <w:proofErr w:type="spellEnd"/>
      <w:r w:rsidRPr="00ED347B">
        <w:rPr>
          <w:rFonts w:ascii="Arial" w:hAnsi="Arial" w:cs="Arial"/>
          <w:sz w:val="20"/>
          <w:szCs w:val="20"/>
        </w:rPr>
        <w:t>/F = apparent total body clearance at steady state after extra-vascular administration; C</w:t>
      </w:r>
      <w:r w:rsidRPr="00ED347B">
        <w:rPr>
          <w:rFonts w:ascii="Arial" w:hAnsi="Arial" w:cs="Arial"/>
          <w:position w:val="-4"/>
          <w:sz w:val="16"/>
          <w:szCs w:val="20"/>
        </w:rPr>
        <w:t>max</w:t>
      </w:r>
      <w:r w:rsidRPr="00ED347B">
        <w:rPr>
          <w:rFonts w:ascii="Arial" w:hAnsi="Arial" w:cs="Arial"/>
          <w:sz w:val="20"/>
          <w:szCs w:val="20"/>
        </w:rPr>
        <w:t> = maximum plasma concentration; CV = coefficient of variation; PK = pharmacokinetic; Q12H = every 12 hours; R</w:t>
      </w:r>
      <w:r w:rsidRPr="00ED347B">
        <w:rPr>
          <w:rFonts w:ascii="Arial" w:hAnsi="Arial" w:cs="Arial"/>
          <w:position w:val="-4"/>
          <w:sz w:val="16"/>
          <w:szCs w:val="20"/>
        </w:rPr>
        <w:t>A</w:t>
      </w:r>
      <w:r w:rsidRPr="00ED347B">
        <w:rPr>
          <w:rFonts w:ascii="Arial" w:hAnsi="Arial" w:cs="Arial"/>
          <w:sz w:val="20"/>
          <w:szCs w:val="20"/>
        </w:rPr>
        <w:t> = accumulation ratio; t</w:t>
      </w:r>
      <w:r w:rsidRPr="00ED347B">
        <w:rPr>
          <w:rFonts w:ascii="Arial" w:hAnsi="Arial" w:cs="Arial"/>
          <w:position w:val="-4"/>
          <w:sz w:val="16"/>
          <w:szCs w:val="20"/>
        </w:rPr>
        <w:t>1/2</w:t>
      </w:r>
      <w:r w:rsidRPr="00ED347B">
        <w:rPr>
          <w:rFonts w:ascii="Arial" w:hAnsi="Arial" w:cs="Arial"/>
          <w:sz w:val="20"/>
          <w:szCs w:val="20"/>
        </w:rPr>
        <w:t> = terminal half-life; t</w:t>
      </w:r>
      <w:r w:rsidRPr="00ED347B">
        <w:rPr>
          <w:rFonts w:ascii="Arial" w:hAnsi="Arial" w:cs="Arial"/>
          <w:position w:val="-4"/>
          <w:sz w:val="16"/>
          <w:szCs w:val="20"/>
        </w:rPr>
        <w:t>max</w:t>
      </w:r>
      <w:r w:rsidRPr="00ED347B">
        <w:rPr>
          <w:rFonts w:ascii="Arial" w:hAnsi="Arial" w:cs="Arial"/>
          <w:sz w:val="20"/>
          <w:szCs w:val="20"/>
        </w:rPr>
        <w:t xml:space="preserve"> = time to reach C</w:t>
      </w:r>
      <w:r w:rsidRPr="00ED347B">
        <w:rPr>
          <w:rFonts w:ascii="Arial" w:hAnsi="Arial" w:cs="Arial"/>
          <w:position w:val="-4"/>
          <w:sz w:val="16"/>
          <w:szCs w:val="20"/>
        </w:rPr>
        <w:t>max</w:t>
      </w:r>
      <w:r w:rsidRPr="00ED347B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D347B">
        <w:rPr>
          <w:rFonts w:ascii="Arial" w:hAnsi="Arial" w:cs="Arial"/>
          <w:sz w:val="20"/>
          <w:szCs w:val="20"/>
        </w:rPr>
        <w:t>Vd</w:t>
      </w:r>
      <w:r w:rsidRPr="00ED347B">
        <w:rPr>
          <w:rFonts w:ascii="Arial" w:hAnsi="Arial" w:cs="Arial"/>
          <w:position w:val="-4"/>
          <w:sz w:val="16"/>
          <w:szCs w:val="20"/>
        </w:rPr>
        <w:t>ss</w:t>
      </w:r>
      <w:proofErr w:type="spellEnd"/>
      <w:r w:rsidRPr="00ED347B">
        <w:rPr>
          <w:rFonts w:ascii="Arial" w:hAnsi="Arial" w:cs="Arial"/>
          <w:sz w:val="20"/>
          <w:szCs w:val="20"/>
        </w:rPr>
        <w:t>/F = apparent volume of distribution at steady state after extra-vascular administration.</w:t>
      </w:r>
    </w:p>
    <w:p w14:paraId="08653C6E" w14:textId="77777777" w:rsidR="00AD59FF" w:rsidRPr="00ED347B" w:rsidRDefault="00AD59FF" w:rsidP="00AD59FF">
      <w:pPr>
        <w:keepNext/>
        <w:keepLines/>
        <w:tabs>
          <w:tab w:val="left" w:pos="259"/>
        </w:tabs>
        <w:spacing w:after="0" w:line="259" w:lineRule="atLeast"/>
        <w:ind w:left="259" w:hanging="259"/>
        <w:rPr>
          <w:rFonts w:ascii="Arial" w:hAnsi="Arial" w:cs="Arial"/>
          <w:sz w:val="20"/>
          <w:szCs w:val="20"/>
        </w:rPr>
      </w:pPr>
      <w:proofErr w:type="gramStart"/>
      <w:r w:rsidRPr="00ED347B">
        <w:rPr>
          <w:rFonts w:ascii="Arial" w:hAnsi="Arial" w:cs="Arial"/>
          <w:position w:val="4"/>
          <w:sz w:val="16"/>
          <w:szCs w:val="20"/>
        </w:rPr>
        <w:t>a</w:t>
      </w:r>
      <w:proofErr w:type="gramEnd"/>
      <w:r w:rsidRPr="00ED347B">
        <w:rPr>
          <w:rFonts w:ascii="Arial" w:hAnsi="Arial" w:cs="Arial"/>
          <w:sz w:val="20"/>
          <w:szCs w:val="20"/>
        </w:rPr>
        <w:tab/>
        <w:t>Median (range).</w:t>
      </w:r>
    </w:p>
    <w:p w14:paraId="08653C6F" w14:textId="77777777" w:rsidR="00AD59FF" w:rsidRPr="00ED347B" w:rsidRDefault="00AD59FF" w:rsidP="00AD59FF">
      <w:pPr>
        <w:keepNext/>
        <w:keepLines/>
        <w:tabs>
          <w:tab w:val="left" w:pos="259"/>
        </w:tabs>
        <w:spacing w:after="0" w:line="259" w:lineRule="atLeast"/>
        <w:ind w:left="259" w:hanging="259"/>
        <w:rPr>
          <w:rFonts w:ascii="Arial" w:hAnsi="Arial" w:cs="Arial"/>
          <w:sz w:val="20"/>
          <w:szCs w:val="20"/>
        </w:rPr>
      </w:pPr>
      <w:proofErr w:type="gramStart"/>
      <w:r w:rsidRPr="00ED347B">
        <w:rPr>
          <w:rFonts w:ascii="Arial" w:hAnsi="Arial" w:cs="Arial"/>
          <w:position w:val="4"/>
          <w:sz w:val="16"/>
          <w:szCs w:val="20"/>
        </w:rPr>
        <w:t>b</w:t>
      </w:r>
      <w:proofErr w:type="gramEnd"/>
      <w:r w:rsidRPr="00ED347B">
        <w:rPr>
          <w:rFonts w:ascii="Arial" w:hAnsi="Arial" w:cs="Arial"/>
          <w:sz w:val="20"/>
          <w:szCs w:val="20"/>
        </w:rPr>
        <w:t xml:space="preserve"> </w:t>
      </w:r>
      <w:r w:rsidRPr="00ED347B">
        <w:rPr>
          <w:rFonts w:ascii="Arial" w:hAnsi="Arial" w:cs="Arial"/>
          <w:sz w:val="20"/>
          <w:szCs w:val="20"/>
        </w:rPr>
        <w:tab/>
        <w:t>AUC</w:t>
      </w:r>
      <w:r w:rsidRPr="001D73CB">
        <w:rPr>
          <w:rFonts w:ascii="Arial" w:hAnsi="Arial" w:cs="Arial"/>
          <w:sz w:val="20"/>
          <w:szCs w:val="20"/>
          <w:vertAlign w:val="subscript"/>
        </w:rPr>
        <w:t>(0-24,ss)</w:t>
      </w:r>
      <w:r w:rsidRPr="00ED347B">
        <w:rPr>
          <w:rFonts w:ascii="Arial" w:hAnsi="Arial" w:cs="Arial"/>
          <w:sz w:val="20"/>
          <w:szCs w:val="20"/>
        </w:rPr>
        <w:t xml:space="preserve"> represents the sum of AUC</w:t>
      </w:r>
      <w:r w:rsidRPr="001D73CB">
        <w:rPr>
          <w:rFonts w:ascii="Arial" w:hAnsi="Arial" w:cs="Arial"/>
          <w:sz w:val="20"/>
          <w:szCs w:val="20"/>
          <w:vertAlign w:val="subscript"/>
        </w:rPr>
        <w:t>(0-12,ss)</w:t>
      </w:r>
      <w:r w:rsidRPr="00ED347B">
        <w:rPr>
          <w:rFonts w:ascii="Arial" w:hAnsi="Arial" w:cs="Arial"/>
          <w:sz w:val="20"/>
          <w:szCs w:val="20"/>
        </w:rPr>
        <w:t xml:space="preserve"> + AUC</w:t>
      </w:r>
      <w:r w:rsidRPr="001D73CB">
        <w:rPr>
          <w:rFonts w:ascii="Arial" w:hAnsi="Arial" w:cs="Arial"/>
          <w:sz w:val="20"/>
          <w:szCs w:val="20"/>
          <w:vertAlign w:val="subscript"/>
        </w:rPr>
        <w:t>(0-12,ss).</w:t>
      </w:r>
    </w:p>
    <w:p w14:paraId="08653C70" w14:textId="77777777" w:rsidR="00AD59FF" w:rsidRPr="00ED347B" w:rsidRDefault="00AD59FF" w:rsidP="00AD59FF">
      <w:pPr>
        <w:keepNext/>
        <w:keepLines/>
        <w:tabs>
          <w:tab w:val="left" w:pos="259"/>
        </w:tabs>
        <w:spacing w:after="0" w:line="259" w:lineRule="atLeast"/>
        <w:ind w:left="259" w:hanging="259"/>
        <w:rPr>
          <w:rFonts w:ascii="Arial" w:hAnsi="Arial" w:cs="Arial"/>
          <w:sz w:val="20"/>
          <w:szCs w:val="20"/>
        </w:rPr>
      </w:pPr>
      <w:proofErr w:type="gramStart"/>
      <w:r w:rsidRPr="00ED347B">
        <w:rPr>
          <w:rFonts w:ascii="Arial" w:hAnsi="Arial" w:cs="Arial"/>
          <w:position w:val="4"/>
          <w:sz w:val="16"/>
          <w:szCs w:val="20"/>
        </w:rPr>
        <w:t>c</w:t>
      </w:r>
      <w:proofErr w:type="gramEnd"/>
      <w:r w:rsidRPr="00ED347B">
        <w:rPr>
          <w:rFonts w:ascii="Arial" w:hAnsi="Arial" w:cs="Arial"/>
          <w:sz w:val="20"/>
          <w:szCs w:val="20"/>
        </w:rPr>
        <w:tab/>
        <w:t>R</w:t>
      </w:r>
      <w:r w:rsidRPr="00ED347B">
        <w:rPr>
          <w:rFonts w:ascii="Arial" w:hAnsi="Arial" w:cs="Arial"/>
          <w:position w:val="-4"/>
          <w:sz w:val="16"/>
          <w:szCs w:val="20"/>
        </w:rPr>
        <w:t>A</w:t>
      </w:r>
      <w:r w:rsidRPr="00ED347B">
        <w:rPr>
          <w:rFonts w:ascii="Arial" w:hAnsi="Arial" w:cs="Arial"/>
          <w:sz w:val="20"/>
          <w:szCs w:val="20"/>
        </w:rPr>
        <w:t>:  accumulation ratio between Day 1 and Day 14 of Cycle 1 (ratio of AUC</w:t>
      </w:r>
      <w:r w:rsidRPr="001D73CB">
        <w:rPr>
          <w:rFonts w:ascii="Arial" w:hAnsi="Arial" w:cs="Arial"/>
          <w:sz w:val="20"/>
          <w:szCs w:val="20"/>
          <w:vertAlign w:val="subscript"/>
        </w:rPr>
        <w:t>[0-8]</w:t>
      </w:r>
      <w:r w:rsidRPr="00ED347B">
        <w:rPr>
          <w:rFonts w:ascii="Arial" w:hAnsi="Arial" w:cs="Arial"/>
          <w:sz w:val="20"/>
          <w:szCs w:val="20"/>
        </w:rPr>
        <w:t xml:space="preserve"> [Day 14]/AUC</w:t>
      </w:r>
      <w:r w:rsidRPr="001D73CB">
        <w:rPr>
          <w:rFonts w:ascii="Arial" w:hAnsi="Arial" w:cs="Arial"/>
          <w:sz w:val="20"/>
          <w:szCs w:val="20"/>
          <w:vertAlign w:val="subscript"/>
        </w:rPr>
        <w:t>[0-8]</w:t>
      </w:r>
      <w:r w:rsidRPr="00ED347B">
        <w:rPr>
          <w:rFonts w:ascii="Arial" w:hAnsi="Arial" w:cs="Arial"/>
          <w:sz w:val="20"/>
          <w:szCs w:val="20"/>
        </w:rPr>
        <w:t xml:space="preserve"> [Day 1]).</w:t>
      </w:r>
    </w:p>
    <w:p w14:paraId="08653C71" w14:textId="7268322A" w:rsidR="00AD59FF" w:rsidRPr="00ED347B" w:rsidRDefault="00AD59FF" w:rsidP="00AD59FF">
      <w:pPr>
        <w:keepNext/>
        <w:keepLines/>
        <w:tabs>
          <w:tab w:val="left" w:pos="259"/>
        </w:tabs>
        <w:spacing w:after="0" w:line="259" w:lineRule="atLeast"/>
        <w:ind w:left="259" w:hanging="259"/>
        <w:rPr>
          <w:rFonts w:ascii="Arial" w:hAnsi="Arial" w:cs="Arial"/>
          <w:sz w:val="20"/>
          <w:szCs w:val="20"/>
        </w:rPr>
      </w:pPr>
      <w:proofErr w:type="gramStart"/>
      <w:r w:rsidRPr="00ED347B">
        <w:rPr>
          <w:rFonts w:ascii="Arial" w:hAnsi="Arial" w:cs="Arial"/>
          <w:position w:val="4"/>
          <w:sz w:val="16"/>
          <w:szCs w:val="20"/>
        </w:rPr>
        <w:t>d</w:t>
      </w:r>
      <w:proofErr w:type="gramEnd"/>
      <w:r w:rsidRPr="00ED347B">
        <w:rPr>
          <w:rFonts w:ascii="Arial" w:hAnsi="Arial" w:cs="Arial"/>
          <w:sz w:val="20"/>
          <w:szCs w:val="20"/>
        </w:rPr>
        <w:tab/>
        <w:t>N=2 for all parameters except C</w:t>
      </w:r>
      <w:r w:rsidRPr="00ED347B">
        <w:rPr>
          <w:rFonts w:ascii="Arial" w:hAnsi="Arial" w:cs="Arial"/>
          <w:position w:val="-4"/>
          <w:sz w:val="16"/>
          <w:szCs w:val="20"/>
        </w:rPr>
        <w:t>max</w:t>
      </w:r>
      <w:r w:rsidRPr="00ED347B">
        <w:rPr>
          <w:rFonts w:ascii="Arial" w:hAnsi="Arial" w:cs="Arial"/>
          <w:sz w:val="20"/>
          <w:szCs w:val="20"/>
        </w:rPr>
        <w:t xml:space="preserve"> and t</w:t>
      </w:r>
      <w:r w:rsidRPr="00ED347B">
        <w:rPr>
          <w:rFonts w:ascii="Arial" w:hAnsi="Arial" w:cs="Arial"/>
          <w:position w:val="-4"/>
          <w:sz w:val="16"/>
          <w:szCs w:val="20"/>
        </w:rPr>
        <w:t>max</w:t>
      </w:r>
      <w:r w:rsidRPr="00ED347B">
        <w:rPr>
          <w:rFonts w:ascii="Arial" w:hAnsi="Arial" w:cs="Arial"/>
          <w:sz w:val="20"/>
          <w:szCs w:val="20"/>
        </w:rPr>
        <w:t xml:space="preserve">.  Individual PK parameters reported as a range after excluding </w:t>
      </w:r>
      <w:r w:rsidR="00C76DE8">
        <w:rPr>
          <w:rFonts w:ascii="Arial" w:hAnsi="Arial" w:cs="Arial"/>
          <w:sz w:val="20"/>
          <w:szCs w:val="20"/>
        </w:rPr>
        <w:t>one patient</w:t>
      </w:r>
      <w:r w:rsidRPr="00ED347B">
        <w:rPr>
          <w:rFonts w:ascii="Arial" w:hAnsi="Arial" w:cs="Arial"/>
          <w:sz w:val="20"/>
          <w:szCs w:val="20"/>
        </w:rPr>
        <w:t xml:space="preserve"> due to missing results in terminal phase.</w:t>
      </w:r>
    </w:p>
    <w:p w14:paraId="08653C72" w14:textId="22596547" w:rsidR="00B73D97" w:rsidRPr="00AD59FF" w:rsidRDefault="00AD59FF" w:rsidP="00AD59FF">
      <w:pPr>
        <w:keepLines/>
        <w:tabs>
          <w:tab w:val="left" w:pos="259"/>
        </w:tabs>
        <w:spacing w:after="0" w:line="259" w:lineRule="atLeast"/>
        <w:ind w:left="259" w:hanging="259"/>
        <w:rPr>
          <w:rFonts w:ascii="Arial" w:hAnsi="Arial" w:cs="Arial"/>
          <w:sz w:val="20"/>
          <w:szCs w:val="20"/>
        </w:rPr>
      </w:pPr>
      <w:proofErr w:type="gramStart"/>
      <w:r w:rsidRPr="00ED347B">
        <w:rPr>
          <w:rFonts w:ascii="Arial" w:hAnsi="Arial" w:cs="Arial"/>
          <w:position w:val="4"/>
          <w:sz w:val="16"/>
          <w:szCs w:val="20"/>
        </w:rPr>
        <w:t>e</w:t>
      </w:r>
      <w:proofErr w:type="gramEnd"/>
      <w:r w:rsidRPr="00ED347B">
        <w:rPr>
          <w:rFonts w:ascii="Arial" w:hAnsi="Arial" w:cs="Arial"/>
          <w:sz w:val="20"/>
          <w:szCs w:val="20"/>
        </w:rPr>
        <w:tab/>
        <w:t>N=8 for all parameters except t</w:t>
      </w:r>
      <w:r w:rsidRPr="00ED347B">
        <w:rPr>
          <w:rFonts w:ascii="Arial" w:hAnsi="Arial" w:cs="Arial"/>
          <w:position w:val="-4"/>
          <w:sz w:val="16"/>
          <w:szCs w:val="20"/>
        </w:rPr>
        <w:t>1/2</w:t>
      </w:r>
      <w:r w:rsidRPr="00ED347B">
        <w:rPr>
          <w:rFonts w:ascii="Arial" w:hAnsi="Arial" w:cs="Arial"/>
          <w:sz w:val="20"/>
          <w:szCs w:val="20"/>
        </w:rPr>
        <w:t xml:space="preserve">.  </w:t>
      </w:r>
      <w:proofErr w:type="gramStart"/>
      <w:r w:rsidRPr="00ED347B">
        <w:rPr>
          <w:rFonts w:ascii="Arial" w:hAnsi="Arial" w:cs="Arial"/>
          <w:sz w:val="20"/>
          <w:szCs w:val="20"/>
        </w:rPr>
        <w:t>Excluded PK parameters other than t</w:t>
      </w:r>
      <w:r w:rsidRPr="00ED347B">
        <w:rPr>
          <w:rFonts w:ascii="Arial" w:hAnsi="Arial" w:cs="Arial"/>
          <w:position w:val="-4"/>
          <w:sz w:val="16"/>
          <w:szCs w:val="20"/>
        </w:rPr>
        <w:t xml:space="preserve">1/2 </w:t>
      </w:r>
      <w:r w:rsidRPr="00ED347B">
        <w:rPr>
          <w:rFonts w:ascii="Arial" w:hAnsi="Arial" w:cs="Arial"/>
          <w:sz w:val="20"/>
          <w:szCs w:val="20"/>
        </w:rPr>
        <w:t xml:space="preserve">for </w:t>
      </w:r>
      <w:r w:rsidR="00C76DE8">
        <w:rPr>
          <w:rFonts w:ascii="Arial" w:hAnsi="Arial" w:cs="Arial"/>
          <w:sz w:val="20"/>
          <w:szCs w:val="20"/>
        </w:rPr>
        <w:t>one patient</w:t>
      </w:r>
      <w:r w:rsidRPr="00ED347B">
        <w:rPr>
          <w:rFonts w:ascii="Arial" w:hAnsi="Arial" w:cs="Arial"/>
          <w:sz w:val="20"/>
          <w:szCs w:val="20"/>
        </w:rPr>
        <w:t xml:space="preserve"> due to missing PK results at early sampling time points.</w:t>
      </w:r>
      <w:proofErr w:type="gramEnd"/>
    </w:p>
    <w:sectPr w:rsidR="00B73D97" w:rsidRPr="00AD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FF"/>
    <w:rsid w:val="001F32D5"/>
    <w:rsid w:val="0041688B"/>
    <w:rsid w:val="005B57E1"/>
    <w:rsid w:val="006C40E4"/>
    <w:rsid w:val="007F7AD4"/>
    <w:rsid w:val="00AD59FF"/>
    <w:rsid w:val="00B73D97"/>
    <w:rsid w:val="00C7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F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D59F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F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D59F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2</Value>
      <Value>1</Value>
    </TaxCatchAll>
    <Datavision_x0023_ xmlns="93A01F65-0DCA-46AB-8B04-1B2A965C62A6" xsi:nil="true"/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Document_x0020_type xmlns="93A01F65-0DCA-46AB-8B04-1B2A965C62A6"/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  <File_x0020_Disclosure_x0020_Name xmlns="93A01F65-0DCA-46AB-8B04-1B2A965C62A6" xsi:nil="true"/>
    <Lilly_x0020_Contact_x0020_Name xmlns="93A01F65-0DCA-46AB-8B04-1B2A965C62A6">
      <UserInfo>
        <DisplayName/>
        <AccountId xsi:nil="true"/>
        <AccountType/>
      </UserInfo>
    </Lilly_x0020_Contact_x0020_Name>
  </documentManagement>
</p:properties>
</file>

<file path=customXml/item2.xml><?xml version="1.0" encoding="utf-8"?>
<?mso-contentType ?>
<SharedContentType xmlns="Microsoft.SharePoint.Taxonomy.ContentTypeSync" SourceId="dc7d05db-9a88-43f7-9979-b3027636d98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1C0C7940F9244B0AD20FCB57D4B6A" ma:contentTypeVersion="0" ma:contentTypeDescription="Create a new document." ma:contentTypeScope="" ma:versionID="f5d6e5c5179434680c3e41b36adcc497">
  <xsd:schema xmlns:xsd="http://www.w3.org/2001/XMLSchema" xmlns:xs="http://www.w3.org/2001/XMLSchema" xmlns:p="http://schemas.microsoft.com/office/2006/metadata/properties" xmlns:ns2="33648e8c-5399-4ce0-994e-2f4ddb1c4614" xmlns:ns3="93A01F65-0DCA-46AB-8B04-1B2A965C62A6" targetNamespace="http://schemas.microsoft.com/office/2006/metadata/properties" ma:root="true" ma:fieldsID="ba8d582a78b7418588914522ca4f4ef6" ns2:_="" ns3:_="">
    <xsd:import namespace="33648e8c-5399-4ce0-994e-2f4ddb1c4614"/>
    <xsd:import namespace="93A01F65-0DCA-46AB-8B04-1B2A965C62A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  <xsd:element ref="ns3:Datavision_x0023_" minOccurs="0"/>
                <xsd:element ref="ns3:File_x0020_Disclosure_x0020_Name" minOccurs="0"/>
                <xsd:element ref="ns3:Lilly_x0020_Contact_x0020_Name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8d78d1f8-1af0-4650-adf3-3e4d6c510f6c}" ma:internalName="TaxCatchAll" ma:showField="CatchAllData" ma:web="d19559e4-2da1-4174-b28f-56ec0087f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8d78d1f8-1af0-4650-adf3-3e4d6c510f6c}" ma:internalName="TaxCatchAllLabel" ma:readOnly="true" ma:showField="CatchAllDataLabel" ma:web="d19559e4-2da1-4174-b28f-56ec0087f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01F65-0DCA-46AB-8B04-1B2A965C62A6" elementFormDefault="qualified">
    <xsd:import namespace="http://schemas.microsoft.com/office/2006/documentManagement/types"/>
    <xsd:import namespace="http://schemas.microsoft.com/office/infopath/2007/PartnerControls"/>
    <xsd:element name="Datavision_x0023_" ma:index="14" nillable="true" ma:displayName="Datavision#" ma:internalName="Datavision_x0023_">
      <xsd:simpleType>
        <xsd:restriction base="dms:Text">
          <xsd:maxLength value="255"/>
        </xsd:restriction>
      </xsd:simpleType>
    </xsd:element>
    <xsd:element name="File_x0020_Disclosure_x0020_Name" ma:index="15" nillable="true" ma:displayName="File Description" ma:internalName="File_x0020_Disclosure_x0020_Name">
      <xsd:simpleType>
        <xsd:restriction base="dms:Text">
          <xsd:maxLength value="255"/>
        </xsd:restriction>
      </xsd:simpleType>
    </xsd:element>
    <xsd:element name="Lilly_x0020_Contact_x0020_Name" ma:index="16" nillable="true" ma:displayName="Lilly Contact Name" ma:list="UserInfo" ma:SharePointGroup="0" ma:internalName="Lilly_x0020_Contact_x0020_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ype" ma:index="17" nillable="true" ma:displayName="Document type" ma:internalName="Document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bstract"/>
                        <xsd:enumeration value="Poster"/>
                        <xsd:enumeration value="Oral Presentation"/>
                        <xsd:enumeration value="Manuscrip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7EC58-ACE3-430D-B244-01D5E324F962}">
  <ds:schemaRefs>
    <ds:schemaRef ds:uri="http://schemas.microsoft.com/office/2006/metadata/properties"/>
    <ds:schemaRef ds:uri="http://schemas.microsoft.com/office/infopath/2007/PartnerControls"/>
    <ds:schemaRef ds:uri="33648e8c-5399-4ce0-994e-2f4ddb1c4614"/>
    <ds:schemaRef ds:uri="93A01F65-0DCA-46AB-8B04-1B2A965C62A6"/>
  </ds:schemaRefs>
</ds:datastoreItem>
</file>

<file path=customXml/itemProps2.xml><?xml version="1.0" encoding="utf-8"?>
<ds:datastoreItem xmlns:ds="http://schemas.openxmlformats.org/officeDocument/2006/customXml" ds:itemID="{29371990-A109-4E13-98AA-23EEFFB5110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218E6FB-52CD-45D2-9372-BAC274D2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93A01F65-0DCA-46AB-8B04-1B2A965C6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391BDE-1F94-41A6-85F4-0308B9FF3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Widau</dc:creator>
  <cp:lastModifiedBy>Piccirllo, Joseph</cp:lastModifiedBy>
  <cp:revision>2</cp:revision>
  <dcterms:created xsi:type="dcterms:W3CDTF">2015-12-09T21:10:00Z</dcterms:created>
  <dcterms:modified xsi:type="dcterms:W3CDTF">2015-12-09T21:10:00Z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0x010100BB01C0C7940F9244B0AD20FCB57D4B6A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</Properties>
</file>