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7E" w:rsidRPr="00D21BBE" w:rsidRDefault="00156E7E" w:rsidP="00156E7E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D21BBE">
        <w:rPr>
          <w:rFonts w:ascii="Times New Roman" w:hAnsi="Times New Roman"/>
          <w:b/>
          <w:sz w:val="24"/>
          <w:szCs w:val="24"/>
        </w:rPr>
        <w:t>Methods: Algorithm for cut-off point definition</w:t>
      </w:r>
    </w:p>
    <w:p w:rsidR="00156E7E" w:rsidRDefault="00156E7E" w:rsidP="00156E7E">
      <w:pPr>
        <w:spacing w:line="480" w:lineRule="auto"/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</w:pPr>
      <w:r w:rsidRPr="00D21BBE"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t xml:space="preserve">Differences in OS for continuous variables were analyzed using a modified approach of maximally selected rank statistics based on log rank tests at different cut-off points to finally divide the discovery cohort for each factor into two or three groups. Cut-off point(s) were determined as follows: First, only central cut-off points were analyzed resulting in two balanced groups. A central cut-off point was considered for survival analysis, if the resulting smaller group comprised at least 25% of all patients. Of all analyzed cut-off points, that resulting in the lowest significant log-rank p-value was chosen as cut-off candidate 1. If no significant log-rank p-value was observed for any analyzed central cut-off, potential eccentric cut-offs (the resulting smaller group comprised at least 10% of patients) were analyzed. Of all analyzed eccentric cut-off points the one with the lowest significant log-rank p-value was chosen as cut-off 1. The cut-off point resulting in the lowest non-significant log-rank p-value is shown if neither a central nor an eccentric cut-off could be established. For factors with an established cut-off 1, the definition of a second cut-off point resulting in three groups (LO, MED, HI) was attempted. First, only central second cut-off points were analyzed. A central second cut-off point was considered for survival analysis, if the smallest of the resulting three groups comprised at least 25% of discovery cohort patients. Differences in OS between the three groups were analyzed using pairwise comparison and only cut-off points resulting in significant differences for each group-combination were further considered. Of those, the cut-off point resulting in the lowest significant log-rank p-value was chosen as cut-off 2. If no central second cut-off point could be established potential eccentric second cut-off points were considered for survival analysis, if the smallest of the resulting three groups comprised at least 10% of discovery cohort patients. Differences in OS between the three groups were analyzed using pairwise comparison and only cut-off points resulting in significant differences for each group-combination were further considered. Of those, the cut-off point </w:t>
      </w:r>
      <w:r w:rsidRPr="00D21BBE"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lastRenderedPageBreak/>
        <w:t xml:space="preserve">resulting in the lowest significant log-rank p-value was chosen as cut-off 2. 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t>The following cut-off points were tested in the discovery cohort:</w:t>
      </w: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2551"/>
        <w:gridCol w:w="851"/>
      </w:tblGrid>
      <w:tr w:rsidR="00156E7E" w:rsidRPr="00B72BC8" w:rsidTr="00D85672">
        <w:trPr>
          <w:trHeight w:val="262"/>
          <w:jc w:val="center"/>
        </w:trPr>
        <w:tc>
          <w:tcPr>
            <w:tcW w:w="2117" w:type="dxa"/>
            <w:shd w:val="clear" w:color="auto" w:fill="auto"/>
            <w:vAlign w:val="center"/>
          </w:tcPr>
          <w:p w:rsidR="00156E7E" w:rsidRPr="00B72BC8" w:rsidRDefault="00156E7E" w:rsidP="00D85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B72BC8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Continuous variable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E7E" w:rsidRPr="00B72BC8" w:rsidRDefault="00156E7E" w:rsidP="00D8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B72BC8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Lowest cut-off point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E7E" w:rsidRPr="00B72BC8" w:rsidRDefault="00156E7E" w:rsidP="00D8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B72BC8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Highest cut-off point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E7E" w:rsidRPr="00B72BC8" w:rsidRDefault="00156E7E" w:rsidP="00D85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B72BC8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Interval</w:t>
            </w: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≤41 years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&gt;41 years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≤74 years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&gt;74 years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 year</w:t>
            </w: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vMerge w:val="restart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LDH-ratio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≤0.7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&gt;0.7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≤3.4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&lt;3.4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0.1</w:t>
            </w:r>
          </w:p>
        </w:tc>
      </w:tr>
      <w:tr w:rsidR="00156E7E" w:rsidRPr="00B61179" w:rsidTr="00D85672">
        <w:trPr>
          <w:trHeight w:hRule="exact" w:val="100"/>
          <w:jc w:val="center"/>
        </w:trPr>
        <w:tc>
          <w:tcPr>
            <w:tcW w:w="2117" w:type="dxa"/>
            <w:vMerge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Abs. leucocyte counts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&lt;4450/µL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≥4450/µL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&lt;10850/µL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≥10850/µL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100/µL</w:t>
            </w: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vMerge w:val="restart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Abs. lymphocyte counts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&lt;650/µL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≥650/µL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&lt;2250/µL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≥2250/µL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100/µL</w:t>
            </w:r>
          </w:p>
        </w:tc>
      </w:tr>
      <w:tr w:rsidR="00156E7E" w:rsidRPr="00B61179" w:rsidTr="00D85672">
        <w:trPr>
          <w:trHeight w:hRule="exact" w:val="100"/>
          <w:jc w:val="center"/>
        </w:trPr>
        <w:tc>
          <w:tcPr>
            <w:tcW w:w="2117" w:type="dxa"/>
            <w:vMerge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Abs. monocyte counts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&lt;350/µL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≥350/µL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&lt;950/µL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≥950/µL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100/µL</w:t>
            </w: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vMerge w:val="restart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Abs. neutrophil counts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&lt;2950/µL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≥2950/µL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&lt;7650/µL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≥7650/µL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100/µL</w:t>
            </w:r>
          </w:p>
        </w:tc>
      </w:tr>
      <w:tr w:rsidR="00156E7E" w:rsidRPr="00B61179" w:rsidTr="00D85672">
        <w:trPr>
          <w:trHeight w:hRule="exact" w:val="100"/>
          <w:jc w:val="center"/>
        </w:trPr>
        <w:tc>
          <w:tcPr>
            <w:tcW w:w="2117" w:type="dxa"/>
            <w:vMerge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Abs. eosinophil counts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≥50/µL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&lt;350/µL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≥350/µL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100/µL</w:t>
            </w: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Abs. basophil counts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≥50/µL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&lt;50/µL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≥50/µL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100/µL</w:t>
            </w: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vMerge w:val="restart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Rel. lymphocyte counts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&lt;9.5%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≥0.5%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&lt;33.5%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≥33.5%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1%</w:t>
            </w:r>
          </w:p>
        </w:tc>
      </w:tr>
      <w:tr w:rsidR="00156E7E" w:rsidRPr="00B61179" w:rsidTr="00D85672">
        <w:trPr>
          <w:trHeight w:hRule="exact" w:val="100"/>
          <w:jc w:val="center"/>
        </w:trPr>
        <w:tc>
          <w:tcPr>
            <w:tcW w:w="2117" w:type="dxa"/>
            <w:vMerge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Rel. monocyte counts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&lt;5.5%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≥5.5%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&lt;11.5%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≥11.5%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1%</w:t>
            </w: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vMerge w:val="restart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Rel. neutrophil counts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&lt;55.5%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≥55.5%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&lt;81.5%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≥81.5%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1%</w:t>
            </w:r>
          </w:p>
        </w:tc>
      </w:tr>
      <w:tr w:rsidR="00156E7E" w:rsidRPr="00B61179" w:rsidTr="00D85672">
        <w:trPr>
          <w:trHeight w:hRule="exact" w:val="100"/>
          <w:jc w:val="center"/>
        </w:trPr>
        <w:tc>
          <w:tcPr>
            <w:tcW w:w="2117" w:type="dxa"/>
            <w:vMerge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vMerge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Rel. eosinophil counts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&lt;1.5%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≥1.5%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&lt;4.5%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≥4.5%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1%</w:t>
            </w:r>
          </w:p>
        </w:tc>
      </w:tr>
      <w:tr w:rsidR="00156E7E" w:rsidRPr="00B61179" w:rsidTr="00D85672">
        <w:trPr>
          <w:trHeight w:hRule="exact" w:val="284"/>
          <w:jc w:val="center"/>
        </w:trPr>
        <w:tc>
          <w:tcPr>
            <w:tcW w:w="2117" w:type="dxa"/>
            <w:shd w:val="clear" w:color="auto" w:fill="auto"/>
            <w:vAlign w:val="center"/>
            <w:hideMark/>
          </w:tcPr>
          <w:p w:rsidR="00156E7E" w:rsidRPr="00157403" w:rsidRDefault="00156E7E" w:rsidP="00D85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157403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Rel. basophil counts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&lt;0.5%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≥0.5%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&lt;0.5%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vs ≥0.5%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E7E" w:rsidRPr="00157403" w:rsidRDefault="00156E7E" w:rsidP="00D85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0BC1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1%</w:t>
            </w:r>
          </w:p>
        </w:tc>
      </w:tr>
    </w:tbl>
    <w:p w:rsidR="00156E7E" w:rsidRDefault="00156E7E" w:rsidP="00156E7E">
      <w:pPr>
        <w:spacing w:line="480" w:lineRule="auto"/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</w:pPr>
    </w:p>
    <w:p w:rsidR="00156E7E" w:rsidRDefault="00156E7E" w:rsidP="00156E7E">
      <w:pPr>
        <w:spacing w:line="480" w:lineRule="auto"/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t>The usage of cut-off points like ≥1.5% or ≥1250/µL instead of ≥1% or ≥1200/µl for blood count related factors was chosen, because it allows the definite alignment independent from the resolution of lab results reporting. E.g. the reporting of a theoretical true absolute lymphocyte count value of 1580/µL is reported as 1580/µL or 1.6x10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vertAlign w:val="superscript"/>
          <w:lang w:eastAsia="de-DE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t xml:space="preserve">/µl depending on the local lab. Considering the cut-off point ≥1600/µL, the group alignment of this exemplary patient would be correct if results are reported in high resolution (1580/µL </w:t>
      </w:r>
      <w:r w:rsidRPr="00F043D0"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sym w:font="Wingdings" w:char="F0E0"/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t xml:space="preserve"> alignment to group “low”) but wrong if results are reported in low resolution (1.6x10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vertAlign w:val="superscript"/>
          <w:lang w:eastAsia="de-DE"/>
        </w:rPr>
        <w:t>3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t xml:space="preserve">/µL </w:t>
      </w:r>
      <w:r w:rsidRPr="001B269C"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sym w:font="Wingdings" w:char="F0E0"/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t xml:space="preserve"> alignment to group “high”). In contrast, this problem is avoided by using the “in-between cut-off points” like ≥1750/µL. Independent from the resolution of result reporting (e.g. 1.8x10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vertAlign w:val="superscript"/>
          <w:lang w:eastAsia="de-DE"/>
        </w:rPr>
        <w:t>3</w:t>
      </w:r>
      <w:r w:rsidRPr="0038096F"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t>/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de-DE"/>
        </w:rPr>
        <w:t>µL or 1770/µL) a patient is aligned to the same category.</w:t>
      </w:r>
    </w:p>
    <w:p w:rsidR="00597CCE" w:rsidRDefault="00597CCE">
      <w:bookmarkStart w:id="0" w:name="_GoBack"/>
      <w:bookmarkEnd w:id="0"/>
    </w:p>
    <w:sectPr w:rsidR="00597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7E"/>
    <w:rsid w:val="00156E7E"/>
    <w:rsid w:val="005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E7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E7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Martens</dc:creator>
  <cp:lastModifiedBy>Alex Martens</cp:lastModifiedBy>
  <cp:revision>1</cp:revision>
  <dcterms:created xsi:type="dcterms:W3CDTF">2016-03-30T09:50:00Z</dcterms:created>
  <dcterms:modified xsi:type="dcterms:W3CDTF">2016-03-30T09:51:00Z</dcterms:modified>
</cp:coreProperties>
</file>