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85" w:rsidRPr="003966C9" w:rsidRDefault="00836DA7" w:rsidP="005468AB">
      <w:pPr>
        <w:rPr>
          <w:rFonts w:asciiTheme="majorHAnsi" w:hAnsiTheme="majorHAnsi" w:cstheme="majorHAnsi"/>
          <w:b/>
          <w:sz w:val="18"/>
          <w:szCs w:val="18"/>
        </w:rPr>
      </w:pPr>
      <w:r w:rsidRPr="003966C9">
        <w:rPr>
          <w:rFonts w:asciiTheme="majorHAnsi" w:hAnsiTheme="majorHAnsi" w:cstheme="majorHAnsi"/>
          <w:b/>
          <w:sz w:val="18"/>
          <w:szCs w:val="18"/>
        </w:rPr>
        <w:t>Supplementa</w:t>
      </w:r>
      <w:r w:rsidR="00D17F85" w:rsidRPr="003966C9">
        <w:rPr>
          <w:rFonts w:asciiTheme="majorHAnsi" w:hAnsiTheme="majorHAnsi" w:cstheme="majorHAnsi"/>
          <w:b/>
          <w:sz w:val="18"/>
          <w:szCs w:val="18"/>
        </w:rPr>
        <w:t>l material and method</w:t>
      </w:r>
    </w:p>
    <w:p w:rsidR="00D17F85" w:rsidRPr="003966C9" w:rsidRDefault="00D17F85" w:rsidP="005468AB">
      <w:pPr>
        <w:rPr>
          <w:rFonts w:asciiTheme="majorHAnsi" w:hAnsiTheme="majorHAnsi" w:cstheme="majorHAnsi"/>
          <w:sz w:val="18"/>
          <w:szCs w:val="18"/>
        </w:rPr>
      </w:pPr>
      <w:r w:rsidRPr="003966C9">
        <w:rPr>
          <w:rFonts w:asciiTheme="majorHAnsi" w:hAnsiTheme="majorHAnsi" w:cstheme="majorHAnsi"/>
          <w:sz w:val="18"/>
          <w:szCs w:val="18"/>
        </w:rPr>
        <w:t>Cell line and patient-derived xenograft studies</w:t>
      </w:r>
    </w:p>
    <w:p w:rsidR="00D17F85" w:rsidRPr="003966C9" w:rsidRDefault="00D17F85" w:rsidP="005468AB">
      <w:pPr>
        <w:rPr>
          <w:rFonts w:asciiTheme="majorHAnsi" w:hAnsiTheme="majorHAnsi" w:cstheme="majorHAnsi"/>
          <w:sz w:val="18"/>
          <w:szCs w:val="18"/>
        </w:rPr>
      </w:pPr>
      <w:r w:rsidRPr="003966C9">
        <w:rPr>
          <w:rFonts w:asciiTheme="majorHAnsi" w:hAnsiTheme="majorHAnsi" w:cstheme="majorHAnsi"/>
          <w:sz w:val="18"/>
          <w:szCs w:val="18"/>
        </w:rPr>
        <w:t>Cell line based and NIBIO G016 patient-derived xenograft (PDX) studies were performed internally.  NIBIO G016 tumor</w:t>
      </w:r>
      <w:r w:rsidR="009D0515" w:rsidRPr="003966C9">
        <w:rPr>
          <w:rFonts w:asciiTheme="majorHAnsi" w:hAnsiTheme="majorHAnsi" w:cstheme="majorHAnsi"/>
          <w:sz w:val="18"/>
          <w:szCs w:val="18"/>
        </w:rPr>
        <w:t xml:space="preserve"> derived from a gastric cancer patient</w:t>
      </w:r>
      <w:r w:rsidRPr="003966C9">
        <w:rPr>
          <w:rFonts w:asciiTheme="majorHAnsi" w:hAnsiTheme="majorHAnsi" w:cstheme="majorHAnsi"/>
          <w:sz w:val="18"/>
          <w:szCs w:val="18"/>
        </w:rPr>
        <w:t xml:space="preserve"> was obtained from National Institute of Biomedical Innovation (Japan).  Specific pathogen-free female CAnN.Cg-Foxn1</w:t>
      </w:r>
      <w:r w:rsidRPr="003966C9">
        <w:rPr>
          <w:rFonts w:asciiTheme="majorHAnsi" w:hAnsiTheme="majorHAnsi" w:cstheme="majorHAnsi"/>
          <w:sz w:val="18"/>
          <w:szCs w:val="18"/>
          <w:vertAlign w:val="superscript"/>
        </w:rPr>
        <w:t>nu</w:t>
      </w:r>
      <w:r w:rsidRPr="003966C9">
        <w:rPr>
          <w:rFonts w:asciiTheme="majorHAnsi" w:hAnsiTheme="majorHAnsi" w:cstheme="majorHAnsi"/>
          <w:sz w:val="18"/>
          <w:szCs w:val="18"/>
        </w:rPr>
        <w:t>/CrlCrlj mice (BALB/c nude mice) aged 4</w:t>
      </w:r>
      <w:r w:rsidR="004055E0" w:rsidRPr="003966C9">
        <w:rPr>
          <w:rFonts w:asciiTheme="majorHAnsi" w:hAnsiTheme="majorHAnsi" w:cstheme="majorHAnsi"/>
          <w:sz w:val="18"/>
          <w:szCs w:val="18"/>
        </w:rPr>
        <w:t>–</w:t>
      </w:r>
      <w:r w:rsidRPr="003966C9">
        <w:rPr>
          <w:rFonts w:asciiTheme="majorHAnsi" w:hAnsiTheme="majorHAnsi" w:cstheme="majorHAnsi"/>
          <w:sz w:val="18"/>
          <w:szCs w:val="18"/>
        </w:rPr>
        <w:t>6 weeks were purchased from Charles River Laboratories Japan</w:t>
      </w:r>
      <w:r w:rsidR="00197891" w:rsidRPr="003966C9">
        <w:rPr>
          <w:rFonts w:asciiTheme="majorHAnsi" w:hAnsiTheme="majorHAnsi" w:cstheme="majorHAnsi"/>
          <w:sz w:val="18"/>
          <w:szCs w:val="18"/>
        </w:rPr>
        <w:t>,</w:t>
      </w:r>
      <w:r w:rsidRPr="003966C9">
        <w:rPr>
          <w:rFonts w:asciiTheme="majorHAnsi" w:hAnsiTheme="majorHAnsi" w:cstheme="majorHAnsi"/>
          <w:sz w:val="18"/>
          <w:szCs w:val="18"/>
        </w:rPr>
        <w:t xml:space="preserve"> Inc.  All models were established by s.c. inoculation </w:t>
      </w:r>
      <w:r w:rsidR="00A462FE" w:rsidRPr="003966C9">
        <w:rPr>
          <w:rFonts w:asciiTheme="majorHAnsi" w:hAnsiTheme="majorHAnsi" w:cstheme="majorHAnsi"/>
          <w:sz w:val="18"/>
          <w:szCs w:val="18"/>
        </w:rPr>
        <w:t xml:space="preserve">into </w:t>
      </w:r>
      <w:r w:rsidRPr="003966C9">
        <w:rPr>
          <w:rFonts w:asciiTheme="majorHAnsi" w:hAnsiTheme="majorHAnsi" w:cstheme="majorHAnsi"/>
          <w:sz w:val="18"/>
          <w:szCs w:val="18"/>
        </w:rPr>
        <w:t>the right flank of the mice.</w:t>
      </w:r>
    </w:p>
    <w:p w:rsidR="00D17F85" w:rsidRPr="003966C9" w:rsidRDefault="00D17F85" w:rsidP="005468AB">
      <w:pPr>
        <w:rPr>
          <w:rFonts w:asciiTheme="majorHAnsi" w:hAnsiTheme="majorHAnsi" w:cstheme="majorHAnsi"/>
          <w:sz w:val="18"/>
          <w:szCs w:val="18"/>
        </w:rPr>
      </w:pPr>
      <w:r w:rsidRPr="003966C9">
        <w:rPr>
          <w:rFonts w:asciiTheme="majorHAnsi" w:hAnsiTheme="majorHAnsi" w:cstheme="majorHAnsi"/>
          <w:sz w:val="18"/>
          <w:szCs w:val="18"/>
        </w:rPr>
        <w:t>NCI-N87, KPL-4, JIMT-1, GCIY, and CFPAC-1 models were established by injecting 1</w:t>
      </w:r>
      <w:r w:rsidR="00061B55" w:rsidRPr="003966C9">
        <w:rPr>
          <w:rFonts w:asciiTheme="majorHAnsi" w:hAnsiTheme="majorHAnsi" w:cstheme="majorHAnsi"/>
          <w:sz w:val="18"/>
          <w:szCs w:val="18"/>
        </w:rPr>
        <w:t xml:space="preserve"> </w:t>
      </w:r>
      <w:r w:rsidRPr="003966C9">
        <w:rPr>
          <w:rFonts w:asciiTheme="majorHAnsi" w:hAnsiTheme="majorHAnsi" w:cstheme="majorHAnsi"/>
          <w:sz w:val="18"/>
          <w:szCs w:val="18"/>
        </w:rPr>
        <w:t>x</w:t>
      </w:r>
      <w:r w:rsidR="00061B55" w:rsidRPr="003966C9">
        <w:rPr>
          <w:rFonts w:asciiTheme="majorHAnsi" w:hAnsiTheme="majorHAnsi" w:cstheme="majorHAnsi"/>
          <w:sz w:val="18"/>
          <w:szCs w:val="18"/>
        </w:rPr>
        <w:t xml:space="preserve"> </w:t>
      </w:r>
      <w:r w:rsidRPr="003966C9">
        <w:rPr>
          <w:rFonts w:asciiTheme="majorHAnsi" w:hAnsiTheme="majorHAnsi" w:cstheme="majorHAnsi"/>
          <w:sz w:val="18"/>
          <w:szCs w:val="18"/>
        </w:rPr>
        <w:t>10</w:t>
      </w:r>
      <w:r w:rsidRPr="003966C9">
        <w:rPr>
          <w:rFonts w:asciiTheme="majorHAnsi" w:hAnsiTheme="majorHAnsi" w:cstheme="majorHAnsi"/>
          <w:sz w:val="18"/>
          <w:szCs w:val="18"/>
          <w:vertAlign w:val="superscript"/>
        </w:rPr>
        <w:t>7</w:t>
      </w:r>
      <w:r w:rsidRPr="003966C9">
        <w:rPr>
          <w:rFonts w:asciiTheme="majorHAnsi" w:hAnsiTheme="majorHAnsi" w:cstheme="majorHAnsi"/>
          <w:sz w:val="18"/>
          <w:szCs w:val="18"/>
        </w:rPr>
        <w:t>, 1</w:t>
      </w:r>
      <w:r w:rsidR="00061B55" w:rsidRPr="003966C9">
        <w:rPr>
          <w:rFonts w:asciiTheme="majorHAnsi" w:hAnsiTheme="majorHAnsi" w:cstheme="majorHAnsi"/>
          <w:sz w:val="18"/>
          <w:szCs w:val="18"/>
        </w:rPr>
        <w:t xml:space="preserve"> </w:t>
      </w:r>
      <w:r w:rsidRPr="003966C9">
        <w:rPr>
          <w:rFonts w:asciiTheme="majorHAnsi" w:hAnsiTheme="majorHAnsi" w:cstheme="majorHAnsi"/>
          <w:sz w:val="18"/>
          <w:szCs w:val="18"/>
        </w:rPr>
        <w:t>x</w:t>
      </w:r>
      <w:r w:rsidR="00061B55" w:rsidRPr="003966C9">
        <w:rPr>
          <w:rFonts w:asciiTheme="majorHAnsi" w:hAnsiTheme="majorHAnsi" w:cstheme="majorHAnsi"/>
          <w:sz w:val="18"/>
          <w:szCs w:val="18"/>
        </w:rPr>
        <w:t xml:space="preserve"> </w:t>
      </w:r>
      <w:r w:rsidRPr="003966C9">
        <w:rPr>
          <w:rFonts w:asciiTheme="majorHAnsi" w:hAnsiTheme="majorHAnsi" w:cstheme="majorHAnsi"/>
          <w:sz w:val="18"/>
          <w:szCs w:val="18"/>
        </w:rPr>
        <w:t>10</w:t>
      </w:r>
      <w:r w:rsidRPr="003966C9">
        <w:rPr>
          <w:rFonts w:asciiTheme="majorHAnsi" w:hAnsiTheme="majorHAnsi" w:cstheme="majorHAnsi"/>
          <w:sz w:val="18"/>
          <w:szCs w:val="18"/>
          <w:vertAlign w:val="superscript"/>
        </w:rPr>
        <w:t>7</w:t>
      </w:r>
      <w:r w:rsidRPr="003966C9">
        <w:rPr>
          <w:rFonts w:asciiTheme="majorHAnsi" w:hAnsiTheme="majorHAnsi" w:cstheme="majorHAnsi"/>
          <w:sz w:val="18"/>
          <w:szCs w:val="18"/>
        </w:rPr>
        <w:t>, 3</w:t>
      </w:r>
      <w:r w:rsidR="00061B55" w:rsidRPr="003966C9">
        <w:rPr>
          <w:rFonts w:asciiTheme="majorHAnsi" w:hAnsiTheme="majorHAnsi" w:cstheme="majorHAnsi"/>
          <w:sz w:val="18"/>
          <w:szCs w:val="18"/>
        </w:rPr>
        <w:t> </w:t>
      </w:r>
      <w:r w:rsidRPr="003966C9">
        <w:rPr>
          <w:rFonts w:asciiTheme="majorHAnsi" w:hAnsiTheme="majorHAnsi" w:cstheme="majorHAnsi"/>
          <w:sz w:val="18"/>
          <w:szCs w:val="18"/>
        </w:rPr>
        <w:t>x</w:t>
      </w:r>
      <w:r w:rsidR="00061B55" w:rsidRPr="003966C9">
        <w:rPr>
          <w:rFonts w:asciiTheme="majorHAnsi" w:hAnsiTheme="majorHAnsi" w:cstheme="majorHAnsi"/>
          <w:sz w:val="18"/>
          <w:szCs w:val="18"/>
        </w:rPr>
        <w:t> </w:t>
      </w:r>
      <w:r w:rsidRPr="003966C9">
        <w:rPr>
          <w:rFonts w:asciiTheme="majorHAnsi" w:hAnsiTheme="majorHAnsi" w:cstheme="majorHAnsi"/>
          <w:sz w:val="18"/>
          <w:szCs w:val="18"/>
        </w:rPr>
        <w:t>10</w:t>
      </w:r>
      <w:r w:rsidRPr="003966C9">
        <w:rPr>
          <w:rFonts w:asciiTheme="majorHAnsi" w:hAnsiTheme="majorHAnsi" w:cstheme="majorHAnsi"/>
          <w:sz w:val="18"/>
          <w:szCs w:val="18"/>
          <w:vertAlign w:val="superscript"/>
        </w:rPr>
        <w:t>6</w:t>
      </w:r>
      <w:r w:rsidRPr="003966C9">
        <w:rPr>
          <w:rFonts w:asciiTheme="majorHAnsi" w:hAnsiTheme="majorHAnsi" w:cstheme="majorHAnsi"/>
          <w:sz w:val="18"/>
          <w:szCs w:val="18"/>
        </w:rPr>
        <w:t>, 4</w:t>
      </w:r>
      <w:r w:rsidR="00A40A88" w:rsidRPr="003966C9">
        <w:rPr>
          <w:rFonts w:asciiTheme="majorHAnsi" w:hAnsiTheme="majorHAnsi" w:cstheme="majorHAnsi"/>
          <w:sz w:val="18"/>
          <w:szCs w:val="18"/>
        </w:rPr>
        <w:t> </w:t>
      </w:r>
      <w:r w:rsidRPr="003966C9">
        <w:rPr>
          <w:rFonts w:asciiTheme="majorHAnsi" w:hAnsiTheme="majorHAnsi" w:cstheme="majorHAnsi"/>
          <w:sz w:val="18"/>
          <w:szCs w:val="18"/>
        </w:rPr>
        <w:t>x</w:t>
      </w:r>
      <w:r w:rsidR="00A40A88" w:rsidRPr="003966C9">
        <w:rPr>
          <w:rFonts w:asciiTheme="majorHAnsi" w:hAnsiTheme="majorHAnsi" w:cstheme="majorHAnsi"/>
          <w:sz w:val="18"/>
          <w:szCs w:val="18"/>
        </w:rPr>
        <w:t> </w:t>
      </w:r>
      <w:r w:rsidRPr="003966C9">
        <w:rPr>
          <w:rFonts w:asciiTheme="majorHAnsi" w:hAnsiTheme="majorHAnsi" w:cstheme="majorHAnsi"/>
          <w:sz w:val="18"/>
          <w:szCs w:val="18"/>
        </w:rPr>
        <w:t>10</w:t>
      </w:r>
      <w:r w:rsidRPr="003966C9">
        <w:rPr>
          <w:rFonts w:asciiTheme="majorHAnsi" w:hAnsiTheme="majorHAnsi" w:cstheme="majorHAnsi"/>
          <w:sz w:val="18"/>
          <w:szCs w:val="18"/>
          <w:vertAlign w:val="superscript"/>
        </w:rPr>
        <w:t>6</w:t>
      </w:r>
      <w:r w:rsidRPr="003966C9">
        <w:rPr>
          <w:rFonts w:asciiTheme="majorHAnsi" w:hAnsiTheme="majorHAnsi" w:cstheme="majorHAnsi"/>
          <w:sz w:val="18"/>
          <w:szCs w:val="18"/>
        </w:rPr>
        <w:t>, 8.6</w:t>
      </w:r>
      <w:r w:rsidR="00A40A88" w:rsidRPr="003966C9">
        <w:rPr>
          <w:rFonts w:asciiTheme="majorHAnsi" w:hAnsiTheme="majorHAnsi" w:cstheme="majorHAnsi"/>
          <w:sz w:val="18"/>
          <w:szCs w:val="18"/>
        </w:rPr>
        <w:t xml:space="preserve"> </w:t>
      </w:r>
      <w:r w:rsidRPr="003966C9">
        <w:rPr>
          <w:rFonts w:asciiTheme="majorHAnsi" w:hAnsiTheme="majorHAnsi" w:cstheme="majorHAnsi"/>
          <w:sz w:val="18"/>
          <w:szCs w:val="18"/>
        </w:rPr>
        <w:t>x</w:t>
      </w:r>
      <w:r w:rsidR="00A40A88" w:rsidRPr="003966C9">
        <w:rPr>
          <w:rFonts w:asciiTheme="majorHAnsi" w:hAnsiTheme="majorHAnsi" w:cstheme="majorHAnsi"/>
          <w:sz w:val="18"/>
          <w:szCs w:val="18"/>
        </w:rPr>
        <w:t xml:space="preserve"> </w:t>
      </w:r>
      <w:r w:rsidRPr="003966C9">
        <w:rPr>
          <w:rFonts w:asciiTheme="majorHAnsi" w:hAnsiTheme="majorHAnsi" w:cstheme="majorHAnsi"/>
          <w:sz w:val="18"/>
          <w:szCs w:val="18"/>
        </w:rPr>
        <w:t>10</w:t>
      </w:r>
      <w:r w:rsidRPr="003966C9">
        <w:rPr>
          <w:rFonts w:asciiTheme="majorHAnsi" w:hAnsiTheme="majorHAnsi" w:cstheme="majorHAnsi"/>
          <w:sz w:val="18"/>
          <w:szCs w:val="18"/>
          <w:vertAlign w:val="superscript"/>
        </w:rPr>
        <w:t>6</w:t>
      </w:r>
      <w:r w:rsidRPr="003966C9">
        <w:rPr>
          <w:rFonts w:asciiTheme="majorHAnsi" w:hAnsiTheme="majorHAnsi" w:cstheme="majorHAnsi"/>
          <w:sz w:val="18"/>
          <w:szCs w:val="18"/>
        </w:rPr>
        <w:t xml:space="preserve"> cells suspended with saline, respectively.  Capan-1 and NIBIO-G016 models were established by inoculating tumor fragments maintained by </w:t>
      </w:r>
      <w:r w:rsidR="0072347E" w:rsidRPr="003966C9">
        <w:rPr>
          <w:rFonts w:asciiTheme="majorHAnsi" w:hAnsiTheme="majorHAnsi" w:cstheme="majorHAnsi"/>
          <w:sz w:val="18"/>
          <w:szCs w:val="18"/>
        </w:rPr>
        <w:t xml:space="preserve">serial </w:t>
      </w:r>
      <w:r w:rsidR="006A24B1" w:rsidRPr="003966C9">
        <w:rPr>
          <w:rFonts w:asciiTheme="majorHAnsi" w:hAnsiTheme="majorHAnsi" w:cstheme="majorHAnsi"/>
          <w:sz w:val="18"/>
          <w:szCs w:val="18"/>
        </w:rPr>
        <w:t xml:space="preserve">passaging </w:t>
      </w:r>
      <w:r w:rsidRPr="003966C9">
        <w:rPr>
          <w:rFonts w:asciiTheme="majorHAnsi" w:hAnsiTheme="majorHAnsi" w:cstheme="majorHAnsi"/>
          <w:sz w:val="18"/>
          <w:szCs w:val="18"/>
        </w:rPr>
        <w:t xml:space="preserve">in host mice.  </w:t>
      </w:r>
    </w:p>
    <w:p w:rsidR="00D17F85" w:rsidRPr="003966C9" w:rsidRDefault="00D17F85" w:rsidP="005468AB">
      <w:pPr>
        <w:rPr>
          <w:rFonts w:asciiTheme="majorHAnsi" w:hAnsiTheme="majorHAnsi" w:cstheme="majorHAnsi"/>
          <w:color w:val="000000"/>
          <w:sz w:val="18"/>
          <w:szCs w:val="18"/>
        </w:rPr>
      </w:pPr>
      <w:r w:rsidRPr="003966C9">
        <w:rPr>
          <w:rFonts w:asciiTheme="majorHAnsi" w:hAnsiTheme="majorHAnsi" w:cstheme="majorHAnsi"/>
          <w:sz w:val="18"/>
          <w:szCs w:val="18"/>
        </w:rPr>
        <w:t>When tumor volumes reached approximately 100</w:t>
      </w:r>
      <w:r w:rsidR="00AF0839" w:rsidRPr="003966C9">
        <w:rPr>
          <w:rFonts w:asciiTheme="majorHAnsi" w:hAnsiTheme="majorHAnsi" w:cstheme="majorHAnsi"/>
          <w:sz w:val="18"/>
          <w:szCs w:val="18"/>
        </w:rPr>
        <w:t>–</w:t>
      </w:r>
      <w:r w:rsidRPr="003966C9">
        <w:rPr>
          <w:rFonts w:asciiTheme="majorHAnsi" w:hAnsiTheme="majorHAnsi" w:cstheme="majorHAnsi"/>
          <w:sz w:val="18"/>
          <w:szCs w:val="18"/>
        </w:rPr>
        <w:t>200 mm</w:t>
      </w:r>
      <w:r w:rsidRPr="003966C9">
        <w:rPr>
          <w:rFonts w:asciiTheme="majorHAnsi" w:hAnsiTheme="majorHAnsi" w:cstheme="majorHAnsi"/>
          <w:sz w:val="18"/>
          <w:szCs w:val="18"/>
          <w:vertAlign w:val="superscript"/>
        </w:rPr>
        <w:t>3</w:t>
      </w:r>
      <w:r w:rsidRPr="003966C9">
        <w:rPr>
          <w:rFonts w:asciiTheme="majorHAnsi" w:hAnsiTheme="majorHAnsi" w:cstheme="majorHAnsi"/>
          <w:sz w:val="18"/>
          <w:szCs w:val="18"/>
        </w:rPr>
        <w:t xml:space="preserve">, the tumor-bearing mice were randomized into treatment and control groups based on the tumor volume, and </w:t>
      </w:r>
      <w:r w:rsidR="00C63A09" w:rsidRPr="003966C9">
        <w:rPr>
          <w:rFonts w:asciiTheme="majorHAnsi" w:hAnsiTheme="majorHAnsi" w:cstheme="majorHAnsi"/>
          <w:sz w:val="18"/>
          <w:szCs w:val="18"/>
        </w:rPr>
        <w:t xml:space="preserve">dosing was </w:t>
      </w:r>
      <w:r w:rsidRPr="003966C9">
        <w:rPr>
          <w:rFonts w:asciiTheme="majorHAnsi" w:hAnsiTheme="majorHAnsi" w:cstheme="majorHAnsi"/>
          <w:sz w:val="18"/>
          <w:szCs w:val="18"/>
        </w:rPr>
        <w:t xml:space="preserve">initiated (Day 0).  DS-8201a, anti-HER2 Ab, T-DM1, and control IgG-ADC were administered intravenously to the mice at </w:t>
      </w:r>
      <w:r w:rsidR="009B04E3" w:rsidRPr="003966C9">
        <w:rPr>
          <w:rFonts w:asciiTheme="majorHAnsi" w:hAnsiTheme="majorHAnsi" w:cstheme="majorHAnsi"/>
          <w:sz w:val="18"/>
          <w:szCs w:val="18"/>
        </w:rPr>
        <w:t xml:space="preserve">a </w:t>
      </w:r>
      <w:r w:rsidRPr="003966C9">
        <w:rPr>
          <w:rFonts w:asciiTheme="majorHAnsi" w:hAnsiTheme="majorHAnsi" w:cstheme="majorHAnsi"/>
          <w:sz w:val="18"/>
          <w:szCs w:val="18"/>
        </w:rPr>
        <w:t>volume of 10</w:t>
      </w:r>
      <w:r w:rsidR="0072347E" w:rsidRPr="003966C9">
        <w:rPr>
          <w:rFonts w:asciiTheme="majorHAnsi" w:hAnsiTheme="majorHAnsi" w:cstheme="majorHAnsi"/>
          <w:sz w:val="18"/>
          <w:szCs w:val="18"/>
        </w:rPr>
        <w:t> </w:t>
      </w:r>
      <w:r w:rsidRPr="003966C9">
        <w:rPr>
          <w:rFonts w:asciiTheme="majorHAnsi" w:hAnsiTheme="majorHAnsi" w:cstheme="majorHAnsi"/>
          <w:sz w:val="18"/>
          <w:szCs w:val="18"/>
        </w:rPr>
        <w:t>mL/kg.  As a vehicle, saline, ABS buffer (10 mM Acetate Buffer, 5% sorbitol, pH5.5), or HBS buffer (10</w:t>
      </w:r>
      <w:r w:rsidR="00296D34" w:rsidRPr="003966C9">
        <w:rPr>
          <w:rFonts w:asciiTheme="majorHAnsi" w:hAnsiTheme="majorHAnsi" w:cstheme="majorHAnsi"/>
          <w:sz w:val="18"/>
          <w:szCs w:val="18"/>
        </w:rPr>
        <w:t> </w:t>
      </w:r>
      <w:r w:rsidRPr="003966C9">
        <w:rPr>
          <w:rFonts w:asciiTheme="majorHAnsi" w:hAnsiTheme="majorHAnsi" w:cstheme="majorHAnsi"/>
          <w:sz w:val="18"/>
          <w:szCs w:val="18"/>
        </w:rPr>
        <w:t xml:space="preserve">mM Histidine, 10% Trehalose, 0.02% Polysorbate 20, and pH 5.5) was administered at the same volume as the ADCs.  The tumor volume was defined as </w:t>
      </w:r>
      <w:r w:rsidRPr="003966C9">
        <w:rPr>
          <w:rFonts w:asciiTheme="majorHAnsi" w:hAnsiTheme="majorHAnsi" w:cstheme="majorHAnsi"/>
          <w:color w:val="000000"/>
          <w:sz w:val="18"/>
          <w:szCs w:val="18"/>
        </w:rPr>
        <w:t>1/2 × length × width</w:t>
      </w:r>
      <w:r w:rsidRPr="003966C9">
        <w:rPr>
          <w:rFonts w:asciiTheme="majorHAnsi" w:hAnsiTheme="majorHAnsi" w:cstheme="majorHAnsi"/>
          <w:color w:val="000000"/>
          <w:sz w:val="18"/>
          <w:szCs w:val="18"/>
          <w:vertAlign w:val="superscript"/>
        </w:rPr>
        <w:t>2</w:t>
      </w:r>
      <w:r w:rsidRPr="003966C9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:rsidR="00D17F85" w:rsidRPr="003966C9" w:rsidRDefault="00D17F85" w:rsidP="005468AB">
      <w:pPr>
        <w:rPr>
          <w:rFonts w:asciiTheme="majorHAnsi" w:hAnsiTheme="majorHAnsi" w:cstheme="majorHAnsi"/>
          <w:sz w:val="18"/>
          <w:szCs w:val="18"/>
        </w:rPr>
      </w:pPr>
      <w:r w:rsidRPr="003966C9">
        <w:rPr>
          <w:rFonts w:asciiTheme="majorHAnsi" w:hAnsiTheme="majorHAnsi" w:cstheme="majorHAnsi"/>
          <w:sz w:val="18"/>
          <w:szCs w:val="18"/>
        </w:rPr>
        <w:t>Other PDX studies were performed by South Texas Accelerated Research Therapeutics. Specific pathogen-free female Crl:NU(NCr)-Foxn1</w:t>
      </w:r>
      <w:r w:rsidRPr="003966C9">
        <w:rPr>
          <w:rFonts w:asciiTheme="majorHAnsi" w:hAnsiTheme="majorHAnsi" w:cstheme="majorHAnsi"/>
          <w:sz w:val="18"/>
          <w:szCs w:val="18"/>
          <w:vertAlign w:val="superscript"/>
        </w:rPr>
        <w:t>nu</w:t>
      </w:r>
      <w:r w:rsidRPr="003966C9">
        <w:rPr>
          <w:rFonts w:asciiTheme="majorHAnsi" w:hAnsiTheme="majorHAnsi" w:cstheme="majorHAnsi"/>
          <w:sz w:val="18"/>
          <w:szCs w:val="18"/>
        </w:rPr>
        <w:t xml:space="preserve"> mice (athymic nude mice) aged 6</w:t>
      </w:r>
      <w:r w:rsidR="00AE4E5F" w:rsidRPr="003966C9">
        <w:rPr>
          <w:rFonts w:asciiTheme="majorHAnsi" w:hAnsiTheme="majorHAnsi" w:cstheme="majorHAnsi"/>
          <w:sz w:val="18"/>
          <w:szCs w:val="18"/>
        </w:rPr>
        <w:t>–</w:t>
      </w:r>
      <w:r w:rsidRPr="003966C9">
        <w:rPr>
          <w:rFonts w:asciiTheme="majorHAnsi" w:hAnsiTheme="majorHAnsi" w:cstheme="majorHAnsi"/>
          <w:sz w:val="18"/>
          <w:szCs w:val="18"/>
        </w:rPr>
        <w:t>12 weeks were purchased from Charles River Laboratories International, Inc (</w:t>
      </w:r>
      <w:r w:rsidR="00BD495D" w:rsidRPr="003966C9">
        <w:rPr>
          <w:rFonts w:asciiTheme="majorHAnsi" w:hAnsiTheme="majorHAnsi" w:cstheme="majorHAnsi"/>
          <w:sz w:val="18"/>
          <w:szCs w:val="18"/>
        </w:rPr>
        <w:t>US</w:t>
      </w:r>
      <w:r w:rsidRPr="003966C9">
        <w:rPr>
          <w:rFonts w:asciiTheme="majorHAnsi" w:hAnsiTheme="majorHAnsi" w:cstheme="majorHAnsi"/>
          <w:sz w:val="18"/>
          <w:szCs w:val="18"/>
        </w:rPr>
        <w:t>).  ST225, ST565, and ST313</w:t>
      </w:r>
      <w:r w:rsidR="009D0515" w:rsidRPr="003966C9">
        <w:rPr>
          <w:rFonts w:asciiTheme="majorHAnsi" w:hAnsiTheme="majorHAnsi" w:cstheme="majorHAnsi"/>
          <w:sz w:val="18"/>
          <w:szCs w:val="18"/>
        </w:rPr>
        <w:t xml:space="preserve"> models derived from breast cancer patients</w:t>
      </w:r>
      <w:r w:rsidRPr="003966C9">
        <w:rPr>
          <w:rFonts w:asciiTheme="majorHAnsi" w:hAnsiTheme="majorHAnsi" w:cstheme="majorHAnsi"/>
          <w:sz w:val="18"/>
          <w:szCs w:val="18"/>
        </w:rPr>
        <w:t xml:space="preserve"> were established by inoculating tumor fragments maintained by </w:t>
      </w:r>
      <w:r w:rsidR="005D67EB" w:rsidRPr="003966C9">
        <w:rPr>
          <w:rFonts w:asciiTheme="majorHAnsi" w:hAnsiTheme="majorHAnsi" w:cstheme="majorHAnsi"/>
          <w:sz w:val="18"/>
          <w:szCs w:val="18"/>
        </w:rPr>
        <w:t xml:space="preserve">serial </w:t>
      </w:r>
      <w:r w:rsidR="00E10EAC" w:rsidRPr="003966C9">
        <w:rPr>
          <w:rFonts w:asciiTheme="majorHAnsi" w:hAnsiTheme="majorHAnsi" w:cstheme="majorHAnsi"/>
          <w:sz w:val="18"/>
          <w:szCs w:val="18"/>
        </w:rPr>
        <w:t xml:space="preserve">passaging </w:t>
      </w:r>
      <w:r w:rsidRPr="003966C9">
        <w:rPr>
          <w:rFonts w:asciiTheme="majorHAnsi" w:hAnsiTheme="majorHAnsi" w:cstheme="majorHAnsi"/>
          <w:sz w:val="18"/>
          <w:szCs w:val="18"/>
        </w:rPr>
        <w:t>in host mice.  When tumor volumes reached approximately 100</w:t>
      </w:r>
      <w:r w:rsidR="001805A4" w:rsidRPr="003966C9">
        <w:rPr>
          <w:rFonts w:asciiTheme="majorHAnsi" w:hAnsiTheme="majorHAnsi" w:cstheme="majorHAnsi"/>
          <w:sz w:val="18"/>
          <w:szCs w:val="18"/>
        </w:rPr>
        <w:t>–</w:t>
      </w:r>
      <w:r w:rsidRPr="003966C9">
        <w:rPr>
          <w:rFonts w:asciiTheme="majorHAnsi" w:hAnsiTheme="majorHAnsi" w:cstheme="majorHAnsi"/>
          <w:sz w:val="18"/>
          <w:szCs w:val="18"/>
        </w:rPr>
        <w:t>300 mm</w:t>
      </w:r>
      <w:r w:rsidRPr="003966C9">
        <w:rPr>
          <w:rFonts w:asciiTheme="majorHAnsi" w:hAnsiTheme="majorHAnsi" w:cstheme="majorHAnsi"/>
          <w:sz w:val="18"/>
          <w:szCs w:val="18"/>
          <w:vertAlign w:val="superscript"/>
        </w:rPr>
        <w:t>3</w:t>
      </w:r>
      <w:r w:rsidRPr="003966C9">
        <w:rPr>
          <w:rFonts w:asciiTheme="majorHAnsi" w:hAnsiTheme="majorHAnsi" w:cstheme="majorHAnsi"/>
          <w:sz w:val="18"/>
          <w:szCs w:val="18"/>
        </w:rPr>
        <w:t>, the tumor-bearing mice were evaluated as mentioned above.</w:t>
      </w:r>
      <w:r w:rsidR="003A2998" w:rsidRPr="003966C9">
        <w:rPr>
          <w:rFonts w:asciiTheme="majorHAnsi" w:hAnsiTheme="majorHAnsi" w:cstheme="majorHAnsi"/>
          <w:sz w:val="18"/>
          <w:szCs w:val="18"/>
        </w:rPr>
        <w:t xml:space="preserve">  HER2 immunohistochemistry (IHC) and fluorescence in situ hybridization (FISH) were performed by using formalin-fixed paraffin-embedded untreated-tumor samples, a HercepTest II kit (Dako A/S) and a PathVysion HER-2 DNA Probe Kit (Abbott Molecular Inc.).  The staining and scoring were conducted by SRL Medisearch (Japan).</w:t>
      </w:r>
    </w:p>
    <w:p w:rsidR="00D17F85" w:rsidRPr="003966C9" w:rsidRDefault="00D17F85" w:rsidP="005468AB">
      <w:pPr>
        <w:rPr>
          <w:rFonts w:asciiTheme="majorHAnsi" w:hAnsiTheme="majorHAnsi" w:cstheme="majorHAnsi"/>
          <w:sz w:val="18"/>
          <w:szCs w:val="18"/>
        </w:rPr>
      </w:pPr>
    </w:p>
    <w:p w:rsidR="002D34B5" w:rsidRPr="00DA08E4" w:rsidRDefault="002D34B5" w:rsidP="002B3AD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D34B5" w:rsidRPr="00DA0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1C" w:rsidRDefault="00302C1C" w:rsidP="003864DC">
      <w:r>
        <w:separator/>
      </w:r>
    </w:p>
  </w:endnote>
  <w:endnote w:type="continuationSeparator" w:id="0">
    <w:p w:rsidR="00302C1C" w:rsidRDefault="00302C1C" w:rsidP="0038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1C" w:rsidRDefault="00302C1C" w:rsidP="003864DC">
      <w:r>
        <w:separator/>
      </w:r>
    </w:p>
  </w:footnote>
  <w:footnote w:type="continuationSeparator" w:id="0">
    <w:p w:rsidR="00302C1C" w:rsidRDefault="00302C1C" w:rsidP="0038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29xxwz950rvdjez2v0vwfw6da5asvs5ss9t&quot;&gt;My EndNote Library&lt;record-ids&gt;&lt;item&gt;8&lt;/item&gt;&lt;item&gt;9&lt;/item&gt;&lt;item&gt;17&lt;/item&gt;&lt;item&gt;39&lt;/item&gt;&lt;item&gt;43&lt;/item&gt;&lt;item&gt;73&lt;/item&gt;&lt;item&gt;464&lt;/item&gt;&lt;item&gt;466&lt;/item&gt;&lt;item&gt;471&lt;/item&gt;&lt;item&gt;476&lt;/item&gt;&lt;item&gt;497&lt;/item&gt;&lt;item&gt;498&lt;/item&gt;&lt;item&gt;505&lt;/item&gt;&lt;item&gt;506&lt;/item&gt;&lt;item&gt;507&lt;/item&gt;&lt;item&gt;508&lt;/item&gt;&lt;item&gt;590&lt;/item&gt;&lt;item&gt;645&lt;/item&gt;&lt;item&gt;650&lt;/item&gt;&lt;item&gt;651&lt;/item&gt;&lt;item&gt;653&lt;/item&gt;&lt;item&gt;663&lt;/item&gt;&lt;item&gt;665&lt;/item&gt;&lt;item&gt;666&lt;/item&gt;&lt;item&gt;667&lt;/item&gt;&lt;item&gt;668&lt;/item&gt;&lt;item&gt;669&lt;/item&gt;&lt;item&gt;670&lt;/item&gt;&lt;item&gt;672&lt;/item&gt;&lt;item&gt;673&lt;/item&gt;&lt;item&gt;674&lt;/item&gt;&lt;item&gt;675&lt;/item&gt;&lt;item&gt;677&lt;/item&gt;&lt;item&gt;688&lt;/item&gt;&lt;item&gt;689&lt;/item&gt;&lt;item&gt;691&lt;/item&gt;&lt;item&gt;694&lt;/item&gt;&lt;item&gt;696&lt;/item&gt;&lt;item&gt;698&lt;/item&gt;&lt;item&gt;699&lt;/item&gt;&lt;item&gt;701&lt;/item&gt;&lt;item&gt;702&lt;/item&gt;&lt;item&gt;703&lt;/item&gt;&lt;item&gt;704&lt;/item&gt;&lt;item&gt;706&lt;/item&gt;&lt;item&gt;707&lt;/item&gt;&lt;item&gt;708&lt;/item&gt;&lt;item&gt;710&lt;/item&gt;&lt;item&gt;711&lt;/item&gt;&lt;item&gt;730&lt;/item&gt;&lt;item&gt;732&lt;/item&gt;&lt;/record-ids&gt;&lt;/item&gt;&lt;/Libraries&gt;"/>
  </w:docVars>
  <w:rsids>
    <w:rsidRoot w:val="004B6C98"/>
    <w:rsid w:val="00000475"/>
    <w:rsid w:val="00001969"/>
    <w:rsid w:val="000027BD"/>
    <w:rsid w:val="00002B35"/>
    <w:rsid w:val="0000734A"/>
    <w:rsid w:val="000216F8"/>
    <w:rsid w:val="00023E32"/>
    <w:rsid w:val="00030E38"/>
    <w:rsid w:val="000377EE"/>
    <w:rsid w:val="000418F1"/>
    <w:rsid w:val="0004196B"/>
    <w:rsid w:val="00041B50"/>
    <w:rsid w:val="000476B6"/>
    <w:rsid w:val="00053746"/>
    <w:rsid w:val="00054A6B"/>
    <w:rsid w:val="00055B9D"/>
    <w:rsid w:val="00061B55"/>
    <w:rsid w:val="00070219"/>
    <w:rsid w:val="00070EE9"/>
    <w:rsid w:val="00075B9B"/>
    <w:rsid w:val="00087600"/>
    <w:rsid w:val="00092679"/>
    <w:rsid w:val="000A4250"/>
    <w:rsid w:val="000B0A28"/>
    <w:rsid w:val="000B3E90"/>
    <w:rsid w:val="000C3725"/>
    <w:rsid w:val="000C7FF9"/>
    <w:rsid w:val="000E1012"/>
    <w:rsid w:val="001019A9"/>
    <w:rsid w:val="00102506"/>
    <w:rsid w:val="001117AE"/>
    <w:rsid w:val="00113902"/>
    <w:rsid w:val="00116ADB"/>
    <w:rsid w:val="001173DB"/>
    <w:rsid w:val="00123D25"/>
    <w:rsid w:val="001333A8"/>
    <w:rsid w:val="001426D1"/>
    <w:rsid w:val="00144210"/>
    <w:rsid w:val="0014763C"/>
    <w:rsid w:val="0015326B"/>
    <w:rsid w:val="0016029F"/>
    <w:rsid w:val="00161F0C"/>
    <w:rsid w:val="00161FC0"/>
    <w:rsid w:val="001719CC"/>
    <w:rsid w:val="00172DA1"/>
    <w:rsid w:val="001805A4"/>
    <w:rsid w:val="00183751"/>
    <w:rsid w:val="00185906"/>
    <w:rsid w:val="00186E15"/>
    <w:rsid w:val="001914D0"/>
    <w:rsid w:val="00194C22"/>
    <w:rsid w:val="00196A90"/>
    <w:rsid w:val="00197891"/>
    <w:rsid w:val="001A206D"/>
    <w:rsid w:val="001A4C72"/>
    <w:rsid w:val="001B0E93"/>
    <w:rsid w:val="001B13F7"/>
    <w:rsid w:val="001B1742"/>
    <w:rsid w:val="001B6695"/>
    <w:rsid w:val="001C16D4"/>
    <w:rsid w:val="001C2E1B"/>
    <w:rsid w:val="001D060D"/>
    <w:rsid w:val="001D1F93"/>
    <w:rsid w:val="001D7EDB"/>
    <w:rsid w:val="001E447C"/>
    <w:rsid w:val="001E7433"/>
    <w:rsid w:val="001F086D"/>
    <w:rsid w:val="001F0DD6"/>
    <w:rsid w:val="001F2C2E"/>
    <w:rsid w:val="001F2DA7"/>
    <w:rsid w:val="001F7DDA"/>
    <w:rsid w:val="00200BEF"/>
    <w:rsid w:val="00201FC7"/>
    <w:rsid w:val="0020535A"/>
    <w:rsid w:val="00214BA2"/>
    <w:rsid w:val="00216275"/>
    <w:rsid w:val="00216D42"/>
    <w:rsid w:val="002210D7"/>
    <w:rsid w:val="002212CD"/>
    <w:rsid w:val="00221DDF"/>
    <w:rsid w:val="00223E31"/>
    <w:rsid w:val="00224621"/>
    <w:rsid w:val="002276CF"/>
    <w:rsid w:val="00227D49"/>
    <w:rsid w:val="0023026E"/>
    <w:rsid w:val="00237B15"/>
    <w:rsid w:val="00244F60"/>
    <w:rsid w:val="00245D92"/>
    <w:rsid w:val="00246184"/>
    <w:rsid w:val="00247EC1"/>
    <w:rsid w:val="0026209D"/>
    <w:rsid w:val="0026528D"/>
    <w:rsid w:val="00266A73"/>
    <w:rsid w:val="00270E70"/>
    <w:rsid w:val="00272D84"/>
    <w:rsid w:val="00274D37"/>
    <w:rsid w:val="00275E9A"/>
    <w:rsid w:val="00280652"/>
    <w:rsid w:val="0028340B"/>
    <w:rsid w:val="002840DE"/>
    <w:rsid w:val="002873F1"/>
    <w:rsid w:val="00287EA0"/>
    <w:rsid w:val="00292D8E"/>
    <w:rsid w:val="002931CC"/>
    <w:rsid w:val="00295377"/>
    <w:rsid w:val="00296577"/>
    <w:rsid w:val="00296D34"/>
    <w:rsid w:val="002A079B"/>
    <w:rsid w:val="002A108F"/>
    <w:rsid w:val="002A19DC"/>
    <w:rsid w:val="002A4BA9"/>
    <w:rsid w:val="002B31F2"/>
    <w:rsid w:val="002B3AD6"/>
    <w:rsid w:val="002B61A6"/>
    <w:rsid w:val="002C010D"/>
    <w:rsid w:val="002C49E6"/>
    <w:rsid w:val="002C5D3C"/>
    <w:rsid w:val="002C6897"/>
    <w:rsid w:val="002D34B5"/>
    <w:rsid w:val="002D39AD"/>
    <w:rsid w:val="002D6C34"/>
    <w:rsid w:val="002D78A9"/>
    <w:rsid w:val="002E1609"/>
    <w:rsid w:val="002E3DAD"/>
    <w:rsid w:val="002E7C17"/>
    <w:rsid w:val="002F2474"/>
    <w:rsid w:val="002F6634"/>
    <w:rsid w:val="002F7AC7"/>
    <w:rsid w:val="00302C1C"/>
    <w:rsid w:val="00303670"/>
    <w:rsid w:val="00303F6C"/>
    <w:rsid w:val="0030518A"/>
    <w:rsid w:val="00306DC4"/>
    <w:rsid w:val="003079DF"/>
    <w:rsid w:val="003112C6"/>
    <w:rsid w:val="003153A9"/>
    <w:rsid w:val="00317DD2"/>
    <w:rsid w:val="0032416C"/>
    <w:rsid w:val="0032499A"/>
    <w:rsid w:val="00327B01"/>
    <w:rsid w:val="00327BC5"/>
    <w:rsid w:val="00332F9D"/>
    <w:rsid w:val="00334F1A"/>
    <w:rsid w:val="00353931"/>
    <w:rsid w:val="00354FD5"/>
    <w:rsid w:val="003578F0"/>
    <w:rsid w:val="00363B1E"/>
    <w:rsid w:val="003755CD"/>
    <w:rsid w:val="003832BE"/>
    <w:rsid w:val="003864DC"/>
    <w:rsid w:val="00387046"/>
    <w:rsid w:val="003877E6"/>
    <w:rsid w:val="00390191"/>
    <w:rsid w:val="003946C4"/>
    <w:rsid w:val="0039562E"/>
    <w:rsid w:val="00396414"/>
    <w:rsid w:val="00396431"/>
    <w:rsid w:val="003966C9"/>
    <w:rsid w:val="003A2998"/>
    <w:rsid w:val="003A421E"/>
    <w:rsid w:val="003A6602"/>
    <w:rsid w:val="003B3646"/>
    <w:rsid w:val="003B4F5A"/>
    <w:rsid w:val="003B52B3"/>
    <w:rsid w:val="003C1A4C"/>
    <w:rsid w:val="003C3EBD"/>
    <w:rsid w:val="003D09BD"/>
    <w:rsid w:val="003D0A48"/>
    <w:rsid w:val="003D7571"/>
    <w:rsid w:val="003E2978"/>
    <w:rsid w:val="003E2E17"/>
    <w:rsid w:val="003E7EBA"/>
    <w:rsid w:val="003F217D"/>
    <w:rsid w:val="003F2580"/>
    <w:rsid w:val="00400689"/>
    <w:rsid w:val="00400712"/>
    <w:rsid w:val="00402BED"/>
    <w:rsid w:val="00404F77"/>
    <w:rsid w:val="00405506"/>
    <w:rsid w:val="004055E0"/>
    <w:rsid w:val="00410385"/>
    <w:rsid w:val="004111BB"/>
    <w:rsid w:val="00411EE3"/>
    <w:rsid w:val="00412104"/>
    <w:rsid w:val="0041371A"/>
    <w:rsid w:val="00414F58"/>
    <w:rsid w:val="00420E0B"/>
    <w:rsid w:val="004230CF"/>
    <w:rsid w:val="004303E1"/>
    <w:rsid w:val="004360D7"/>
    <w:rsid w:val="00437F49"/>
    <w:rsid w:val="00446D8B"/>
    <w:rsid w:val="00453E51"/>
    <w:rsid w:val="00454F07"/>
    <w:rsid w:val="00457ECC"/>
    <w:rsid w:val="00461558"/>
    <w:rsid w:val="00465866"/>
    <w:rsid w:val="0047075E"/>
    <w:rsid w:val="004730E3"/>
    <w:rsid w:val="00475464"/>
    <w:rsid w:val="0048058F"/>
    <w:rsid w:val="00486C22"/>
    <w:rsid w:val="004935ED"/>
    <w:rsid w:val="004940C0"/>
    <w:rsid w:val="004B37B4"/>
    <w:rsid w:val="004B5CBE"/>
    <w:rsid w:val="004B6C98"/>
    <w:rsid w:val="004C3F6C"/>
    <w:rsid w:val="004D2E45"/>
    <w:rsid w:val="004D7780"/>
    <w:rsid w:val="004E2C4C"/>
    <w:rsid w:val="004E6FB2"/>
    <w:rsid w:val="004F11C0"/>
    <w:rsid w:val="004F16FD"/>
    <w:rsid w:val="004F32AA"/>
    <w:rsid w:val="004F48B6"/>
    <w:rsid w:val="005005D3"/>
    <w:rsid w:val="00500D58"/>
    <w:rsid w:val="00502782"/>
    <w:rsid w:val="00515FDD"/>
    <w:rsid w:val="005171BD"/>
    <w:rsid w:val="005311A9"/>
    <w:rsid w:val="00534309"/>
    <w:rsid w:val="005361C8"/>
    <w:rsid w:val="005468AB"/>
    <w:rsid w:val="00546C10"/>
    <w:rsid w:val="00557D70"/>
    <w:rsid w:val="00560BF1"/>
    <w:rsid w:val="00560DCB"/>
    <w:rsid w:val="00562048"/>
    <w:rsid w:val="00573BE5"/>
    <w:rsid w:val="005766CF"/>
    <w:rsid w:val="0058254A"/>
    <w:rsid w:val="00583D23"/>
    <w:rsid w:val="00586350"/>
    <w:rsid w:val="0059002B"/>
    <w:rsid w:val="005940C4"/>
    <w:rsid w:val="00594D34"/>
    <w:rsid w:val="005A13C2"/>
    <w:rsid w:val="005A2151"/>
    <w:rsid w:val="005A2FD7"/>
    <w:rsid w:val="005C066C"/>
    <w:rsid w:val="005C4585"/>
    <w:rsid w:val="005C4CC9"/>
    <w:rsid w:val="005D67EB"/>
    <w:rsid w:val="005E487A"/>
    <w:rsid w:val="005E499B"/>
    <w:rsid w:val="005E5C49"/>
    <w:rsid w:val="005F0A27"/>
    <w:rsid w:val="005F2B5A"/>
    <w:rsid w:val="005F3FCE"/>
    <w:rsid w:val="005F4326"/>
    <w:rsid w:val="005F598B"/>
    <w:rsid w:val="006036A4"/>
    <w:rsid w:val="006053B6"/>
    <w:rsid w:val="0061405E"/>
    <w:rsid w:val="00616FF9"/>
    <w:rsid w:val="00621086"/>
    <w:rsid w:val="00631877"/>
    <w:rsid w:val="00633217"/>
    <w:rsid w:val="00635C28"/>
    <w:rsid w:val="00642E46"/>
    <w:rsid w:val="006461C2"/>
    <w:rsid w:val="00647164"/>
    <w:rsid w:val="00654385"/>
    <w:rsid w:val="0065606F"/>
    <w:rsid w:val="00664AEF"/>
    <w:rsid w:val="0067618D"/>
    <w:rsid w:val="00684AAE"/>
    <w:rsid w:val="00690D71"/>
    <w:rsid w:val="006940E0"/>
    <w:rsid w:val="00694A9C"/>
    <w:rsid w:val="006959C3"/>
    <w:rsid w:val="00697D71"/>
    <w:rsid w:val="006A24B1"/>
    <w:rsid w:val="006A2C14"/>
    <w:rsid w:val="006A50AC"/>
    <w:rsid w:val="006B325B"/>
    <w:rsid w:val="006B57CD"/>
    <w:rsid w:val="006C3E91"/>
    <w:rsid w:val="006D5F75"/>
    <w:rsid w:val="006E0DAF"/>
    <w:rsid w:val="006E26AD"/>
    <w:rsid w:val="006E2BBC"/>
    <w:rsid w:val="006E2CAB"/>
    <w:rsid w:val="006E590A"/>
    <w:rsid w:val="006F049C"/>
    <w:rsid w:val="006F0A6C"/>
    <w:rsid w:val="006F28B3"/>
    <w:rsid w:val="006F397C"/>
    <w:rsid w:val="00703BC1"/>
    <w:rsid w:val="00710FDF"/>
    <w:rsid w:val="00716424"/>
    <w:rsid w:val="00717A2C"/>
    <w:rsid w:val="0072117C"/>
    <w:rsid w:val="00722831"/>
    <w:rsid w:val="0072347E"/>
    <w:rsid w:val="00726058"/>
    <w:rsid w:val="00731D40"/>
    <w:rsid w:val="007351E3"/>
    <w:rsid w:val="00741C0E"/>
    <w:rsid w:val="007434D5"/>
    <w:rsid w:val="00744580"/>
    <w:rsid w:val="00750B6A"/>
    <w:rsid w:val="00752362"/>
    <w:rsid w:val="00753388"/>
    <w:rsid w:val="00762C15"/>
    <w:rsid w:val="007642C8"/>
    <w:rsid w:val="0077067A"/>
    <w:rsid w:val="00770E66"/>
    <w:rsid w:val="00774207"/>
    <w:rsid w:val="00774E3B"/>
    <w:rsid w:val="007835B8"/>
    <w:rsid w:val="0079009D"/>
    <w:rsid w:val="007905C3"/>
    <w:rsid w:val="00791675"/>
    <w:rsid w:val="0079199A"/>
    <w:rsid w:val="00792898"/>
    <w:rsid w:val="007A0EFE"/>
    <w:rsid w:val="007A4378"/>
    <w:rsid w:val="007A45A4"/>
    <w:rsid w:val="007A7CDC"/>
    <w:rsid w:val="007B645E"/>
    <w:rsid w:val="007B7DA7"/>
    <w:rsid w:val="007C02EC"/>
    <w:rsid w:val="007E1DF8"/>
    <w:rsid w:val="007E2934"/>
    <w:rsid w:val="007E3BDB"/>
    <w:rsid w:val="007E609F"/>
    <w:rsid w:val="007F100C"/>
    <w:rsid w:val="007F2B0B"/>
    <w:rsid w:val="007F772E"/>
    <w:rsid w:val="007F7B1E"/>
    <w:rsid w:val="008020B7"/>
    <w:rsid w:val="0080299F"/>
    <w:rsid w:val="00804682"/>
    <w:rsid w:val="0080586B"/>
    <w:rsid w:val="00806DEC"/>
    <w:rsid w:val="008077F4"/>
    <w:rsid w:val="00813F46"/>
    <w:rsid w:val="00814B4E"/>
    <w:rsid w:val="00815AB6"/>
    <w:rsid w:val="00817D6D"/>
    <w:rsid w:val="008231FD"/>
    <w:rsid w:val="00824B6A"/>
    <w:rsid w:val="00824C5D"/>
    <w:rsid w:val="0082596A"/>
    <w:rsid w:val="00826373"/>
    <w:rsid w:val="00831A1C"/>
    <w:rsid w:val="00836DA7"/>
    <w:rsid w:val="0084202D"/>
    <w:rsid w:val="008420AE"/>
    <w:rsid w:val="0084227C"/>
    <w:rsid w:val="00851514"/>
    <w:rsid w:val="0085575F"/>
    <w:rsid w:val="00855AC9"/>
    <w:rsid w:val="00865350"/>
    <w:rsid w:val="00867149"/>
    <w:rsid w:val="008743AD"/>
    <w:rsid w:val="00874698"/>
    <w:rsid w:val="00880AD8"/>
    <w:rsid w:val="0088277E"/>
    <w:rsid w:val="00882F39"/>
    <w:rsid w:val="00884B12"/>
    <w:rsid w:val="00886CDA"/>
    <w:rsid w:val="0088780D"/>
    <w:rsid w:val="008922BE"/>
    <w:rsid w:val="00894F88"/>
    <w:rsid w:val="008969AB"/>
    <w:rsid w:val="008A3A0A"/>
    <w:rsid w:val="008A4F99"/>
    <w:rsid w:val="008A606A"/>
    <w:rsid w:val="008A6E9C"/>
    <w:rsid w:val="008B0910"/>
    <w:rsid w:val="008B1C2E"/>
    <w:rsid w:val="008B2D47"/>
    <w:rsid w:val="008B307D"/>
    <w:rsid w:val="008E2395"/>
    <w:rsid w:val="008E3FBE"/>
    <w:rsid w:val="008E4E40"/>
    <w:rsid w:val="008E67D0"/>
    <w:rsid w:val="008E73F7"/>
    <w:rsid w:val="008F31CD"/>
    <w:rsid w:val="008F692E"/>
    <w:rsid w:val="009046C1"/>
    <w:rsid w:val="0090535E"/>
    <w:rsid w:val="00905BCA"/>
    <w:rsid w:val="00910475"/>
    <w:rsid w:val="00912921"/>
    <w:rsid w:val="0091352F"/>
    <w:rsid w:val="00916CD3"/>
    <w:rsid w:val="00920BC6"/>
    <w:rsid w:val="009214E8"/>
    <w:rsid w:val="00922C4B"/>
    <w:rsid w:val="0092701B"/>
    <w:rsid w:val="0092757B"/>
    <w:rsid w:val="009326AC"/>
    <w:rsid w:val="00942FF2"/>
    <w:rsid w:val="00944800"/>
    <w:rsid w:val="00962D4A"/>
    <w:rsid w:val="00964C8C"/>
    <w:rsid w:val="0096610D"/>
    <w:rsid w:val="0096674E"/>
    <w:rsid w:val="00970823"/>
    <w:rsid w:val="00970DBB"/>
    <w:rsid w:val="00970E10"/>
    <w:rsid w:val="00973931"/>
    <w:rsid w:val="00975398"/>
    <w:rsid w:val="0097737C"/>
    <w:rsid w:val="00986FF5"/>
    <w:rsid w:val="00992C9F"/>
    <w:rsid w:val="0099399A"/>
    <w:rsid w:val="009A0528"/>
    <w:rsid w:val="009A4701"/>
    <w:rsid w:val="009B04E3"/>
    <w:rsid w:val="009B128C"/>
    <w:rsid w:val="009B21E3"/>
    <w:rsid w:val="009B2F45"/>
    <w:rsid w:val="009B69AA"/>
    <w:rsid w:val="009C0E52"/>
    <w:rsid w:val="009D0515"/>
    <w:rsid w:val="009D3596"/>
    <w:rsid w:val="009D3F75"/>
    <w:rsid w:val="009E08EA"/>
    <w:rsid w:val="009E7715"/>
    <w:rsid w:val="009F4241"/>
    <w:rsid w:val="00A029AE"/>
    <w:rsid w:val="00A029E8"/>
    <w:rsid w:val="00A068B1"/>
    <w:rsid w:val="00A078D8"/>
    <w:rsid w:val="00A139BE"/>
    <w:rsid w:val="00A201F0"/>
    <w:rsid w:val="00A209FD"/>
    <w:rsid w:val="00A334F4"/>
    <w:rsid w:val="00A40A88"/>
    <w:rsid w:val="00A44AA9"/>
    <w:rsid w:val="00A462FE"/>
    <w:rsid w:val="00A5063A"/>
    <w:rsid w:val="00A528D5"/>
    <w:rsid w:val="00A52F32"/>
    <w:rsid w:val="00A61371"/>
    <w:rsid w:val="00A67CBA"/>
    <w:rsid w:val="00A705BD"/>
    <w:rsid w:val="00A711B0"/>
    <w:rsid w:val="00A747B7"/>
    <w:rsid w:val="00A802A8"/>
    <w:rsid w:val="00A818C4"/>
    <w:rsid w:val="00A81938"/>
    <w:rsid w:val="00A8307F"/>
    <w:rsid w:val="00A87B06"/>
    <w:rsid w:val="00A90D0D"/>
    <w:rsid w:val="00A911C4"/>
    <w:rsid w:val="00A95604"/>
    <w:rsid w:val="00A95CBA"/>
    <w:rsid w:val="00A95D0E"/>
    <w:rsid w:val="00A97229"/>
    <w:rsid w:val="00A9733C"/>
    <w:rsid w:val="00AA553A"/>
    <w:rsid w:val="00AB10B9"/>
    <w:rsid w:val="00AB1300"/>
    <w:rsid w:val="00AB1E78"/>
    <w:rsid w:val="00AB44C5"/>
    <w:rsid w:val="00AB6C3C"/>
    <w:rsid w:val="00AB7E1F"/>
    <w:rsid w:val="00AC1A84"/>
    <w:rsid w:val="00AC28A6"/>
    <w:rsid w:val="00AC5C26"/>
    <w:rsid w:val="00AC7F30"/>
    <w:rsid w:val="00AD20D3"/>
    <w:rsid w:val="00AD61AD"/>
    <w:rsid w:val="00AE0DF2"/>
    <w:rsid w:val="00AE19C3"/>
    <w:rsid w:val="00AE3551"/>
    <w:rsid w:val="00AE4A03"/>
    <w:rsid w:val="00AE4E5F"/>
    <w:rsid w:val="00AE7652"/>
    <w:rsid w:val="00AE76EE"/>
    <w:rsid w:val="00AF0839"/>
    <w:rsid w:val="00AF2C81"/>
    <w:rsid w:val="00AF3531"/>
    <w:rsid w:val="00AF5E91"/>
    <w:rsid w:val="00B00E8E"/>
    <w:rsid w:val="00B00F0F"/>
    <w:rsid w:val="00B016B6"/>
    <w:rsid w:val="00B04FDC"/>
    <w:rsid w:val="00B16960"/>
    <w:rsid w:val="00B20507"/>
    <w:rsid w:val="00B25CB3"/>
    <w:rsid w:val="00B26947"/>
    <w:rsid w:val="00B37F7C"/>
    <w:rsid w:val="00B45FF3"/>
    <w:rsid w:val="00B465B5"/>
    <w:rsid w:val="00B50B82"/>
    <w:rsid w:val="00B51AE3"/>
    <w:rsid w:val="00B51E8C"/>
    <w:rsid w:val="00B5202E"/>
    <w:rsid w:val="00B61E28"/>
    <w:rsid w:val="00B64225"/>
    <w:rsid w:val="00B64836"/>
    <w:rsid w:val="00B654E8"/>
    <w:rsid w:val="00B65B1E"/>
    <w:rsid w:val="00B662DA"/>
    <w:rsid w:val="00B6648A"/>
    <w:rsid w:val="00B70E9F"/>
    <w:rsid w:val="00B73CD1"/>
    <w:rsid w:val="00B74EC2"/>
    <w:rsid w:val="00B80418"/>
    <w:rsid w:val="00B82B62"/>
    <w:rsid w:val="00B8403C"/>
    <w:rsid w:val="00B86206"/>
    <w:rsid w:val="00B93920"/>
    <w:rsid w:val="00BA01A4"/>
    <w:rsid w:val="00BA173D"/>
    <w:rsid w:val="00BA5A4F"/>
    <w:rsid w:val="00BB03E5"/>
    <w:rsid w:val="00BB338F"/>
    <w:rsid w:val="00BB64F8"/>
    <w:rsid w:val="00BB7722"/>
    <w:rsid w:val="00BB7F0A"/>
    <w:rsid w:val="00BC1B33"/>
    <w:rsid w:val="00BC5CDF"/>
    <w:rsid w:val="00BD0A5F"/>
    <w:rsid w:val="00BD3F5D"/>
    <w:rsid w:val="00BD495D"/>
    <w:rsid w:val="00BE24B2"/>
    <w:rsid w:val="00BE49BC"/>
    <w:rsid w:val="00BE5D85"/>
    <w:rsid w:val="00BE745D"/>
    <w:rsid w:val="00BF0A3F"/>
    <w:rsid w:val="00BF1C54"/>
    <w:rsid w:val="00BF266D"/>
    <w:rsid w:val="00BF4161"/>
    <w:rsid w:val="00BF7920"/>
    <w:rsid w:val="00C03BCA"/>
    <w:rsid w:val="00C057FC"/>
    <w:rsid w:val="00C079E4"/>
    <w:rsid w:val="00C10BD9"/>
    <w:rsid w:val="00C134A5"/>
    <w:rsid w:val="00C230F3"/>
    <w:rsid w:val="00C268C3"/>
    <w:rsid w:val="00C308CE"/>
    <w:rsid w:val="00C31057"/>
    <w:rsid w:val="00C33D47"/>
    <w:rsid w:val="00C34EDA"/>
    <w:rsid w:val="00C35CA8"/>
    <w:rsid w:val="00C3677A"/>
    <w:rsid w:val="00C41FD6"/>
    <w:rsid w:val="00C44FE9"/>
    <w:rsid w:val="00C45C77"/>
    <w:rsid w:val="00C477DD"/>
    <w:rsid w:val="00C47CBE"/>
    <w:rsid w:val="00C510FE"/>
    <w:rsid w:val="00C527F9"/>
    <w:rsid w:val="00C54E44"/>
    <w:rsid w:val="00C557DC"/>
    <w:rsid w:val="00C571A0"/>
    <w:rsid w:val="00C6027E"/>
    <w:rsid w:val="00C63A09"/>
    <w:rsid w:val="00C649F8"/>
    <w:rsid w:val="00C65FE6"/>
    <w:rsid w:val="00C70840"/>
    <w:rsid w:val="00C8096B"/>
    <w:rsid w:val="00C81E72"/>
    <w:rsid w:val="00C85D22"/>
    <w:rsid w:val="00C95476"/>
    <w:rsid w:val="00CA067D"/>
    <w:rsid w:val="00CA0C85"/>
    <w:rsid w:val="00CA20E4"/>
    <w:rsid w:val="00CA74F7"/>
    <w:rsid w:val="00CB4FA9"/>
    <w:rsid w:val="00CB6004"/>
    <w:rsid w:val="00CC6377"/>
    <w:rsid w:val="00CD37E8"/>
    <w:rsid w:val="00CD44A0"/>
    <w:rsid w:val="00CD5767"/>
    <w:rsid w:val="00CD5A3B"/>
    <w:rsid w:val="00CF417A"/>
    <w:rsid w:val="00CF5405"/>
    <w:rsid w:val="00D04031"/>
    <w:rsid w:val="00D12029"/>
    <w:rsid w:val="00D12F23"/>
    <w:rsid w:val="00D13AFD"/>
    <w:rsid w:val="00D14C6C"/>
    <w:rsid w:val="00D14C6E"/>
    <w:rsid w:val="00D17315"/>
    <w:rsid w:val="00D17F85"/>
    <w:rsid w:val="00D22285"/>
    <w:rsid w:val="00D23739"/>
    <w:rsid w:val="00D276DC"/>
    <w:rsid w:val="00D330E8"/>
    <w:rsid w:val="00D33AD7"/>
    <w:rsid w:val="00D40E1E"/>
    <w:rsid w:val="00D41144"/>
    <w:rsid w:val="00D42FBF"/>
    <w:rsid w:val="00D50DB4"/>
    <w:rsid w:val="00D533AA"/>
    <w:rsid w:val="00D56A02"/>
    <w:rsid w:val="00D602B7"/>
    <w:rsid w:val="00D623FF"/>
    <w:rsid w:val="00D63B29"/>
    <w:rsid w:val="00D6430E"/>
    <w:rsid w:val="00D75301"/>
    <w:rsid w:val="00D813ED"/>
    <w:rsid w:val="00D979A5"/>
    <w:rsid w:val="00DA08E4"/>
    <w:rsid w:val="00DA206C"/>
    <w:rsid w:val="00DA2945"/>
    <w:rsid w:val="00DA31E4"/>
    <w:rsid w:val="00DA59C7"/>
    <w:rsid w:val="00DB04E2"/>
    <w:rsid w:val="00DB33FA"/>
    <w:rsid w:val="00DC0A6E"/>
    <w:rsid w:val="00DC1D2F"/>
    <w:rsid w:val="00DC39C5"/>
    <w:rsid w:val="00DC4D04"/>
    <w:rsid w:val="00DC4F99"/>
    <w:rsid w:val="00DD1EFB"/>
    <w:rsid w:val="00DD2583"/>
    <w:rsid w:val="00DD6A5D"/>
    <w:rsid w:val="00DE36EB"/>
    <w:rsid w:val="00DE40A4"/>
    <w:rsid w:val="00DE4D96"/>
    <w:rsid w:val="00DF0264"/>
    <w:rsid w:val="00DF0769"/>
    <w:rsid w:val="00DF24CA"/>
    <w:rsid w:val="00DF686C"/>
    <w:rsid w:val="00E01044"/>
    <w:rsid w:val="00E10ABD"/>
    <w:rsid w:val="00E10EAC"/>
    <w:rsid w:val="00E14379"/>
    <w:rsid w:val="00E17F32"/>
    <w:rsid w:val="00E204AB"/>
    <w:rsid w:val="00E2645C"/>
    <w:rsid w:val="00E36D14"/>
    <w:rsid w:val="00E46F1A"/>
    <w:rsid w:val="00E47068"/>
    <w:rsid w:val="00E50A1A"/>
    <w:rsid w:val="00E51338"/>
    <w:rsid w:val="00E51FD1"/>
    <w:rsid w:val="00E601D8"/>
    <w:rsid w:val="00E6353F"/>
    <w:rsid w:val="00E65500"/>
    <w:rsid w:val="00E65710"/>
    <w:rsid w:val="00E70897"/>
    <w:rsid w:val="00E71B1D"/>
    <w:rsid w:val="00E7260E"/>
    <w:rsid w:val="00E776E2"/>
    <w:rsid w:val="00E77D70"/>
    <w:rsid w:val="00E8365A"/>
    <w:rsid w:val="00E8468A"/>
    <w:rsid w:val="00E85C2D"/>
    <w:rsid w:val="00E87E38"/>
    <w:rsid w:val="00E93480"/>
    <w:rsid w:val="00E9349D"/>
    <w:rsid w:val="00E95315"/>
    <w:rsid w:val="00EA055B"/>
    <w:rsid w:val="00EA087A"/>
    <w:rsid w:val="00EB18EF"/>
    <w:rsid w:val="00EB1BB9"/>
    <w:rsid w:val="00EB3624"/>
    <w:rsid w:val="00EB50CF"/>
    <w:rsid w:val="00EC5F6D"/>
    <w:rsid w:val="00ED08C7"/>
    <w:rsid w:val="00ED1A03"/>
    <w:rsid w:val="00ED391A"/>
    <w:rsid w:val="00EE2A4F"/>
    <w:rsid w:val="00EE4495"/>
    <w:rsid w:val="00EE5F6D"/>
    <w:rsid w:val="00EE783F"/>
    <w:rsid w:val="00EF2003"/>
    <w:rsid w:val="00EF63B1"/>
    <w:rsid w:val="00F00A9D"/>
    <w:rsid w:val="00F01684"/>
    <w:rsid w:val="00F0749B"/>
    <w:rsid w:val="00F12E19"/>
    <w:rsid w:val="00F25BDF"/>
    <w:rsid w:val="00F304CD"/>
    <w:rsid w:val="00F30556"/>
    <w:rsid w:val="00F307FF"/>
    <w:rsid w:val="00F33886"/>
    <w:rsid w:val="00F36BD7"/>
    <w:rsid w:val="00F406B1"/>
    <w:rsid w:val="00F43881"/>
    <w:rsid w:val="00F44DA8"/>
    <w:rsid w:val="00F45473"/>
    <w:rsid w:val="00F559E6"/>
    <w:rsid w:val="00F60129"/>
    <w:rsid w:val="00F62832"/>
    <w:rsid w:val="00F66FC5"/>
    <w:rsid w:val="00F71F4E"/>
    <w:rsid w:val="00F85206"/>
    <w:rsid w:val="00F86B0D"/>
    <w:rsid w:val="00F9496C"/>
    <w:rsid w:val="00FA5000"/>
    <w:rsid w:val="00FC16D1"/>
    <w:rsid w:val="00FC7113"/>
    <w:rsid w:val="00FD0AED"/>
    <w:rsid w:val="00FD1EBA"/>
    <w:rsid w:val="00FD5940"/>
    <w:rsid w:val="00FD75F3"/>
    <w:rsid w:val="00FE0170"/>
    <w:rsid w:val="00FE0893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4DC"/>
  </w:style>
  <w:style w:type="paragraph" w:styleId="a5">
    <w:name w:val="footer"/>
    <w:basedOn w:val="a"/>
    <w:link w:val="a6"/>
    <w:uiPriority w:val="99"/>
    <w:unhideWhenUsed/>
    <w:rsid w:val="00386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4DC"/>
  </w:style>
  <w:style w:type="paragraph" w:styleId="a7">
    <w:name w:val="Balloon Text"/>
    <w:basedOn w:val="a"/>
    <w:link w:val="a8"/>
    <w:uiPriority w:val="99"/>
    <w:semiHidden/>
    <w:unhideWhenUsed/>
    <w:rsid w:val="0038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4D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B32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053B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2D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2D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2D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2D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2D47"/>
    <w:rPr>
      <w:b/>
      <w:bCs/>
    </w:rPr>
  </w:style>
  <w:style w:type="table" w:styleId="af">
    <w:name w:val="Table Grid"/>
    <w:basedOn w:val="a1"/>
    <w:uiPriority w:val="59"/>
    <w:rsid w:val="00DE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E4D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Revision"/>
    <w:hidden/>
    <w:uiPriority w:val="99"/>
    <w:semiHidden/>
    <w:rsid w:val="006F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4DC"/>
  </w:style>
  <w:style w:type="paragraph" w:styleId="a5">
    <w:name w:val="footer"/>
    <w:basedOn w:val="a"/>
    <w:link w:val="a6"/>
    <w:uiPriority w:val="99"/>
    <w:unhideWhenUsed/>
    <w:rsid w:val="00386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4DC"/>
  </w:style>
  <w:style w:type="paragraph" w:styleId="a7">
    <w:name w:val="Balloon Text"/>
    <w:basedOn w:val="a"/>
    <w:link w:val="a8"/>
    <w:uiPriority w:val="99"/>
    <w:semiHidden/>
    <w:unhideWhenUsed/>
    <w:rsid w:val="0038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4D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B32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053B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2D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2D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2D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2D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2D47"/>
    <w:rPr>
      <w:b/>
      <w:bCs/>
    </w:rPr>
  </w:style>
  <w:style w:type="table" w:styleId="af">
    <w:name w:val="Table Grid"/>
    <w:basedOn w:val="a1"/>
    <w:uiPriority w:val="59"/>
    <w:rsid w:val="00DE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E4D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Revision"/>
    <w:hidden/>
    <w:uiPriority w:val="99"/>
    <w:semiHidden/>
    <w:rsid w:val="006F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996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1511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88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64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52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21A6-8B67-4F0B-A492-15FA488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OGITANI YUSUKE / 扇谷 祐輔</dc:creator>
  <cp:lastModifiedBy>OGITANI YUSUKE / 扇谷 祐輔</cp:lastModifiedBy>
  <cp:revision>5</cp:revision>
  <dcterms:created xsi:type="dcterms:W3CDTF">2015-11-18T10:31:00Z</dcterms:created>
  <dcterms:modified xsi:type="dcterms:W3CDTF">2016-02-10T11:07:00Z</dcterms:modified>
</cp:coreProperties>
</file>