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73" w:rsidRPr="0082658D" w:rsidRDefault="0082658D">
      <w:pPr>
        <w:rPr>
          <w:rFonts w:ascii="Arial" w:hAnsi="Arial" w:cs="Arial"/>
          <w:b/>
          <w:sz w:val="24"/>
          <w:szCs w:val="24"/>
          <w:u w:val="single"/>
        </w:rPr>
      </w:pPr>
      <w:r w:rsidRPr="0082658D">
        <w:rPr>
          <w:rFonts w:ascii="Arial" w:hAnsi="Arial" w:cs="Arial"/>
          <w:b/>
          <w:sz w:val="24"/>
          <w:szCs w:val="24"/>
          <w:u w:val="single"/>
        </w:rPr>
        <w:t>Supplemental Methods</w:t>
      </w:r>
    </w:p>
    <w:p w:rsidR="00CB5BD0" w:rsidRPr="00CB5BD0" w:rsidRDefault="00CB5BD0" w:rsidP="00CB5BD0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B5BD0">
        <w:rPr>
          <w:rFonts w:ascii="Arial" w:hAnsi="Arial" w:cs="Arial"/>
          <w:b/>
          <w:i/>
          <w:sz w:val="24"/>
          <w:szCs w:val="24"/>
        </w:rPr>
        <w:t>Cell culture conditions</w:t>
      </w:r>
    </w:p>
    <w:p w:rsidR="00CB5BD0" w:rsidRPr="00CB5BD0" w:rsidRDefault="00CB5BD0" w:rsidP="00CB5B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B5BD0">
        <w:rPr>
          <w:rFonts w:ascii="Arial" w:hAnsi="Arial" w:cs="Arial"/>
          <w:sz w:val="24"/>
          <w:szCs w:val="24"/>
        </w:rPr>
        <w:t>Tumor cells and T cells were cultured in RPMI 1640 (</w:t>
      </w:r>
      <w:proofErr w:type="spellStart"/>
      <w:r w:rsidRPr="00CB5BD0">
        <w:rPr>
          <w:rFonts w:ascii="Arial" w:hAnsi="Arial" w:cs="Arial"/>
          <w:sz w:val="24"/>
          <w:szCs w:val="24"/>
        </w:rPr>
        <w:t>Gibco</w:t>
      </w:r>
      <w:proofErr w:type="spellEnd"/>
      <w:r w:rsidRPr="00CB5BD0">
        <w:rPr>
          <w:rFonts w:ascii="Arial" w:hAnsi="Arial" w:cs="Arial"/>
          <w:sz w:val="24"/>
          <w:szCs w:val="24"/>
        </w:rPr>
        <w:t xml:space="preserve"> 11875-085) supplemented</w:t>
      </w:r>
    </w:p>
    <w:p w:rsidR="00CB5BD0" w:rsidRPr="00CB5BD0" w:rsidRDefault="00CB5BD0" w:rsidP="00CB5B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5BD0">
        <w:rPr>
          <w:rFonts w:ascii="Arial" w:hAnsi="Arial" w:cs="Arial"/>
          <w:sz w:val="24"/>
          <w:szCs w:val="24"/>
        </w:rPr>
        <w:t>with</w:t>
      </w:r>
      <w:proofErr w:type="gramEnd"/>
      <w:r w:rsidRPr="00CB5BD0">
        <w:rPr>
          <w:rFonts w:ascii="Arial" w:hAnsi="Arial" w:cs="Arial"/>
          <w:sz w:val="24"/>
          <w:szCs w:val="24"/>
        </w:rPr>
        <w:t xml:space="preserve"> 10% heat inactivated fetal calf serum (FCS), 100U/ml penicillin, 100ug/ml</w:t>
      </w:r>
    </w:p>
    <w:p w:rsidR="00CB5BD0" w:rsidRPr="00CB5BD0" w:rsidRDefault="00CB5BD0" w:rsidP="00CB5B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5BD0">
        <w:rPr>
          <w:rFonts w:ascii="Arial" w:hAnsi="Arial" w:cs="Arial"/>
          <w:sz w:val="24"/>
          <w:szCs w:val="24"/>
        </w:rPr>
        <w:t>streptomycin</w:t>
      </w:r>
      <w:proofErr w:type="gramEnd"/>
      <w:r w:rsidRPr="00CB5BD0">
        <w:rPr>
          <w:rFonts w:ascii="Arial" w:hAnsi="Arial" w:cs="Arial"/>
          <w:sz w:val="24"/>
          <w:szCs w:val="24"/>
        </w:rPr>
        <w:t xml:space="preserve"> sulfate, and 1% L-glutamine (complete cell culture medium).</w:t>
      </w:r>
    </w:p>
    <w:p w:rsidR="00CB5BD0" w:rsidRDefault="00CB5BD0" w:rsidP="0082658D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82658D" w:rsidRPr="0082658D" w:rsidRDefault="0082658D" w:rsidP="0082658D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658D">
        <w:rPr>
          <w:rFonts w:ascii="Arial" w:hAnsi="Arial" w:cs="Arial"/>
          <w:b/>
          <w:i/>
          <w:sz w:val="24"/>
          <w:szCs w:val="24"/>
        </w:rPr>
        <w:t>Isolation, bead activation, transduction, and expansion of primary human T</w:t>
      </w:r>
    </w:p>
    <w:p w:rsidR="0082658D" w:rsidRPr="0082658D" w:rsidRDefault="0082658D" w:rsidP="0082658D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82658D">
        <w:rPr>
          <w:rFonts w:ascii="Arial" w:hAnsi="Arial" w:cs="Arial"/>
          <w:b/>
          <w:i/>
          <w:sz w:val="24"/>
          <w:szCs w:val="24"/>
        </w:rPr>
        <w:t>lymphocytes</w:t>
      </w:r>
      <w:proofErr w:type="gramEnd"/>
    </w:p>
    <w:p w:rsidR="0082658D" w:rsidRPr="0082658D" w:rsidRDefault="0082658D" w:rsidP="008265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2658D">
        <w:rPr>
          <w:rFonts w:ascii="Arial" w:hAnsi="Arial" w:cs="Arial"/>
          <w:sz w:val="24"/>
          <w:szCs w:val="24"/>
        </w:rPr>
        <w:t>Primary human CD4</w:t>
      </w:r>
      <w:r w:rsidRPr="0082658D">
        <w:rPr>
          <w:rFonts w:ascii="Arial" w:hAnsi="Arial" w:cs="Arial"/>
          <w:sz w:val="24"/>
          <w:szCs w:val="24"/>
          <w:vertAlign w:val="superscript"/>
        </w:rPr>
        <w:t>+</w:t>
      </w:r>
      <w:r w:rsidRPr="0082658D">
        <w:rPr>
          <w:rFonts w:ascii="Arial" w:hAnsi="Arial" w:cs="Arial"/>
          <w:sz w:val="24"/>
          <w:szCs w:val="24"/>
        </w:rPr>
        <w:t xml:space="preserve"> T and CD8</w:t>
      </w:r>
      <w:r w:rsidRPr="0082658D">
        <w:rPr>
          <w:rFonts w:ascii="Arial" w:hAnsi="Arial" w:cs="Arial"/>
          <w:sz w:val="24"/>
          <w:szCs w:val="24"/>
          <w:vertAlign w:val="superscript"/>
        </w:rPr>
        <w:t>+</w:t>
      </w:r>
      <w:r w:rsidRPr="0082658D">
        <w:rPr>
          <w:rFonts w:ascii="Arial" w:hAnsi="Arial" w:cs="Arial"/>
          <w:sz w:val="24"/>
          <w:szCs w:val="24"/>
        </w:rPr>
        <w:t xml:space="preserve"> T cells were isolated from healthy volunteer donors</w:t>
      </w:r>
    </w:p>
    <w:p w:rsidR="0082658D" w:rsidRPr="0082658D" w:rsidRDefault="0082658D" w:rsidP="008265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658D">
        <w:rPr>
          <w:rFonts w:ascii="Arial" w:hAnsi="Arial" w:cs="Arial"/>
          <w:sz w:val="24"/>
          <w:szCs w:val="24"/>
        </w:rPr>
        <w:t>following</w:t>
      </w:r>
      <w:proofErr w:type="gramEnd"/>
      <w:r w:rsidRPr="00826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658D">
        <w:rPr>
          <w:rFonts w:ascii="Arial" w:hAnsi="Arial" w:cs="Arial"/>
          <w:sz w:val="24"/>
          <w:szCs w:val="24"/>
        </w:rPr>
        <w:t>leukopheresis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 by negative selection using </w:t>
      </w:r>
      <w:proofErr w:type="spellStart"/>
      <w:r w:rsidRPr="0082658D">
        <w:rPr>
          <w:rFonts w:ascii="Arial" w:hAnsi="Arial" w:cs="Arial"/>
          <w:sz w:val="24"/>
          <w:szCs w:val="24"/>
        </w:rPr>
        <w:t>RosetteSep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 kits (Stem Cell Technologies, Vancouver, Canada). All specimens were collected using a University Institutional Review Board-approved protocol. CD4</w:t>
      </w:r>
      <w:r w:rsidRPr="0082658D">
        <w:rPr>
          <w:rFonts w:ascii="Arial" w:hAnsi="Arial" w:cs="Arial"/>
          <w:sz w:val="24"/>
          <w:szCs w:val="24"/>
          <w:vertAlign w:val="superscript"/>
        </w:rPr>
        <w:t>+</w:t>
      </w:r>
      <w:r w:rsidRPr="0082658D">
        <w:rPr>
          <w:rFonts w:ascii="Arial" w:hAnsi="Arial" w:cs="Arial"/>
          <w:sz w:val="24"/>
          <w:szCs w:val="24"/>
        </w:rPr>
        <w:t xml:space="preserve"> and CD8</w:t>
      </w:r>
      <w:r w:rsidRPr="0082658D">
        <w:rPr>
          <w:rFonts w:ascii="Arial" w:hAnsi="Arial" w:cs="Arial"/>
          <w:sz w:val="24"/>
          <w:szCs w:val="24"/>
          <w:vertAlign w:val="superscript"/>
        </w:rPr>
        <w:t>+</w:t>
      </w:r>
      <w:r w:rsidRPr="0082658D">
        <w:rPr>
          <w:rFonts w:ascii="Arial" w:hAnsi="Arial" w:cs="Arial"/>
          <w:sz w:val="24"/>
          <w:szCs w:val="24"/>
        </w:rPr>
        <w:t xml:space="preserve"> T cells were mixed at a 1:1 ratio, and cultured in complete cell culture medium. They were stimulated with magnetic beads coated with anti-CD3/anti-CD28 at a 1:3 cell to bead ratio without the addition of exogenous IL-2. T cells were transduced with </w:t>
      </w:r>
      <w:proofErr w:type="spellStart"/>
      <w:r w:rsidRPr="0082658D">
        <w:rPr>
          <w:rFonts w:ascii="Arial" w:hAnsi="Arial" w:cs="Arial"/>
          <w:sz w:val="24"/>
          <w:szCs w:val="24"/>
        </w:rPr>
        <w:t>lentiviral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 vectors at an MOI of approximately 5. Cells were counted and fed with complete cell culture medium every 2 days. Once they appeared to become quiescent as determined by both decreased growth kinetics and cell size, they were used either for functional assays or cryopreserved. A small portion of expanded cells were stained for flow </w:t>
      </w:r>
      <w:proofErr w:type="spellStart"/>
      <w:r w:rsidRPr="0082658D">
        <w:rPr>
          <w:rFonts w:ascii="Arial" w:hAnsi="Arial" w:cs="Arial"/>
          <w:sz w:val="24"/>
          <w:szCs w:val="24"/>
        </w:rPr>
        <w:t>cytometry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 confirmation of successful Ly95 transduction using the Vβ13.1 TCR chain antibody.</w:t>
      </w:r>
    </w:p>
    <w:p w:rsidR="00FF1710" w:rsidRDefault="00FF1710" w:rsidP="00FF1710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F1710" w:rsidRPr="00FF1710" w:rsidRDefault="00FF1710" w:rsidP="00FF1710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F1710">
        <w:rPr>
          <w:rFonts w:ascii="Arial" w:hAnsi="Arial" w:cs="Arial"/>
          <w:b/>
          <w:i/>
          <w:sz w:val="24"/>
          <w:szCs w:val="24"/>
        </w:rPr>
        <w:t>Generation of the target lung cancer cell line</w:t>
      </w:r>
    </w:p>
    <w:p w:rsidR="00FF1710" w:rsidRPr="00FF1710" w:rsidRDefault="00FF1710" w:rsidP="00FF1710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FF1710">
        <w:rPr>
          <w:rFonts w:ascii="Arial" w:hAnsi="Arial" w:cs="Arial"/>
          <w:sz w:val="24"/>
          <w:szCs w:val="24"/>
        </w:rPr>
        <w:t xml:space="preserve">The human lung cancer cell line A549-CBG was generated by stably transducing the A549 cell line (ATCC CCL185) with a </w:t>
      </w:r>
      <w:proofErr w:type="spellStart"/>
      <w:r w:rsidRPr="00FF1710">
        <w:rPr>
          <w:rFonts w:ascii="Arial" w:hAnsi="Arial" w:cs="Arial"/>
          <w:sz w:val="24"/>
          <w:szCs w:val="24"/>
        </w:rPr>
        <w:t>lentiviral</w:t>
      </w:r>
      <w:proofErr w:type="spellEnd"/>
      <w:r w:rsidRPr="00FF1710">
        <w:rPr>
          <w:rFonts w:ascii="Arial" w:hAnsi="Arial" w:cs="Arial"/>
          <w:sz w:val="24"/>
          <w:szCs w:val="24"/>
        </w:rPr>
        <w:t xml:space="preserve"> vector encoding Click Beatle Green </w:t>
      </w:r>
      <w:r w:rsidRPr="00FF1710">
        <w:rPr>
          <w:rFonts w:ascii="Arial" w:hAnsi="Arial" w:cs="Arial"/>
          <w:sz w:val="24"/>
          <w:szCs w:val="24"/>
        </w:rPr>
        <w:lastRenderedPageBreak/>
        <w:t xml:space="preserve">luciferase (CBG) and GFP (CBG-T2A-GFP). </w:t>
      </w:r>
      <w:r w:rsidRPr="00FF1710">
        <w:rPr>
          <w:rFonts w:ascii="Arial" w:hAnsi="Arial" w:cs="Arial"/>
          <w:sz w:val="24"/>
          <w:szCs w:val="24"/>
          <w:highlight w:val="yellow"/>
        </w:rPr>
        <w:t xml:space="preserve">GFP positivity was used to flow-sort for cells that were successfully transduced. CBG was used in measuring T cell </w:t>
      </w:r>
      <w:proofErr w:type="spellStart"/>
      <w:r w:rsidRPr="00FF1710">
        <w:rPr>
          <w:rFonts w:ascii="Arial" w:hAnsi="Arial" w:cs="Arial"/>
          <w:sz w:val="24"/>
          <w:szCs w:val="24"/>
          <w:highlight w:val="yellow"/>
        </w:rPr>
        <w:t>cytolytic</w:t>
      </w:r>
      <w:proofErr w:type="spellEnd"/>
      <w:r w:rsidRPr="00FF1710">
        <w:rPr>
          <w:rFonts w:ascii="Arial" w:hAnsi="Arial" w:cs="Arial"/>
          <w:sz w:val="24"/>
          <w:szCs w:val="24"/>
          <w:highlight w:val="yellow"/>
        </w:rPr>
        <w:t xml:space="preserve"> assays.</w:t>
      </w:r>
      <w:r w:rsidRPr="00FF1710">
        <w:rPr>
          <w:rFonts w:ascii="Arial" w:hAnsi="Arial" w:cs="Arial"/>
          <w:sz w:val="24"/>
          <w:szCs w:val="24"/>
        </w:rPr>
        <w:t xml:space="preserve"> The sorted A549-CBG cell line was then transduced by a retroviral vector encoding NY-ESO-1-T2A-HLA-A2. The transduced A549-CBG cells were subjected to limiting dilution at 0.5 cell per well in 96-well plates. Resulting clones were tested by flow </w:t>
      </w:r>
      <w:proofErr w:type="spellStart"/>
      <w:r w:rsidRPr="00FF1710">
        <w:rPr>
          <w:rFonts w:ascii="Arial" w:hAnsi="Arial" w:cs="Arial"/>
          <w:sz w:val="24"/>
          <w:szCs w:val="24"/>
        </w:rPr>
        <w:t>cytometry</w:t>
      </w:r>
      <w:proofErr w:type="spellEnd"/>
      <w:r w:rsidRPr="00FF1710">
        <w:rPr>
          <w:rFonts w:ascii="Arial" w:hAnsi="Arial" w:cs="Arial"/>
          <w:sz w:val="24"/>
          <w:szCs w:val="24"/>
        </w:rPr>
        <w:t xml:space="preserve"> for HLA-A2 expression. HLA-A2 positive clones were selected and tested by co-culture with T cells expressing the NY-ESO-1 TCR. The clones expressing HLA-A2 that could stimulate NY-ESO-1 TCR-expressing T cells to secrete </w:t>
      </w:r>
      <w:proofErr w:type="spellStart"/>
      <w:r w:rsidRPr="00FF1710">
        <w:rPr>
          <w:rFonts w:ascii="Arial" w:hAnsi="Arial" w:cs="Arial"/>
          <w:sz w:val="24"/>
          <w:szCs w:val="24"/>
        </w:rPr>
        <w:t>IFNγ</w:t>
      </w:r>
      <w:proofErr w:type="spellEnd"/>
      <w:r w:rsidRPr="00FF1710">
        <w:rPr>
          <w:rFonts w:ascii="Arial" w:hAnsi="Arial" w:cs="Arial"/>
          <w:sz w:val="24"/>
          <w:szCs w:val="24"/>
        </w:rPr>
        <w:t xml:space="preserve"> were pooled to generate the A549-NY-ESO-1-A2-CBG (A549-A2-ESO) cell line.  </w:t>
      </w:r>
      <w:r w:rsidRPr="00FF1710">
        <w:rPr>
          <w:rFonts w:ascii="Arial" w:hAnsi="Arial" w:cs="Arial"/>
          <w:sz w:val="24"/>
          <w:szCs w:val="24"/>
          <w:highlight w:val="yellow"/>
        </w:rPr>
        <w:t>The A549-A2-ESO cell line was authenticated by ATCC by utilizing Short Tandem Repeat profiling.  This was done to confirm that in the process of transducing, enriching, and sorting the A549-A2-ESO cell line, the fundamental cell line was identical to the base A549 cell line. (</w:t>
      </w:r>
      <w:hyperlink r:id="rId5" w:history="1">
        <w:r w:rsidRPr="00FF1710">
          <w:rPr>
            <w:rStyle w:val="Hyperlink"/>
            <w:rFonts w:ascii="Arial" w:hAnsi="Arial" w:cs="Arial"/>
            <w:sz w:val="24"/>
            <w:szCs w:val="24"/>
            <w:highlight w:val="yellow"/>
          </w:rPr>
          <w:t>http://www.atcc.org/Services/Testing_Services/Cell_Authentication_Testing_Service.aspx</w:t>
        </w:r>
      </w:hyperlink>
      <w:r w:rsidRPr="00FF1710">
        <w:rPr>
          <w:rFonts w:ascii="Arial" w:hAnsi="Arial" w:cs="Arial"/>
          <w:sz w:val="24"/>
          <w:szCs w:val="24"/>
          <w:highlight w:val="yellow"/>
        </w:rPr>
        <w:t>)</w:t>
      </w:r>
    </w:p>
    <w:p w:rsidR="0082658D" w:rsidRPr="0082658D" w:rsidRDefault="0082658D" w:rsidP="0082658D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658D" w:rsidRPr="0082658D" w:rsidRDefault="0082658D" w:rsidP="0082658D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658D">
        <w:rPr>
          <w:rFonts w:ascii="Arial" w:hAnsi="Arial" w:cs="Arial"/>
          <w:b/>
          <w:i/>
          <w:sz w:val="24"/>
          <w:szCs w:val="24"/>
        </w:rPr>
        <w:t>FACS Analysis</w:t>
      </w:r>
    </w:p>
    <w:p w:rsidR="0082658D" w:rsidRPr="0082658D" w:rsidRDefault="0082658D" w:rsidP="0082658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2658D">
        <w:rPr>
          <w:rFonts w:ascii="Arial" w:hAnsi="Arial" w:cs="Arial"/>
          <w:sz w:val="24"/>
          <w:szCs w:val="24"/>
        </w:rPr>
        <w:t xml:space="preserve">Analysis of target tumor cells was conducted using APC-conjugated antibody against HLA-A2 (BD Biosciences, CA), and a primary monoclonal antibody against NY-ESO-1 (Life Technologies, NY), followed by a PE-conjugated goat anti-mouse secondary antibody (BD Biosciences, CA). Analysis of expression of T cell surface markers was conducted using </w:t>
      </w:r>
      <w:proofErr w:type="spellStart"/>
      <w:r w:rsidRPr="0082658D">
        <w:rPr>
          <w:rFonts w:ascii="Arial" w:hAnsi="Arial" w:cs="Arial"/>
          <w:sz w:val="24"/>
          <w:szCs w:val="24"/>
        </w:rPr>
        <w:t>fluorochrome</w:t>
      </w:r>
      <w:proofErr w:type="spellEnd"/>
      <w:r w:rsidRPr="0082658D">
        <w:rPr>
          <w:rFonts w:ascii="Arial" w:hAnsi="Arial" w:cs="Arial"/>
          <w:sz w:val="24"/>
          <w:szCs w:val="24"/>
        </w:rPr>
        <w:t>-conjugated antibodies against CD45, CD8, CD4, PD-1 (BD Biosciences, CA), Tim-3 (</w:t>
      </w:r>
      <w:proofErr w:type="spellStart"/>
      <w:r w:rsidRPr="0082658D">
        <w:rPr>
          <w:rFonts w:ascii="Arial" w:hAnsi="Arial" w:cs="Arial"/>
          <w:sz w:val="24"/>
          <w:szCs w:val="24"/>
        </w:rPr>
        <w:t>eBioscience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, CA), and Lag-3 (R&amp;D systems, MN). Cells </w:t>
      </w:r>
      <w:r w:rsidRPr="0082658D">
        <w:rPr>
          <w:rFonts w:ascii="Arial" w:hAnsi="Arial" w:cs="Arial"/>
          <w:sz w:val="24"/>
          <w:szCs w:val="24"/>
        </w:rPr>
        <w:lastRenderedPageBreak/>
        <w:t xml:space="preserve">were stained in standard 5 ml round-bottom Falcon FACS tubes (BD Biosciences, CA) and analyzed on a 9-channel </w:t>
      </w:r>
      <w:proofErr w:type="spellStart"/>
      <w:r w:rsidRPr="0082658D">
        <w:rPr>
          <w:rFonts w:ascii="Arial" w:hAnsi="Arial" w:cs="Arial"/>
          <w:sz w:val="24"/>
          <w:szCs w:val="24"/>
        </w:rPr>
        <w:t>CyAn</w:t>
      </w:r>
      <w:r w:rsidRPr="0082658D">
        <w:rPr>
          <w:rFonts w:ascii="Arial" w:hAnsi="Arial" w:cs="Arial"/>
          <w:sz w:val="24"/>
          <w:szCs w:val="24"/>
          <w:vertAlign w:val="superscript"/>
        </w:rPr>
        <w:t>TM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 ADP Analyzer (Beckman Coulter, CA). </w:t>
      </w:r>
    </w:p>
    <w:p w:rsidR="00FF1710" w:rsidRDefault="00FF1710" w:rsidP="0082658D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F1710" w:rsidRDefault="00FF1710" w:rsidP="0082658D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658D" w:rsidRPr="0082658D" w:rsidRDefault="0082658D" w:rsidP="0082658D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658D">
        <w:rPr>
          <w:rFonts w:ascii="Arial" w:hAnsi="Arial" w:cs="Arial"/>
          <w:b/>
          <w:i/>
          <w:sz w:val="24"/>
          <w:szCs w:val="24"/>
        </w:rPr>
        <w:t xml:space="preserve">Flow </w:t>
      </w:r>
      <w:proofErr w:type="spellStart"/>
      <w:r w:rsidRPr="0082658D">
        <w:rPr>
          <w:rFonts w:ascii="Arial" w:hAnsi="Arial" w:cs="Arial"/>
          <w:b/>
          <w:i/>
          <w:sz w:val="24"/>
          <w:szCs w:val="24"/>
        </w:rPr>
        <w:t>Cytometric</w:t>
      </w:r>
      <w:proofErr w:type="spellEnd"/>
      <w:r w:rsidRPr="0082658D">
        <w:rPr>
          <w:rFonts w:ascii="Arial" w:hAnsi="Arial" w:cs="Arial"/>
          <w:b/>
          <w:i/>
          <w:sz w:val="24"/>
          <w:szCs w:val="24"/>
        </w:rPr>
        <w:t xml:space="preserve"> T cell Activation Assay</w:t>
      </w:r>
    </w:p>
    <w:p w:rsidR="0082658D" w:rsidRPr="0082658D" w:rsidRDefault="0082658D" w:rsidP="0082658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2658D">
        <w:rPr>
          <w:rFonts w:ascii="Arial" w:hAnsi="Arial" w:cs="Arial"/>
          <w:sz w:val="24"/>
          <w:szCs w:val="24"/>
        </w:rPr>
        <w:t>Analysis of T cell activation upon stimulation by target tumor cells was performed by plating Ly95 T cells with A549-A2-ESO or control A549-A2 cells at 1:2 E</w:t>
      </w:r>
      <w:proofErr w:type="gramStart"/>
      <w:r w:rsidRPr="0082658D">
        <w:rPr>
          <w:rFonts w:ascii="Arial" w:hAnsi="Arial" w:cs="Arial"/>
          <w:sz w:val="24"/>
          <w:szCs w:val="24"/>
        </w:rPr>
        <w:t>:T</w:t>
      </w:r>
      <w:proofErr w:type="gramEnd"/>
      <w:r w:rsidRPr="0082658D">
        <w:rPr>
          <w:rFonts w:ascii="Arial" w:hAnsi="Arial" w:cs="Arial"/>
          <w:sz w:val="24"/>
          <w:szCs w:val="24"/>
        </w:rPr>
        <w:t xml:space="preserve"> ratio in round-bottom 96-well plates. </w:t>
      </w:r>
      <w:proofErr w:type="spellStart"/>
      <w:r w:rsidRPr="0082658D">
        <w:rPr>
          <w:rFonts w:ascii="Arial" w:hAnsi="Arial" w:cs="Arial"/>
          <w:sz w:val="24"/>
          <w:szCs w:val="24"/>
        </w:rPr>
        <w:t>Fluorochrome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-conjugated antibodies against CD107a, </w:t>
      </w:r>
      <w:proofErr w:type="spellStart"/>
      <w:r w:rsidRPr="0082658D">
        <w:rPr>
          <w:rFonts w:ascii="Arial" w:hAnsi="Arial" w:cs="Arial"/>
          <w:sz w:val="24"/>
          <w:szCs w:val="24"/>
        </w:rPr>
        <w:t>granzyme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 B, and CD25 (BD Biosciences, CA) were added to wells and incubated for 1 hour at 37</w:t>
      </w:r>
      <w:r w:rsidRPr="0082658D">
        <w:rPr>
          <w:rFonts w:ascii="Arial" w:hAnsi="Arial" w:cs="Arial"/>
          <w:sz w:val="24"/>
          <w:szCs w:val="24"/>
          <w:vertAlign w:val="superscript"/>
        </w:rPr>
        <w:t>o</w:t>
      </w:r>
      <w:r w:rsidRPr="0082658D">
        <w:rPr>
          <w:rFonts w:ascii="Arial" w:hAnsi="Arial" w:cs="Arial"/>
          <w:sz w:val="24"/>
          <w:szCs w:val="24"/>
        </w:rPr>
        <w:t xml:space="preserve">C and 5% CO2 in the dark prior to the addition of Golgi </w:t>
      </w:r>
      <w:proofErr w:type="spellStart"/>
      <w:r w:rsidRPr="0082658D">
        <w:rPr>
          <w:rFonts w:ascii="Arial" w:hAnsi="Arial" w:cs="Arial"/>
          <w:sz w:val="24"/>
          <w:szCs w:val="24"/>
        </w:rPr>
        <w:t>Stop</w:t>
      </w:r>
      <w:r w:rsidRPr="0082658D">
        <w:rPr>
          <w:rFonts w:ascii="Arial" w:hAnsi="Arial" w:cs="Arial"/>
          <w:sz w:val="24"/>
          <w:szCs w:val="24"/>
          <w:vertAlign w:val="superscript"/>
        </w:rPr>
        <w:t>TM</w:t>
      </w:r>
      <w:proofErr w:type="spellEnd"/>
      <w:r w:rsidRPr="0082658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2658D">
        <w:rPr>
          <w:rFonts w:ascii="Arial" w:hAnsi="Arial" w:cs="Arial"/>
          <w:sz w:val="24"/>
          <w:szCs w:val="24"/>
        </w:rPr>
        <w:t>(BD Biosciences, CA). Measurement of IFN</w:t>
      </w:r>
      <w:r w:rsidRPr="0082658D">
        <w:rPr>
          <w:rFonts w:ascii="Arial" w:hAnsi="Arial" w:cs="Arial"/>
          <w:sz w:val="24"/>
          <w:szCs w:val="24"/>
        </w:rPr>
        <w:sym w:font="Symbol" w:char="F067"/>
      </w:r>
      <w:r w:rsidRPr="0082658D">
        <w:rPr>
          <w:rFonts w:ascii="Arial" w:hAnsi="Arial" w:cs="Arial"/>
          <w:sz w:val="24"/>
          <w:szCs w:val="24"/>
        </w:rPr>
        <w:t xml:space="preserve"> was performed using standard intracellular cytokine staining protocols. </w:t>
      </w:r>
    </w:p>
    <w:p w:rsidR="0082658D" w:rsidRPr="0082658D" w:rsidRDefault="0082658D" w:rsidP="0082658D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658D">
        <w:rPr>
          <w:rFonts w:ascii="Arial" w:hAnsi="Arial" w:cs="Arial"/>
          <w:b/>
          <w:i/>
          <w:sz w:val="24"/>
          <w:szCs w:val="24"/>
        </w:rPr>
        <w:t>Measurement of Ly95 T cell IFN</w:t>
      </w:r>
      <w:r w:rsidRPr="0082658D">
        <w:rPr>
          <w:rFonts w:ascii="Arial" w:hAnsi="Arial" w:cs="Arial"/>
          <w:b/>
          <w:i/>
          <w:sz w:val="24"/>
          <w:szCs w:val="24"/>
        </w:rPr>
        <w:sym w:font="Symbol" w:char="F067"/>
      </w:r>
      <w:r w:rsidRPr="0082658D">
        <w:rPr>
          <w:rFonts w:ascii="Arial" w:hAnsi="Arial" w:cs="Arial"/>
          <w:b/>
          <w:i/>
          <w:sz w:val="24"/>
          <w:szCs w:val="24"/>
        </w:rPr>
        <w:t xml:space="preserve"> secretion by ELISA</w:t>
      </w:r>
    </w:p>
    <w:p w:rsidR="0082658D" w:rsidRDefault="0082658D" w:rsidP="0082658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2658D">
        <w:rPr>
          <w:rFonts w:ascii="Arial" w:hAnsi="Arial" w:cs="Arial"/>
          <w:sz w:val="24"/>
          <w:szCs w:val="24"/>
        </w:rPr>
        <w:t>Supernatants from 18hr tumor killing co-culture assays were prepared at different dilutions and measured for levels of IFN</w:t>
      </w:r>
      <w:r w:rsidRPr="0082658D">
        <w:rPr>
          <w:rFonts w:ascii="Arial" w:hAnsi="Arial" w:cs="Arial"/>
          <w:sz w:val="24"/>
          <w:szCs w:val="24"/>
        </w:rPr>
        <w:sym w:font="Symbol" w:char="F067"/>
      </w:r>
      <w:r w:rsidRPr="0082658D">
        <w:rPr>
          <w:rFonts w:ascii="Arial" w:hAnsi="Arial" w:cs="Arial"/>
          <w:sz w:val="24"/>
          <w:szCs w:val="24"/>
        </w:rPr>
        <w:t xml:space="preserve"> by standard ELISA protocol. (</w:t>
      </w:r>
      <w:proofErr w:type="spellStart"/>
      <w:r w:rsidRPr="0082658D">
        <w:rPr>
          <w:rFonts w:ascii="Arial" w:hAnsi="Arial" w:cs="Arial"/>
          <w:sz w:val="24"/>
          <w:szCs w:val="24"/>
        </w:rPr>
        <w:t>Biolegend</w:t>
      </w:r>
      <w:proofErr w:type="spellEnd"/>
      <w:r w:rsidRPr="0082658D">
        <w:rPr>
          <w:rFonts w:ascii="Arial" w:hAnsi="Arial" w:cs="Arial"/>
          <w:sz w:val="24"/>
          <w:szCs w:val="24"/>
        </w:rPr>
        <w:t xml:space="preserve">, CA). </w:t>
      </w:r>
    </w:p>
    <w:p w:rsidR="00B215BE" w:rsidRPr="00B215BE" w:rsidRDefault="00B215BE" w:rsidP="00B215BE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215BE">
        <w:rPr>
          <w:rFonts w:ascii="Arial" w:hAnsi="Arial" w:cs="Arial"/>
          <w:b/>
          <w:i/>
          <w:sz w:val="24"/>
          <w:szCs w:val="24"/>
        </w:rPr>
        <w:t>Statistical Analysis:</w:t>
      </w:r>
    </w:p>
    <w:p w:rsidR="00B215BE" w:rsidRPr="00B215BE" w:rsidRDefault="00B215BE" w:rsidP="00B215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15BE">
        <w:rPr>
          <w:rFonts w:ascii="Arial" w:hAnsi="Arial" w:cs="Arial"/>
          <w:sz w:val="24"/>
          <w:szCs w:val="24"/>
        </w:rPr>
        <w:t xml:space="preserve">All results were expressed as means +/- SEM as indicated.  For studies comparing two groups, the Student’s t test was used.  For comparisons of more than two groups, we used one-way ANOVA with appropriate </w:t>
      </w:r>
      <w:r w:rsidRPr="00B215BE">
        <w:rPr>
          <w:rFonts w:ascii="Arial" w:hAnsi="Arial" w:cs="Arial"/>
          <w:i/>
          <w:sz w:val="24"/>
          <w:szCs w:val="24"/>
        </w:rPr>
        <w:t>post hoc</w:t>
      </w:r>
      <w:r w:rsidRPr="00B215BE">
        <w:rPr>
          <w:rFonts w:ascii="Arial" w:hAnsi="Arial" w:cs="Arial"/>
          <w:sz w:val="24"/>
          <w:szCs w:val="24"/>
        </w:rPr>
        <w:t xml:space="preserve"> testing. Differences were considered significant when </w:t>
      </w:r>
      <w:r w:rsidRPr="00B215BE">
        <w:rPr>
          <w:rFonts w:ascii="Arial" w:hAnsi="Arial" w:cs="Arial"/>
          <w:i/>
          <w:sz w:val="24"/>
          <w:szCs w:val="24"/>
        </w:rPr>
        <w:t>p</w:t>
      </w:r>
      <w:r w:rsidRPr="00B215BE">
        <w:rPr>
          <w:rFonts w:ascii="Arial" w:hAnsi="Arial" w:cs="Arial"/>
          <w:sz w:val="24"/>
          <w:szCs w:val="24"/>
        </w:rPr>
        <w:t xml:space="preserve"> &lt;0.05.  </w:t>
      </w:r>
    </w:p>
    <w:p w:rsidR="00B215BE" w:rsidRPr="00B215BE" w:rsidRDefault="00B215BE" w:rsidP="00B215BE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215BE" w:rsidRPr="00B215BE" w:rsidRDefault="00B215BE" w:rsidP="00B215BE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215BE">
        <w:rPr>
          <w:rFonts w:ascii="Arial" w:hAnsi="Arial" w:cs="Arial"/>
          <w:b/>
          <w:i/>
          <w:sz w:val="24"/>
          <w:szCs w:val="24"/>
        </w:rPr>
        <w:lastRenderedPageBreak/>
        <w:t>Animals</w:t>
      </w:r>
    </w:p>
    <w:p w:rsidR="0082658D" w:rsidRPr="0082658D" w:rsidRDefault="00B215BE" w:rsidP="00FF171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15BE">
        <w:rPr>
          <w:rFonts w:ascii="Arial" w:hAnsi="Arial" w:cs="Arial"/>
          <w:sz w:val="24"/>
          <w:szCs w:val="24"/>
        </w:rPr>
        <w:t>All animal experiment protocols were approved and conducted in accordance with the Institutional Animal Care and Use Committee. NOD/</w:t>
      </w:r>
      <w:proofErr w:type="spellStart"/>
      <w:r w:rsidRPr="00B215BE">
        <w:rPr>
          <w:rFonts w:ascii="Arial" w:hAnsi="Arial" w:cs="Arial"/>
          <w:sz w:val="24"/>
          <w:szCs w:val="24"/>
        </w:rPr>
        <w:t>scid</w:t>
      </w:r>
      <w:proofErr w:type="spellEnd"/>
      <w:r w:rsidRPr="00B215BE">
        <w:rPr>
          <w:rFonts w:ascii="Arial" w:hAnsi="Arial" w:cs="Arial"/>
          <w:sz w:val="24"/>
          <w:szCs w:val="24"/>
        </w:rPr>
        <w:t>/IL2r</w:t>
      </w:r>
      <w:r w:rsidRPr="00B215BE">
        <w:rPr>
          <w:rFonts w:ascii="Arial" w:hAnsi="Arial" w:cs="Arial"/>
          <w:sz w:val="24"/>
          <w:szCs w:val="24"/>
        </w:rPr>
        <w:sym w:font="Symbol" w:char="F067"/>
      </w:r>
      <w:r w:rsidRPr="00B215BE">
        <w:rPr>
          <w:rFonts w:ascii="Arial" w:hAnsi="Arial" w:cs="Arial"/>
          <w:sz w:val="24"/>
          <w:szCs w:val="24"/>
          <w:vertAlign w:val="superscript"/>
        </w:rPr>
        <w:t>-/-</w:t>
      </w:r>
      <w:r w:rsidRPr="00B215BE">
        <w:rPr>
          <w:rFonts w:ascii="Arial" w:hAnsi="Arial" w:cs="Arial"/>
          <w:sz w:val="24"/>
          <w:szCs w:val="24"/>
        </w:rPr>
        <w:t xml:space="preserve"> (NSG) mice were bred in the Animal Services Unit of the </w:t>
      </w:r>
      <w:proofErr w:type="spellStart"/>
      <w:r w:rsidRPr="00B215BE">
        <w:rPr>
          <w:rFonts w:ascii="Arial" w:hAnsi="Arial" w:cs="Arial"/>
          <w:sz w:val="24"/>
          <w:szCs w:val="24"/>
        </w:rPr>
        <w:t>Wistar</w:t>
      </w:r>
      <w:proofErr w:type="spellEnd"/>
      <w:r w:rsidRPr="00B215BE">
        <w:rPr>
          <w:rFonts w:ascii="Arial" w:hAnsi="Arial" w:cs="Arial"/>
          <w:sz w:val="24"/>
          <w:szCs w:val="24"/>
        </w:rPr>
        <w:t xml:space="preserve"> Institute and the Children’s Hospital of Philadelphia. Female mice were used for experiments at 10 to 16 weeks of age.</w:t>
      </w:r>
    </w:p>
    <w:sectPr w:rsidR="0082658D" w:rsidRPr="0082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D"/>
    <w:rsid w:val="006E6273"/>
    <w:rsid w:val="0082658D"/>
    <w:rsid w:val="009E40D3"/>
    <w:rsid w:val="00B215BE"/>
    <w:rsid w:val="00CB5BD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cc.org/Services/Testing_Services/Cell_Authentication_Testing_Servic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</dc:creator>
  <cp:lastModifiedBy>Edmund</cp:lastModifiedBy>
  <cp:revision>4</cp:revision>
  <cp:lastPrinted>2015-05-05T01:01:00Z</cp:lastPrinted>
  <dcterms:created xsi:type="dcterms:W3CDTF">2015-07-09T01:43:00Z</dcterms:created>
  <dcterms:modified xsi:type="dcterms:W3CDTF">2015-07-09T02:19:00Z</dcterms:modified>
</cp:coreProperties>
</file>