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06" w:rsidRDefault="000B6806" w:rsidP="000B6806">
      <w:pPr>
        <w:pStyle w:val="Paragraph"/>
        <w:spacing w:line="480" w:lineRule="auto"/>
        <w:ind w:firstLine="0"/>
        <w:jc w:val="both"/>
        <w:rPr>
          <w:b/>
        </w:rPr>
      </w:pPr>
      <w:r w:rsidRPr="00CD0ED3">
        <w:rPr>
          <w:b/>
        </w:rPr>
        <w:t>Supplementary Materials</w:t>
      </w:r>
      <w:r w:rsidR="0077167B">
        <w:rPr>
          <w:b/>
        </w:rPr>
        <w:t>- figure legends</w:t>
      </w:r>
    </w:p>
    <w:p w:rsidR="000B6806" w:rsidRDefault="000B6806" w:rsidP="000B6806">
      <w:pPr>
        <w:pStyle w:val="Paragraph"/>
        <w:spacing w:line="480" w:lineRule="auto"/>
        <w:ind w:firstLine="0"/>
        <w:jc w:val="both"/>
        <w:rPr>
          <w:b/>
        </w:rPr>
      </w:pPr>
    </w:p>
    <w:p w:rsidR="00112E1E" w:rsidRPr="00112E1E" w:rsidRDefault="00657894" w:rsidP="00EE40EF">
      <w:pPr>
        <w:pStyle w:val="Paragraph"/>
        <w:spacing w:before="0" w:line="480" w:lineRule="auto"/>
        <w:ind w:firstLine="0"/>
        <w:jc w:val="both"/>
        <w:rPr>
          <w:color w:val="000000" w:themeColor="text1"/>
        </w:rPr>
      </w:pPr>
      <w:r w:rsidRPr="00112E1E">
        <w:rPr>
          <w:b/>
          <w:color w:val="000000" w:themeColor="text1"/>
        </w:rPr>
        <w:t xml:space="preserve">Figure S1: </w:t>
      </w:r>
      <w:r w:rsidR="00112E1E" w:rsidRPr="00112E1E">
        <w:rPr>
          <w:color w:val="000000" w:themeColor="text1"/>
        </w:rPr>
        <w:t xml:space="preserve">Schematic overview of the different steps of the perfusion experiment </w:t>
      </w:r>
    </w:p>
    <w:p w:rsidR="00112E1E" w:rsidRPr="00112E1E" w:rsidRDefault="00112E1E" w:rsidP="00112E1E">
      <w:pPr>
        <w:pStyle w:val="Paragraph"/>
        <w:spacing w:before="0" w:line="480" w:lineRule="auto"/>
        <w:ind w:firstLine="0"/>
        <w:jc w:val="both"/>
        <w:rPr>
          <w:lang w:val="en-GB"/>
        </w:rPr>
      </w:pPr>
      <w:r w:rsidRPr="00112E1E">
        <w:rPr>
          <w:b/>
          <w:lang w:val="en-GB"/>
        </w:rPr>
        <w:t>Figure S2:</w:t>
      </w:r>
      <w:r w:rsidRPr="00112E1E">
        <w:rPr>
          <w:lang w:val="en-GB"/>
        </w:rPr>
        <w:t xml:space="preserve"> Example of the connection of the renal artery to the perfusion system.</w:t>
      </w:r>
    </w:p>
    <w:p w:rsidR="00112E1E" w:rsidRPr="00112E1E" w:rsidRDefault="00112E1E" w:rsidP="00EE40EF">
      <w:pPr>
        <w:pStyle w:val="Paragraph"/>
        <w:spacing w:before="0" w:line="480" w:lineRule="auto"/>
        <w:ind w:firstLine="0"/>
        <w:jc w:val="both"/>
      </w:pPr>
      <w:r w:rsidRPr="00112E1E">
        <w:rPr>
          <w:b/>
          <w:color w:val="000000" w:themeColor="text1"/>
        </w:rPr>
        <w:t>Figure S3:</w:t>
      </w:r>
      <w:r w:rsidRPr="00112E1E">
        <w:rPr>
          <w:color w:val="000000" w:themeColor="text1"/>
        </w:rPr>
        <w:t xml:space="preserve"> </w:t>
      </w:r>
      <w:r w:rsidRPr="00112E1E">
        <w:t xml:space="preserve">Images from a kidney lamella after perfusion made with the clinical laparoscopic fluorescence camera showing normal kidney parenchyma. </w:t>
      </w:r>
    </w:p>
    <w:p w:rsidR="00112E1E" w:rsidRPr="00112E1E" w:rsidRDefault="00112E1E" w:rsidP="00112E1E">
      <w:pPr>
        <w:pStyle w:val="Paragraph"/>
        <w:tabs>
          <w:tab w:val="left" w:pos="5780"/>
        </w:tabs>
        <w:spacing w:before="0" w:line="480" w:lineRule="auto"/>
        <w:ind w:firstLine="0"/>
        <w:jc w:val="both"/>
        <w:rPr>
          <w:color w:val="000000" w:themeColor="text1"/>
        </w:rPr>
      </w:pPr>
      <w:r w:rsidRPr="00112E1E">
        <w:rPr>
          <w:b/>
        </w:rPr>
        <w:t>Figure S4:</w:t>
      </w:r>
      <w:r w:rsidRPr="00112E1E">
        <w:t xml:space="preserve"> </w:t>
      </w:r>
      <w:r w:rsidRPr="00112E1E">
        <w:rPr>
          <w:color w:val="000000" w:themeColor="text1"/>
        </w:rPr>
        <w:t xml:space="preserve">Tissue section of normal kidney parenchyma </w:t>
      </w:r>
      <w:r w:rsidRPr="00112E1E">
        <w:rPr>
          <w:color w:val="000000" w:themeColor="text1"/>
        </w:rPr>
        <w:tab/>
      </w:r>
    </w:p>
    <w:p w:rsidR="002F34EA" w:rsidRPr="00EC2FF8" w:rsidRDefault="002F34EA" w:rsidP="002F34EA">
      <w:pPr>
        <w:pStyle w:val="Paragraph"/>
        <w:spacing w:before="0" w:line="480" w:lineRule="auto"/>
        <w:ind w:firstLine="0"/>
        <w:jc w:val="both"/>
        <w:rPr>
          <w:color w:val="000000" w:themeColor="text1"/>
        </w:rPr>
      </w:pPr>
      <w:r>
        <w:rPr>
          <w:b/>
          <w:color w:val="000000" w:themeColor="text1"/>
        </w:rPr>
        <w:t>Figure S5:</w:t>
      </w:r>
      <w:r>
        <w:rPr>
          <w:color w:val="000000" w:themeColor="text1"/>
        </w:rPr>
        <w:t xml:space="preserve"> Overview of the second perfusion experiment. </w:t>
      </w:r>
    </w:p>
    <w:p w:rsidR="00657894" w:rsidRDefault="00112E1E" w:rsidP="00EE40EF">
      <w:pPr>
        <w:pStyle w:val="Paragraph"/>
        <w:spacing w:before="0" w:line="480" w:lineRule="auto"/>
        <w:ind w:firstLine="0"/>
        <w:jc w:val="both"/>
        <w:rPr>
          <w:color w:val="000000" w:themeColor="text1"/>
        </w:rPr>
      </w:pPr>
      <w:r w:rsidRPr="00112E1E">
        <w:rPr>
          <w:b/>
          <w:color w:val="000000" w:themeColor="text1"/>
        </w:rPr>
        <w:t>Figure S</w:t>
      </w:r>
      <w:r w:rsidR="002F34EA">
        <w:rPr>
          <w:b/>
          <w:color w:val="000000" w:themeColor="text1"/>
        </w:rPr>
        <w:t>6</w:t>
      </w:r>
      <w:r w:rsidRPr="00112E1E">
        <w:rPr>
          <w:b/>
          <w:color w:val="000000" w:themeColor="text1"/>
        </w:rPr>
        <w:t xml:space="preserve">: </w:t>
      </w:r>
      <w:r w:rsidR="00657894" w:rsidRPr="00112E1E">
        <w:rPr>
          <w:color w:val="000000" w:themeColor="text1"/>
        </w:rPr>
        <w:t xml:space="preserve">Photograph and </w:t>
      </w:r>
      <w:proofErr w:type="spellStart"/>
      <w:r w:rsidR="00657894" w:rsidRPr="00112E1E">
        <w:rPr>
          <w:color w:val="000000" w:themeColor="text1"/>
        </w:rPr>
        <w:t>autoradiographic</w:t>
      </w:r>
      <w:proofErr w:type="spellEnd"/>
      <w:r w:rsidR="00657894" w:rsidRPr="00112E1E">
        <w:rPr>
          <w:color w:val="000000" w:themeColor="text1"/>
        </w:rPr>
        <w:t xml:space="preserve"> image of the second control experiment</w:t>
      </w:r>
      <w:r w:rsidR="001A40B5" w:rsidRPr="00112E1E">
        <w:rPr>
          <w:color w:val="000000" w:themeColor="text1"/>
        </w:rPr>
        <w:t>.</w:t>
      </w:r>
    </w:p>
    <w:p w:rsidR="00657894" w:rsidRPr="00112E1E" w:rsidRDefault="0093457E" w:rsidP="00EE40EF">
      <w:pPr>
        <w:pStyle w:val="Paragraph"/>
        <w:spacing w:before="0" w:line="480" w:lineRule="auto"/>
        <w:ind w:firstLine="0"/>
        <w:jc w:val="both"/>
        <w:rPr>
          <w:lang w:val="en-GB"/>
        </w:rPr>
      </w:pPr>
      <w:r>
        <w:rPr>
          <w:b/>
        </w:rPr>
        <w:t>Figure</w:t>
      </w:r>
      <w:r w:rsidR="00657894" w:rsidRPr="00112E1E">
        <w:rPr>
          <w:b/>
        </w:rPr>
        <w:t xml:space="preserve"> S</w:t>
      </w:r>
      <w:r>
        <w:rPr>
          <w:b/>
        </w:rPr>
        <w:t>7</w:t>
      </w:r>
      <w:r w:rsidR="00657894" w:rsidRPr="00112E1E">
        <w:rPr>
          <w:b/>
        </w:rPr>
        <w:t xml:space="preserve">: </w:t>
      </w:r>
      <w:r w:rsidR="00657894" w:rsidRPr="00112E1E">
        <w:t>Antibody distribution in the control experiment</w:t>
      </w:r>
      <w:r w:rsidR="00EC2FF8">
        <w:t>s</w:t>
      </w:r>
      <w:r w:rsidR="00657894" w:rsidRPr="00112E1E">
        <w:t xml:space="preserve">. </w:t>
      </w:r>
    </w:p>
    <w:p w:rsidR="008F06A5" w:rsidRPr="00112E1E" w:rsidRDefault="00A82A5A" w:rsidP="00EE40EF">
      <w:pPr>
        <w:spacing w:line="480" w:lineRule="auto"/>
        <w:rPr>
          <w:sz w:val="24"/>
          <w:szCs w:val="24"/>
          <w:lang w:val="en-US"/>
        </w:rPr>
      </w:pPr>
      <w:r w:rsidRPr="00112E1E">
        <w:rPr>
          <w:b/>
          <w:sz w:val="24"/>
          <w:szCs w:val="24"/>
          <w:lang w:val="en-US"/>
        </w:rPr>
        <w:t>Movie</w:t>
      </w:r>
      <w:r w:rsidR="00657894" w:rsidRPr="00112E1E">
        <w:rPr>
          <w:b/>
          <w:sz w:val="24"/>
          <w:szCs w:val="24"/>
          <w:lang w:val="en-US"/>
        </w:rPr>
        <w:t xml:space="preserve"> S1:</w:t>
      </w:r>
      <w:r w:rsidR="00657894" w:rsidRPr="00112E1E">
        <w:rPr>
          <w:sz w:val="24"/>
          <w:szCs w:val="24"/>
          <w:lang w:val="en-US"/>
        </w:rPr>
        <w:t xml:space="preserve"> Video made with the laparoscopic fluorescence camera during experiment #1</w:t>
      </w:r>
      <w:r w:rsidR="001A40B5" w:rsidRPr="00112E1E">
        <w:rPr>
          <w:sz w:val="24"/>
          <w:szCs w:val="24"/>
          <w:lang w:val="en-US"/>
        </w:rPr>
        <w:t>.</w:t>
      </w:r>
    </w:p>
    <w:p w:rsidR="008F06A5" w:rsidRDefault="008F06A5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8F06A5" w:rsidRPr="0077167B" w:rsidRDefault="00112E1E" w:rsidP="0077167B">
      <w:pPr>
        <w:pStyle w:val="Bijschrift"/>
        <w:spacing w:line="480" w:lineRule="auto"/>
        <w:jc w:val="both"/>
        <w:rPr>
          <w:b w:val="0"/>
          <w:color w:val="000000" w:themeColor="text1"/>
          <w:sz w:val="24"/>
          <w:szCs w:val="24"/>
          <w:lang w:val="en-GB"/>
        </w:rPr>
      </w:pPr>
      <w:r w:rsidRPr="0077167B">
        <w:rPr>
          <w:color w:val="000000" w:themeColor="text1"/>
          <w:sz w:val="24"/>
          <w:szCs w:val="24"/>
        </w:rPr>
        <w:lastRenderedPageBreak/>
        <w:t>Figure S1:</w:t>
      </w:r>
      <w:r w:rsidRPr="0077167B">
        <w:rPr>
          <w:b w:val="0"/>
          <w:color w:val="000000" w:themeColor="text1"/>
          <w:sz w:val="24"/>
          <w:szCs w:val="24"/>
        </w:rPr>
        <w:t xml:space="preserve">  Schematic overview of the different steps of the perfusion experiment</w:t>
      </w:r>
    </w:p>
    <w:p w:rsidR="008F06A5" w:rsidRPr="0077167B" w:rsidRDefault="00112E1E" w:rsidP="0077167B">
      <w:pPr>
        <w:pStyle w:val="Bijschrift"/>
        <w:spacing w:line="480" w:lineRule="auto"/>
        <w:jc w:val="both"/>
        <w:rPr>
          <w:b w:val="0"/>
          <w:color w:val="000000" w:themeColor="text1"/>
          <w:sz w:val="24"/>
          <w:szCs w:val="24"/>
        </w:rPr>
      </w:pPr>
      <w:r w:rsidRPr="0077167B">
        <w:rPr>
          <w:color w:val="000000" w:themeColor="text1"/>
          <w:sz w:val="24"/>
          <w:szCs w:val="24"/>
        </w:rPr>
        <w:t>Figure S2:</w:t>
      </w:r>
      <w:r w:rsidRPr="0077167B">
        <w:rPr>
          <w:b w:val="0"/>
          <w:color w:val="000000" w:themeColor="text1"/>
          <w:sz w:val="24"/>
          <w:szCs w:val="24"/>
        </w:rPr>
        <w:t xml:space="preserve"> Photograph of an ex vivo tumorous kidney during a perfusion experiment. In this kidney, two renal arteries were connected to the perfusion system. During perfusion, the kidney was kept at 0-4 </w:t>
      </w:r>
      <w:r w:rsidRPr="0077167B">
        <w:rPr>
          <w:b w:val="0"/>
          <w:color w:val="000000" w:themeColor="text1"/>
          <w:sz w:val="24"/>
          <w:szCs w:val="24"/>
          <w:lang w:val="en-GB"/>
        </w:rPr>
        <w:t>°C</w:t>
      </w:r>
      <w:r w:rsidRPr="0077167B">
        <w:rPr>
          <w:b w:val="0"/>
          <w:color w:val="000000" w:themeColor="text1"/>
          <w:sz w:val="24"/>
          <w:szCs w:val="24"/>
        </w:rPr>
        <w:t xml:space="preserve"> and protected from light.</w:t>
      </w:r>
    </w:p>
    <w:p w:rsidR="00112E1E" w:rsidRPr="0077167B" w:rsidRDefault="008F06A5" w:rsidP="0077167B">
      <w:pPr>
        <w:spacing w:after="200" w:line="480" w:lineRule="auto"/>
        <w:rPr>
          <w:sz w:val="24"/>
          <w:szCs w:val="24"/>
          <w:lang w:val="en-US"/>
        </w:rPr>
      </w:pPr>
      <w:r w:rsidRPr="0077167B">
        <w:rPr>
          <w:b/>
          <w:sz w:val="24"/>
          <w:szCs w:val="24"/>
          <w:lang w:val="en-US"/>
        </w:rPr>
        <w:t xml:space="preserve">Figure </w:t>
      </w:r>
      <w:r w:rsidR="00112E1E" w:rsidRPr="0077167B">
        <w:rPr>
          <w:b/>
          <w:sz w:val="24"/>
          <w:szCs w:val="24"/>
          <w:lang w:val="en-US"/>
        </w:rPr>
        <w:t>S3</w:t>
      </w:r>
      <w:r w:rsidRPr="0077167B">
        <w:rPr>
          <w:b/>
          <w:sz w:val="24"/>
          <w:szCs w:val="24"/>
          <w:lang w:val="en-US"/>
        </w:rPr>
        <w:t>:</w:t>
      </w:r>
      <w:r w:rsidRPr="0077167B">
        <w:rPr>
          <w:sz w:val="24"/>
          <w:szCs w:val="24"/>
          <w:lang w:val="en-US"/>
        </w:rPr>
        <w:t xml:space="preserve"> Images from a kidney lamella after perfusion made with the clinical laparoscopic fluorescence camera showing normal kidney parenchyma (A): visible light image (B): corresponding fluorescence image. </w:t>
      </w:r>
    </w:p>
    <w:p w:rsidR="00106A1A" w:rsidRPr="0077167B" w:rsidRDefault="00112E1E" w:rsidP="0077167B">
      <w:pPr>
        <w:pStyle w:val="Bijschrift"/>
        <w:spacing w:line="480" w:lineRule="auto"/>
        <w:jc w:val="both"/>
        <w:rPr>
          <w:sz w:val="24"/>
          <w:szCs w:val="24"/>
        </w:rPr>
      </w:pPr>
      <w:r w:rsidRPr="0077167B">
        <w:rPr>
          <w:color w:val="000000" w:themeColor="text1"/>
          <w:sz w:val="24"/>
          <w:szCs w:val="24"/>
        </w:rPr>
        <w:t>Figure S4:</w:t>
      </w:r>
      <w:r w:rsidRPr="0077167B">
        <w:rPr>
          <w:b w:val="0"/>
          <w:color w:val="000000" w:themeColor="text1"/>
          <w:sz w:val="24"/>
          <w:szCs w:val="24"/>
        </w:rPr>
        <w:t xml:space="preserve"> Tissue section of normal kidney parenchyma showing the absence of CAIX-expression (A) and corresponding absence of a radioactive (B) and fluorescent (C) signal in normal tissue. In the H&amp;E staining detail (D) normal </w:t>
      </w:r>
      <w:proofErr w:type="spellStart"/>
      <w:r w:rsidRPr="0077167B">
        <w:rPr>
          <w:b w:val="0"/>
          <w:color w:val="000000" w:themeColor="text1"/>
          <w:sz w:val="24"/>
          <w:szCs w:val="24"/>
        </w:rPr>
        <w:t>glomeruli</w:t>
      </w:r>
      <w:proofErr w:type="spellEnd"/>
      <w:r w:rsidRPr="0077167B">
        <w:rPr>
          <w:b w:val="0"/>
          <w:color w:val="000000" w:themeColor="text1"/>
          <w:sz w:val="24"/>
          <w:szCs w:val="24"/>
        </w:rPr>
        <w:t xml:space="preserve"> are present lacking CAIX-expression (E) as seen in tumor tissue.  </w:t>
      </w:r>
    </w:p>
    <w:p w:rsidR="00810B17" w:rsidRDefault="00810B17" w:rsidP="00810B17">
      <w:pPr>
        <w:pStyle w:val="Bijschrift"/>
        <w:spacing w:line="48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Figure S5: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77167B">
        <w:rPr>
          <w:b w:val="0"/>
          <w:color w:val="000000" w:themeColor="text1"/>
          <w:sz w:val="24"/>
          <w:szCs w:val="24"/>
        </w:rPr>
        <w:t xml:space="preserve"> </w:t>
      </w:r>
      <w:r w:rsidRPr="00D53D16">
        <w:rPr>
          <w:b w:val="0"/>
          <w:color w:val="000000" w:themeColor="text1"/>
          <w:sz w:val="24"/>
          <w:szCs w:val="24"/>
        </w:rPr>
        <w:t>Overview of the results of perfusion experiment #2. High uptake of dual-labeled girentuximab was observed in two foci (*) of tumor thrombus in the renal vein (A, B). The central region of the tumor largely consists of necrosis, with little and inhomogeneous uptake of dual-labeled girentuximab. Histology confirms that the tumor center consists of fibrosis and necrosis (H&amp;E staining detail, C), without CAIX expression (D).</w:t>
      </w:r>
    </w:p>
    <w:p w:rsidR="002F34EA" w:rsidRDefault="00106A1A" w:rsidP="0077167B">
      <w:pPr>
        <w:pStyle w:val="Bijschrift"/>
        <w:spacing w:line="480" w:lineRule="auto"/>
        <w:jc w:val="both"/>
        <w:rPr>
          <w:b w:val="0"/>
          <w:color w:val="000000" w:themeColor="text1"/>
          <w:sz w:val="24"/>
          <w:szCs w:val="24"/>
        </w:rPr>
      </w:pPr>
      <w:r w:rsidRPr="0077167B">
        <w:rPr>
          <w:color w:val="000000" w:themeColor="text1"/>
          <w:sz w:val="24"/>
          <w:szCs w:val="24"/>
        </w:rPr>
        <w:t>Figure S</w:t>
      </w:r>
      <w:r w:rsidR="002F34EA">
        <w:rPr>
          <w:color w:val="000000" w:themeColor="text1"/>
          <w:sz w:val="24"/>
          <w:szCs w:val="24"/>
        </w:rPr>
        <w:t>6</w:t>
      </w:r>
      <w:r w:rsidRPr="0077167B">
        <w:rPr>
          <w:color w:val="000000" w:themeColor="text1"/>
          <w:sz w:val="24"/>
          <w:szCs w:val="24"/>
        </w:rPr>
        <w:t>:</w:t>
      </w:r>
      <w:r w:rsidRPr="0077167B">
        <w:rPr>
          <w:b w:val="0"/>
          <w:color w:val="000000" w:themeColor="text1"/>
          <w:sz w:val="24"/>
          <w:szCs w:val="24"/>
        </w:rPr>
        <w:t xml:space="preserve"> Photograph (A) and </w:t>
      </w:r>
      <w:proofErr w:type="spellStart"/>
      <w:r w:rsidRPr="0077167B">
        <w:rPr>
          <w:b w:val="0"/>
          <w:color w:val="000000" w:themeColor="text1"/>
          <w:sz w:val="24"/>
          <w:szCs w:val="24"/>
        </w:rPr>
        <w:t>autoradiographic</w:t>
      </w:r>
      <w:proofErr w:type="spellEnd"/>
      <w:r w:rsidRPr="0077167B">
        <w:rPr>
          <w:b w:val="0"/>
          <w:color w:val="000000" w:themeColor="text1"/>
          <w:sz w:val="24"/>
          <w:szCs w:val="24"/>
        </w:rPr>
        <w:t xml:space="preserve"> image (B) of the second control experiment showing high uptake of Iodine-131-girentuximab-IRDye800CW in tumor tissue. The low energy gamma radiation of Iodine-125 is not visible in this autoradiography.</w:t>
      </w:r>
    </w:p>
    <w:p w:rsidR="002F34EA" w:rsidRPr="002F34EA" w:rsidRDefault="002F34EA" w:rsidP="002F34EA">
      <w:pPr>
        <w:rPr>
          <w:b/>
          <w:sz w:val="24"/>
          <w:szCs w:val="24"/>
          <w:lang w:val="en-US" w:eastAsia="en-US"/>
        </w:rPr>
      </w:pPr>
    </w:p>
    <w:p w:rsidR="00106A1A" w:rsidRPr="00EC2FF8" w:rsidRDefault="0093457E" w:rsidP="00EC2FF8">
      <w:pPr>
        <w:spacing w:after="200" w:line="480" w:lineRule="auto"/>
        <w:rPr>
          <w:sz w:val="24"/>
          <w:szCs w:val="24"/>
          <w:lang w:val="en-US"/>
        </w:rPr>
      </w:pPr>
      <w:r>
        <w:rPr>
          <w:b/>
          <w:color w:val="000000" w:themeColor="text1"/>
          <w:sz w:val="24"/>
          <w:szCs w:val="24"/>
          <w:lang w:val="en-US"/>
        </w:rPr>
        <w:t>Figure</w:t>
      </w:r>
      <w:r w:rsidR="00EE40EF" w:rsidRPr="0077167B">
        <w:rPr>
          <w:b/>
          <w:color w:val="000000" w:themeColor="text1"/>
          <w:sz w:val="24"/>
          <w:szCs w:val="24"/>
          <w:lang w:val="en-US"/>
        </w:rPr>
        <w:t xml:space="preserve"> S</w:t>
      </w:r>
      <w:r>
        <w:rPr>
          <w:b/>
          <w:color w:val="000000" w:themeColor="text1"/>
          <w:sz w:val="24"/>
          <w:szCs w:val="24"/>
          <w:lang w:val="en-US"/>
        </w:rPr>
        <w:t>7</w:t>
      </w:r>
      <w:r w:rsidR="00EE40EF" w:rsidRPr="0077167B">
        <w:rPr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EE40EF" w:rsidRPr="0077167B">
        <w:rPr>
          <w:color w:val="000000" w:themeColor="text1"/>
          <w:sz w:val="24"/>
          <w:szCs w:val="24"/>
          <w:lang w:val="en-US"/>
        </w:rPr>
        <w:t>Biodistribution</w:t>
      </w:r>
      <w:proofErr w:type="spellEnd"/>
      <w:r w:rsidR="00EE40EF" w:rsidRPr="0077167B">
        <w:rPr>
          <w:color w:val="000000" w:themeColor="text1"/>
          <w:sz w:val="24"/>
          <w:szCs w:val="24"/>
          <w:lang w:val="en-US"/>
        </w:rPr>
        <w:t xml:space="preserve"> of </w:t>
      </w:r>
      <w:r w:rsidR="00EE40EF" w:rsidRPr="0077167B">
        <w:rPr>
          <w:color w:val="000000" w:themeColor="text1"/>
          <w:sz w:val="24"/>
          <w:szCs w:val="24"/>
          <w:lang w:val="en-GB"/>
        </w:rPr>
        <w:t>Iodine-131-girentuximab-IRDye800CW and  the irrelevant control Iodine-125-IgG-IRDye800CW in tumor and normal tissue samples</w:t>
      </w:r>
      <w:r w:rsidR="00EC2FF8">
        <w:rPr>
          <w:b/>
          <w:color w:val="000000" w:themeColor="text1"/>
          <w:sz w:val="24"/>
          <w:szCs w:val="24"/>
          <w:lang w:val="en-GB"/>
        </w:rPr>
        <w:t xml:space="preserve">. </w:t>
      </w:r>
      <w:r w:rsidR="00EC2FF8" w:rsidRPr="00EC2FF8">
        <w:rPr>
          <w:i/>
          <w:color w:val="000000" w:themeColor="text1"/>
          <w:sz w:val="24"/>
          <w:szCs w:val="24"/>
          <w:lang w:val="en-GB"/>
        </w:rPr>
        <w:t>Left:</w:t>
      </w:r>
      <w:r w:rsidR="00EC2FF8">
        <w:rPr>
          <w:b/>
          <w:color w:val="000000" w:themeColor="text1"/>
          <w:sz w:val="24"/>
          <w:szCs w:val="24"/>
          <w:lang w:val="en-GB"/>
        </w:rPr>
        <w:t xml:space="preserve"> </w:t>
      </w:r>
      <w:r w:rsidR="00EE40EF" w:rsidRPr="0077167B">
        <w:rPr>
          <w:color w:val="000000" w:themeColor="text1"/>
          <w:sz w:val="24"/>
          <w:szCs w:val="24"/>
          <w:lang w:val="en-GB"/>
        </w:rPr>
        <w:t xml:space="preserve">first control experiment </w:t>
      </w:r>
      <w:r w:rsidR="001A40B5" w:rsidRPr="0077167B">
        <w:rPr>
          <w:color w:val="000000" w:themeColor="text1"/>
          <w:sz w:val="24"/>
          <w:szCs w:val="24"/>
          <w:lang w:val="en-GB"/>
        </w:rPr>
        <w:t>(</w:t>
      </w:r>
      <w:r w:rsidR="00EE40EF" w:rsidRPr="0077167B">
        <w:rPr>
          <w:color w:val="000000" w:themeColor="text1"/>
          <w:sz w:val="24"/>
          <w:szCs w:val="24"/>
          <w:lang w:val="en-GB"/>
        </w:rPr>
        <w:t>#6</w:t>
      </w:r>
      <w:r w:rsidR="001A40B5" w:rsidRPr="0077167B">
        <w:rPr>
          <w:color w:val="000000" w:themeColor="text1"/>
          <w:sz w:val="24"/>
          <w:szCs w:val="24"/>
          <w:lang w:val="en-GB"/>
        </w:rPr>
        <w:t>)</w:t>
      </w:r>
      <w:r w:rsidR="00EE40EF" w:rsidRPr="0077167B">
        <w:rPr>
          <w:color w:val="000000" w:themeColor="text1"/>
          <w:sz w:val="24"/>
          <w:szCs w:val="24"/>
          <w:lang w:val="en-US"/>
        </w:rPr>
        <w:t xml:space="preserve">. The mean tumor-to-normal-ratio for girentuximab and the irrelevant control antibody were 6 and 1, respectively. </w:t>
      </w:r>
      <w:r w:rsidR="00EC2FF8">
        <w:rPr>
          <w:i/>
          <w:color w:val="000000" w:themeColor="text1"/>
          <w:sz w:val="24"/>
          <w:szCs w:val="24"/>
          <w:lang w:val="en-US"/>
        </w:rPr>
        <w:t>Right:</w:t>
      </w:r>
      <w:r w:rsidR="00EC2FF8">
        <w:rPr>
          <w:color w:val="000000" w:themeColor="text1"/>
          <w:sz w:val="24"/>
          <w:szCs w:val="24"/>
          <w:lang w:val="en-US"/>
        </w:rPr>
        <w:t xml:space="preserve"> </w:t>
      </w:r>
      <w:r w:rsidR="00EE40EF" w:rsidRPr="0077167B">
        <w:rPr>
          <w:color w:val="000000" w:themeColor="text1"/>
          <w:sz w:val="24"/>
          <w:szCs w:val="24"/>
          <w:lang w:val="en-GB"/>
        </w:rPr>
        <w:t xml:space="preserve">second control experiment </w:t>
      </w:r>
      <w:r w:rsidR="001A40B5" w:rsidRPr="0077167B">
        <w:rPr>
          <w:color w:val="000000" w:themeColor="text1"/>
          <w:sz w:val="24"/>
          <w:szCs w:val="24"/>
          <w:lang w:val="en-GB"/>
        </w:rPr>
        <w:t>(</w:t>
      </w:r>
      <w:r w:rsidR="00EE40EF" w:rsidRPr="0077167B">
        <w:rPr>
          <w:color w:val="000000" w:themeColor="text1"/>
          <w:sz w:val="24"/>
          <w:szCs w:val="24"/>
          <w:lang w:val="en-GB"/>
        </w:rPr>
        <w:t>#7</w:t>
      </w:r>
      <w:r w:rsidR="001A40B5" w:rsidRPr="0077167B">
        <w:rPr>
          <w:color w:val="000000" w:themeColor="text1"/>
          <w:sz w:val="24"/>
          <w:szCs w:val="24"/>
          <w:lang w:val="en-GB"/>
        </w:rPr>
        <w:t>)</w:t>
      </w:r>
      <w:r w:rsidR="00106A1A" w:rsidRPr="001B5746">
        <w:rPr>
          <w:color w:val="000000" w:themeColor="text1"/>
          <w:sz w:val="24"/>
          <w:szCs w:val="24"/>
          <w:lang w:val="en-US"/>
        </w:rPr>
        <w:t>. The mean tumor-</w:t>
      </w:r>
      <w:r w:rsidR="00106A1A" w:rsidRPr="001B5746">
        <w:rPr>
          <w:color w:val="000000" w:themeColor="text1"/>
          <w:sz w:val="24"/>
          <w:szCs w:val="24"/>
          <w:lang w:val="en-US"/>
        </w:rPr>
        <w:lastRenderedPageBreak/>
        <w:t xml:space="preserve">to-normal-ratio for girentuximab and the irrelevant control antibody were 10 and 1, respectively. </w:t>
      </w:r>
    </w:p>
    <w:p w:rsidR="00106A1A" w:rsidRPr="0077167B" w:rsidRDefault="0077167B" w:rsidP="0077167B">
      <w:pPr>
        <w:spacing w:line="480" w:lineRule="auto"/>
        <w:rPr>
          <w:sz w:val="24"/>
          <w:szCs w:val="24"/>
          <w:lang w:val="en-US" w:eastAsia="en-US"/>
        </w:rPr>
      </w:pPr>
      <w:r w:rsidRPr="00112E1E">
        <w:rPr>
          <w:b/>
          <w:sz w:val="24"/>
          <w:szCs w:val="24"/>
          <w:lang w:val="en-US"/>
        </w:rPr>
        <w:t>Movie S1:</w:t>
      </w:r>
      <w:r w:rsidRPr="00112E1E">
        <w:rPr>
          <w:sz w:val="24"/>
          <w:szCs w:val="24"/>
          <w:lang w:val="en-US"/>
        </w:rPr>
        <w:t xml:space="preserve"> Video made with the laparoscopic fluorescence camera during experiment #1.</w:t>
      </w:r>
    </w:p>
    <w:sectPr w:rsidR="00106A1A" w:rsidRPr="0077167B" w:rsidSect="00367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B6806"/>
    <w:rsid w:val="00084FC7"/>
    <w:rsid w:val="000B6806"/>
    <w:rsid w:val="00106A1A"/>
    <w:rsid w:val="00112E1E"/>
    <w:rsid w:val="001A40B5"/>
    <w:rsid w:val="001B5746"/>
    <w:rsid w:val="00225A85"/>
    <w:rsid w:val="00260E06"/>
    <w:rsid w:val="00294C4A"/>
    <w:rsid w:val="002E6AF7"/>
    <w:rsid w:val="002F34EA"/>
    <w:rsid w:val="003241A5"/>
    <w:rsid w:val="00353F55"/>
    <w:rsid w:val="003570E9"/>
    <w:rsid w:val="00367154"/>
    <w:rsid w:val="003817E7"/>
    <w:rsid w:val="003C73C7"/>
    <w:rsid w:val="003D0FBF"/>
    <w:rsid w:val="005020F7"/>
    <w:rsid w:val="00503338"/>
    <w:rsid w:val="005110C5"/>
    <w:rsid w:val="0052504B"/>
    <w:rsid w:val="00573E9B"/>
    <w:rsid w:val="006144E5"/>
    <w:rsid w:val="00657894"/>
    <w:rsid w:val="00693C39"/>
    <w:rsid w:val="006A3C98"/>
    <w:rsid w:val="006E49D6"/>
    <w:rsid w:val="00757D4A"/>
    <w:rsid w:val="0077167B"/>
    <w:rsid w:val="0079570D"/>
    <w:rsid w:val="007A7DDB"/>
    <w:rsid w:val="00803D20"/>
    <w:rsid w:val="00810B17"/>
    <w:rsid w:val="00854012"/>
    <w:rsid w:val="008D46A7"/>
    <w:rsid w:val="008F06A5"/>
    <w:rsid w:val="00924C40"/>
    <w:rsid w:val="00925F73"/>
    <w:rsid w:val="0093457E"/>
    <w:rsid w:val="00941B9E"/>
    <w:rsid w:val="009D114F"/>
    <w:rsid w:val="009F7E33"/>
    <w:rsid w:val="00A65E41"/>
    <w:rsid w:val="00A81A57"/>
    <w:rsid w:val="00A82A5A"/>
    <w:rsid w:val="00B63B46"/>
    <w:rsid w:val="00B90CDE"/>
    <w:rsid w:val="00BE5E4F"/>
    <w:rsid w:val="00C32BA5"/>
    <w:rsid w:val="00C4664D"/>
    <w:rsid w:val="00C64EAE"/>
    <w:rsid w:val="00C735EE"/>
    <w:rsid w:val="00C7415F"/>
    <w:rsid w:val="00C97842"/>
    <w:rsid w:val="00D537E3"/>
    <w:rsid w:val="00D53D16"/>
    <w:rsid w:val="00E434D7"/>
    <w:rsid w:val="00E71481"/>
    <w:rsid w:val="00E726D1"/>
    <w:rsid w:val="00EC2FF8"/>
    <w:rsid w:val="00EE40EF"/>
    <w:rsid w:val="00FA4C8A"/>
    <w:rsid w:val="00FA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114F"/>
    <w:rPr>
      <w:sz w:val="22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sz w:val="24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kern w:val="28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kern w:val="28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hAnsi="Arial"/>
      <w:kern w:val="28"/>
      <w:sz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kern w:val="28"/>
      <w:sz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customStyle="1" w:styleId="Paragraph">
    <w:name w:val="Paragraph"/>
    <w:basedOn w:val="Standaard"/>
    <w:link w:val="ParagraphChar"/>
    <w:rsid w:val="000B6806"/>
    <w:pPr>
      <w:spacing w:before="120"/>
      <w:ind w:firstLine="720"/>
    </w:pPr>
    <w:rPr>
      <w:sz w:val="24"/>
      <w:szCs w:val="24"/>
      <w:lang w:val="en-US" w:eastAsia="en-US"/>
    </w:rPr>
  </w:style>
  <w:style w:type="character" w:customStyle="1" w:styleId="ParagraphChar">
    <w:name w:val="Paragraph Char"/>
    <w:basedOn w:val="Standaardalinea-lettertype"/>
    <w:link w:val="Paragraph"/>
    <w:rsid w:val="000B6806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A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A1A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35"/>
    <w:unhideWhenUsed/>
    <w:qFormat/>
    <w:rsid w:val="00106A1A"/>
    <w:pPr>
      <w:spacing w:after="200"/>
    </w:pPr>
    <w:rPr>
      <w:rFonts w:eastAsia="Calibri"/>
      <w:b/>
      <w:bCs/>
      <w:color w:val="0E4286" w:themeColor="accent1"/>
      <w:sz w:val="18"/>
      <w:szCs w:val="18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40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40B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40B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40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40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423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Hekman</dc:creator>
  <cp:lastModifiedBy>Hekman</cp:lastModifiedBy>
  <cp:revision>4</cp:revision>
  <dcterms:created xsi:type="dcterms:W3CDTF">2016-03-09T13:29:00Z</dcterms:created>
  <dcterms:modified xsi:type="dcterms:W3CDTF">2016-03-16T07:11:00Z</dcterms:modified>
</cp:coreProperties>
</file>