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F" w:rsidRDefault="00405BEF" w:rsidP="00405BEF">
      <w:pPr>
        <w:spacing w:line="240" w:lineRule="auto"/>
        <w:ind w:left="626" w:hangingChars="260" w:hanging="626"/>
        <w:rPr>
          <w:b/>
          <w:bCs/>
          <w:lang w:eastAsia="zh-CN"/>
        </w:rPr>
      </w:pPr>
      <w:r>
        <w:rPr>
          <w:b/>
        </w:rPr>
        <w:t>Ta</w:t>
      </w:r>
      <w:r w:rsidRPr="00D10AF5">
        <w:rPr>
          <w:b/>
          <w:bCs/>
        </w:rPr>
        <w:t xml:space="preserve">ble </w:t>
      </w:r>
      <w:r>
        <w:rPr>
          <w:b/>
          <w:bCs/>
        </w:rPr>
        <w:t>S</w:t>
      </w:r>
      <w:bookmarkStart w:id="0" w:name="_GoBack"/>
      <w:bookmarkEnd w:id="0"/>
      <w:r w:rsidRPr="00D10AF5">
        <w:rPr>
          <w:b/>
          <w:bCs/>
        </w:rPr>
        <w:t>1.</w:t>
      </w:r>
      <w:r w:rsidRPr="004948EC">
        <w:rPr>
          <w:bCs/>
        </w:rPr>
        <w:t xml:space="preserve"> Patient characteristics and ABT-199 sensitivity for the diagnostic primary acute myeloid leukemia patient samples</w:t>
      </w:r>
      <w:r w:rsidRPr="004948EC">
        <w:rPr>
          <w:rFonts w:hint="eastAsia"/>
          <w:bCs/>
          <w:lang w:eastAsia="zh-CN"/>
        </w:rPr>
        <w:t xml:space="preserve"> and non-malignant samples</w:t>
      </w:r>
    </w:p>
    <w:tbl>
      <w:tblPr>
        <w:tblStyle w:val="LightGrid-Accent5"/>
        <w:tblpPr w:leftFromText="180" w:rightFromText="180" w:vertAnchor="text" w:horzAnchor="margin" w:tblpXSpec="center" w:tblpY="218"/>
        <w:tblW w:w="13718" w:type="dxa"/>
        <w:tblLayout w:type="fixed"/>
        <w:tblLook w:val="04A0" w:firstRow="1" w:lastRow="0" w:firstColumn="1" w:lastColumn="0" w:noHBand="0" w:noVBand="1"/>
      </w:tblPr>
      <w:tblGrid>
        <w:gridCol w:w="1627"/>
        <w:gridCol w:w="931"/>
        <w:gridCol w:w="810"/>
        <w:gridCol w:w="1080"/>
        <w:gridCol w:w="1080"/>
        <w:gridCol w:w="900"/>
        <w:gridCol w:w="3150"/>
        <w:gridCol w:w="2970"/>
        <w:gridCol w:w="1170"/>
      </w:tblGrid>
      <w:tr w:rsidR="00405BEF" w:rsidRPr="006549D7" w:rsidTr="00DA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6549D7" w:rsidRDefault="00405BEF" w:rsidP="00DA0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Patient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Age (year)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FAB subtype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WBC (x10</w:t>
            </w:r>
            <w:r w:rsidRPr="006549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549D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49D7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654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Blast purity (%)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Cytogenetics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Fusion gene/Gene mutation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ABT-199 IC</w:t>
            </w:r>
            <w:r w:rsidRPr="006549D7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 w:rsidRPr="006549D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549D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654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AML1001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93.99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XX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549D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AML1002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XY, t(11;15;17)(q25;q15;q21)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549D7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AML1003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12.94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XY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CEBPA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549D7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AML1004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M5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13.93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XX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9D7">
              <w:rPr>
                <w:rFonts w:ascii="Arial" w:hAnsi="Arial" w:cs="Arial"/>
                <w:sz w:val="20"/>
                <w:szCs w:val="20"/>
              </w:rPr>
              <w:t>dupMLL</w:t>
            </w:r>
            <w:proofErr w:type="spellEnd"/>
            <w:r w:rsidRPr="006549D7">
              <w:rPr>
                <w:rFonts w:ascii="Arial" w:hAnsi="Arial" w:cs="Arial"/>
                <w:sz w:val="20"/>
                <w:szCs w:val="20"/>
              </w:rPr>
              <w:t>, CEBPA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549D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AML1005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34.94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XY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DEK-</w:t>
            </w:r>
            <w:r w:rsidRPr="006549D7"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549D7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AML1006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XY, t(8;21)(q22;q22)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AML1-ETO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AML1007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251.96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90.5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 XY, t(15;17)(q22;q21)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PML-RARα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5204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AML1008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254.84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9D7"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HOX11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AML1009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M6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72.1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45, XX, del(3q), -7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549D7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AML1010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10.16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45, X, -X, t(8;21)(q22;q22)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AML1-ETO, FLT3-ITD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6729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AML1011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252.77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eastAsia="MS Gothic" w:hAnsi="Arial" w:cs="Arial"/>
                <w:sz w:val="20"/>
                <w:szCs w:val="20"/>
              </w:rPr>
              <w:t>Not available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9D7">
              <w:rPr>
                <w:rFonts w:ascii="Arial" w:hAnsi="Arial" w:cs="Arial"/>
                <w:sz w:val="20"/>
                <w:szCs w:val="20"/>
              </w:rPr>
              <w:t>dupMLL</w:t>
            </w:r>
            <w:proofErr w:type="spellEnd"/>
            <w:r w:rsidRPr="006549D7">
              <w:rPr>
                <w:rFonts w:ascii="Arial" w:hAnsi="Arial" w:cs="Arial"/>
                <w:sz w:val="20"/>
                <w:szCs w:val="20"/>
              </w:rPr>
              <w:t>, FLT3-ITD, IDH1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49D7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AML1012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126.72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46, XX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FLT3-ITD, NPM1, DNMT3A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AML1013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222.2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46, XY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bCs w:val="0"/>
                <w:sz w:val="18"/>
              </w:rPr>
            </w:pPr>
            <w:r w:rsidRPr="00A203FB">
              <w:rPr>
                <w:rFonts w:ascii="Arial" w:hAnsi="Arial" w:cs="Arial"/>
                <w:bCs w:val="0"/>
                <w:sz w:val="18"/>
              </w:rPr>
              <w:t>AML1014</w:t>
            </w:r>
          </w:p>
        </w:tc>
        <w:tc>
          <w:tcPr>
            <w:tcW w:w="931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08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11.13</w:t>
            </w:r>
          </w:p>
        </w:tc>
        <w:tc>
          <w:tcPr>
            <w:tcW w:w="90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5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46, XY</w:t>
            </w:r>
          </w:p>
        </w:tc>
        <w:tc>
          <w:tcPr>
            <w:tcW w:w="29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HOX11</w:t>
            </w:r>
          </w:p>
        </w:tc>
        <w:tc>
          <w:tcPr>
            <w:tcW w:w="1170" w:type="dxa"/>
          </w:tcPr>
          <w:p w:rsidR="00405BEF" w:rsidRPr="006549D7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Default="00405BEF" w:rsidP="00DA087C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AML1015</w:t>
            </w:r>
          </w:p>
        </w:tc>
        <w:tc>
          <w:tcPr>
            <w:tcW w:w="931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81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M4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31.39</w:t>
            </w:r>
          </w:p>
        </w:tc>
        <w:tc>
          <w:tcPr>
            <w:tcW w:w="90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315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46, XX</w:t>
            </w:r>
          </w:p>
        </w:tc>
        <w:tc>
          <w:tcPr>
            <w:tcW w:w="297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CEBPA</w:t>
            </w:r>
          </w:p>
        </w:tc>
        <w:tc>
          <w:tcPr>
            <w:tcW w:w="117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524</w:t>
            </w:r>
          </w:p>
        </w:tc>
      </w:tr>
      <w:tr w:rsidR="00405BEF" w:rsidRPr="006549D7" w:rsidTr="00DA0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Non-malignant1</w:t>
            </w:r>
          </w:p>
        </w:tc>
        <w:tc>
          <w:tcPr>
            <w:tcW w:w="931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81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0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3150" w:type="dxa"/>
          </w:tcPr>
          <w:p w:rsidR="00405BEF" w:rsidRPr="00C63A48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ND</w:t>
            </w:r>
          </w:p>
        </w:tc>
        <w:tc>
          <w:tcPr>
            <w:tcW w:w="297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ND</w:t>
            </w:r>
          </w:p>
        </w:tc>
        <w:tc>
          <w:tcPr>
            <w:tcW w:w="1170" w:type="dxa"/>
          </w:tcPr>
          <w:p w:rsidR="00405BEF" w:rsidRDefault="00405BEF" w:rsidP="00DA08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19600</w:t>
            </w:r>
          </w:p>
        </w:tc>
      </w:tr>
      <w:tr w:rsidR="00405BEF" w:rsidRPr="006549D7" w:rsidTr="00DA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405BEF" w:rsidRPr="00A203FB" w:rsidRDefault="00405BEF" w:rsidP="00DA087C">
            <w:pPr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Non-malignant2</w:t>
            </w:r>
          </w:p>
        </w:tc>
        <w:tc>
          <w:tcPr>
            <w:tcW w:w="931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81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108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90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NA</w:t>
            </w:r>
          </w:p>
        </w:tc>
        <w:tc>
          <w:tcPr>
            <w:tcW w:w="3150" w:type="dxa"/>
          </w:tcPr>
          <w:p w:rsidR="00405BEF" w:rsidRPr="00C63A48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ND</w:t>
            </w:r>
          </w:p>
        </w:tc>
        <w:tc>
          <w:tcPr>
            <w:tcW w:w="297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ND</w:t>
            </w:r>
          </w:p>
        </w:tc>
        <w:tc>
          <w:tcPr>
            <w:tcW w:w="1170" w:type="dxa"/>
          </w:tcPr>
          <w:p w:rsidR="00405BEF" w:rsidRDefault="00405BEF" w:rsidP="00DA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12710</w:t>
            </w:r>
          </w:p>
        </w:tc>
      </w:tr>
    </w:tbl>
    <w:p w:rsidR="008822E6" w:rsidRDefault="00405BEF" w:rsidP="00405BEF">
      <w:r>
        <w:rPr>
          <w:bCs/>
        </w:rPr>
        <w:t>Abbreviations: ND, not determined; NA, not applicable</w:t>
      </w:r>
    </w:p>
    <w:sectPr w:rsidR="008822E6" w:rsidSect="00405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F"/>
    <w:rsid w:val="00405BEF"/>
    <w:rsid w:val="008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05BEF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0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05BEF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0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Pitman, Holly</dc:creator>
  <cp:lastModifiedBy>Pitman, Holly</cp:lastModifiedBy>
  <cp:revision>1</cp:revision>
  <dcterms:created xsi:type="dcterms:W3CDTF">2015-12-14T20:07:00Z</dcterms:created>
  <dcterms:modified xsi:type="dcterms:W3CDTF">2015-12-14T20:08:00Z</dcterms:modified>
</cp:coreProperties>
</file>