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18" w:rsidRPr="00A46F6A" w:rsidRDefault="0008151E">
      <w:pPr>
        <w:rPr>
          <w:rFonts w:ascii="Arial" w:hAnsi="Arial" w:cs="Arial"/>
          <w:b/>
        </w:rPr>
      </w:pPr>
      <w:r w:rsidRPr="00A46F6A">
        <w:rPr>
          <w:rFonts w:ascii="Arial" w:hAnsi="Arial" w:cs="Arial"/>
          <w:b/>
        </w:rPr>
        <w:t>Supplemental Figure Legends</w:t>
      </w:r>
    </w:p>
    <w:p w:rsidR="0008151E" w:rsidRPr="00A46F6A" w:rsidRDefault="0008151E" w:rsidP="00A46F6A">
      <w:pPr>
        <w:spacing w:after="0" w:line="480" w:lineRule="auto"/>
        <w:rPr>
          <w:rFonts w:ascii="Arial" w:hAnsi="Arial" w:cs="Arial"/>
          <w:u w:val="single"/>
        </w:rPr>
      </w:pPr>
      <w:proofErr w:type="gramStart"/>
      <w:r w:rsidRPr="00A46F6A">
        <w:rPr>
          <w:rFonts w:ascii="Arial" w:hAnsi="Arial" w:cs="Arial"/>
          <w:u w:val="single"/>
        </w:rPr>
        <w:t>Supplemental Figure 1.</w:t>
      </w:r>
      <w:proofErr w:type="gramEnd"/>
      <w:r w:rsidRPr="00A46F6A">
        <w:rPr>
          <w:rFonts w:ascii="Arial" w:hAnsi="Arial" w:cs="Arial"/>
          <w:u w:val="single"/>
        </w:rPr>
        <w:t xml:space="preserve">  Immunoblots of Patient Serum before and after Therapy</w:t>
      </w:r>
    </w:p>
    <w:p w:rsidR="0008151E" w:rsidRPr="00A46F6A" w:rsidRDefault="0008151E" w:rsidP="00A46F6A">
      <w:pPr>
        <w:spacing w:after="0" w:line="480" w:lineRule="auto"/>
        <w:rPr>
          <w:rFonts w:ascii="Arial" w:hAnsi="Arial" w:cs="Arial"/>
        </w:rPr>
      </w:pPr>
      <w:r w:rsidRPr="00A46F6A">
        <w:rPr>
          <w:rFonts w:ascii="Arial" w:hAnsi="Arial" w:cs="Arial"/>
        </w:rPr>
        <w:t>To detect induced humoral responses against tumor antigens, we performed immunoblotting against purified mesothelin and extracts from allogeneic mesothelioma cell lines.  Multiple exposures were obtained and comparisons were made on the exposures in which the major bands detected on pre-treatment blots were of equal intensity in post-treatment blots.  The blots were semi-quantitatively scored as follows:  0= no change in any bands</w:t>
      </w:r>
      <w:r w:rsidRPr="00A46F6A">
        <w:rPr>
          <w:rFonts w:ascii="Arial" w:hAnsi="Arial" w:cs="Arial"/>
        </w:rPr>
        <w:t xml:space="preserve"> (Supplemental Figure 1A)</w:t>
      </w:r>
      <w:r w:rsidRPr="00A46F6A">
        <w:rPr>
          <w:rFonts w:ascii="Arial" w:hAnsi="Arial" w:cs="Arial"/>
        </w:rPr>
        <w:t>; 1= minimal changes (i.e. increased intensity in one or two bands)</w:t>
      </w:r>
      <w:r w:rsidRPr="00A46F6A">
        <w:rPr>
          <w:rFonts w:ascii="Arial" w:hAnsi="Arial" w:cs="Arial"/>
        </w:rPr>
        <w:t xml:space="preserve"> (Supplemental Figure 1B)</w:t>
      </w:r>
      <w:r w:rsidRPr="00A46F6A">
        <w:rPr>
          <w:rFonts w:ascii="Arial" w:hAnsi="Arial" w:cs="Arial"/>
        </w:rPr>
        <w:t>; 2= clear increases in &gt;2 bands or appearance of new bands</w:t>
      </w:r>
      <w:r w:rsidRPr="00A46F6A">
        <w:rPr>
          <w:rFonts w:ascii="Arial" w:hAnsi="Arial" w:cs="Arial"/>
        </w:rPr>
        <w:t xml:space="preserve"> (Supplemental Figure 1C)</w:t>
      </w:r>
      <w:r w:rsidRPr="00A46F6A">
        <w:rPr>
          <w:rFonts w:ascii="Arial" w:hAnsi="Arial" w:cs="Arial"/>
        </w:rPr>
        <w:t xml:space="preserve">.  </w:t>
      </w:r>
    </w:p>
    <w:p w:rsidR="0008151E" w:rsidRPr="00A46F6A" w:rsidRDefault="0008151E">
      <w:pPr>
        <w:rPr>
          <w:rFonts w:ascii="Arial" w:hAnsi="Arial" w:cs="Arial"/>
        </w:rPr>
      </w:pPr>
    </w:p>
    <w:p w:rsidR="0008151E" w:rsidRPr="00A46F6A" w:rsidRDefault="0008151E">
      <w:pPr>
        <w:rPr>
          <w:rFonts w:ascii="Arial" w:hAnsi="Arial" w:cs="Arial"/>
          <w:u w:val="single"/>
        </w:rPr>
      </w:pPr>
      <w:proofErr w:type="gramStart"/>
      <w:r w:rsidRPr="00A46F6A">
        <w:rPr>
          <w:rFonts w:ascii="Arial" w:hAnsi="Arial" w:cs="Arial"/>
          <w:u w:val="single"/>
        </w:rPr>
        <w:t>Supplemental Figure 2.</w:t>
      </w:r>
      <w:proofErr w:type="gramEnd"/>
      <w:r w:rsidRPr="00A46F6A">
        <w:rPr>
          <w:rFonts w:ascii="Arial" w:hAnsi="Arial" w:cs="Arial"/>
          <w:u w:val="single"/>
        </w:rPr>
        <w:t xml:space="preserve">  Distribution of 1/Nab Titers for the 40 Patients</w:t>
      </w:r>
    </w:p>
    <w:p w:rsidR="0008151E" w:rsidRPr="00A46F6A" w:rsidRDefault="0008151E" w:rsidP="0008151E">
      <w:pPr>
        <w:spacing w:line="480" w:lineRule="auto"/>
        <w:ind w:firstLine="720"/>
        <w:rPr>
          <w:rFonts w:ascii="Arial" w:hAnsi="Arial" w:cs="Arial"/>
        </w:rPr>
      </w:pPr>
      <w:r w:rsidRPr="00A46F6A">
        <w:rPr>
          <w:rFonts w:ascii="Arial" w:hAnsi="Arial" w:cs="Arial"/>
        </w:rPr>
        <w:t>All potential patients were screened for baseline adenoviral Nab titers</w:t>
      </w:r>
      <w:r w:rsidRPr="00A46F6A">
        <w:rPr>
          <w:rFonts w:ascii="Arial" w:hAnsi="Arial" w:cs="Arial"/>
        </w:rPr>
        <w:t xml:space="preserve"> per methods</w:t>
      </w:r>
      <w:r w:rsidRPr="00A46F6A">
        <w:rPr>
          <w:rFonts w:ascii="Arial" w:hAnsi="Arial" w:cs="Arial"/>
        </w:rPr>
        <w:t xml:space="preserve">.  Sixteen percent of the screened patients had titers above our pre-determined cut-off value of 1:2000 and were thus deemed ineligible.  </w:t>
      </w:r>
      <w:r w:rsidRPr="00A46F6A">
        <w:rPr>
          <w:rFonts w:ascii="Arial" w:hAnsi="Arial" w:cs="Arial"/>
        </w:rPr>
        <w:t xml:space="preserve">This figure shows the inverse of the titer (1/Nab) for each of the </w:t>
      </w:r>
      <w:r w:rsidRPr="00A46F6A">
        <w:rPr>
          <w:rFonts w:ascii="Arial" w:hAnsi="Arial" w:cs="Arial"/>
        </w:rPr>
        <w:t>40 patients who participated in the trial</w:t>
      </w:r>
      <w:r w:rsidRPr="00A46F6A">
        <w:rPr>
          <w:rFonts w:ascii="Arial" w:hAnsi="Arial" w:cs="Arial"/>
        </w:rPr>
        <w:t>.  T</w:t>
      </w:r>
      <w:r w:rsidRPr="00A46F6A">
        <w:rPr>
          <w:rFonts w:ascii="Arial" w:hAnsi="Arial" w:cs="Arial"/>
        </w:rPr>
        <w:t>he median titer was 1:100; the distribution of titers is shown</w:t>
      </w:r>
      <w:r w:rsidRPr="00A46F6A">
        <w:rPr>
          <w:rFonts w:ascii="Arial" w:hAnsi="Arial" w:cs="Arial"/>
          <w:b/>
        </w:rPr>
        <w:t xml:space="preserve"> </w:t>
      </w:r>
      <w:r w:rsidRPr="00A46F6A">
        <w:rPr>
          <w:rFonts w:ascii="Arial" w:hAnsi="Arial" w:cs="Arial"/>
        </w:rPr>
        <w:t xml:space="preserve">in </w:t>
      </w:r>
      <w:r w:rsidRPr="00A46F6A">
        <w:rPr>
          <w:rFonts w:ascii="Arial" w:hAnsi="Arial" w:cs="Arial"/>
        </w:rPr>
        <w:t>the graph.</w:t>
      </w:r>
      <w:r w:rsidRPr="00A46F6A">
        <w:rPr>
          <w:rFonts w:ascii="Arial" w:hAnsi="Arial" w:cs="Arial"/>
        </w:rPr>
        <w:t xml:space="preserve"> </w:t>
      </w:r>
    </w:p>
    <w:p w:rsidR="0008151E" w:rsidRPr="00A46F6A" w:rsidRDefault="0008151E">
      <w:pPr>
        <w:rPr>
          <w:rFonts w:ascii="Arial" w:hAnsi="Arial" w:cs="Arial"/>
        </w:rPr>
      </w:pPr>
      <w:proofErr w:type="gramStart"/>
      <w:r w:rsidRPr="00A46F6A">
        <w:rPr>
          <w:rFonts w:ascii="Arial" w:hAnsi="Arial" w:cs="Arial"/>
          <w:u w:val="single"/>
        </w:rPr>
        <w:t>Supplemental Figure 3</w:t>
      </w:r>
      <w:r w:rsidRPr="00A46F6A">
        <w:rPr>
          <w:rFonts w:ascii="Arial" w:hAnsi="Arial" w:cs="Arial"/>
          <w:u w:val="single"/>
        </w:rPr>
        <w:t>.</w:t>
      </w:r>
      <w:proofErr w:type="gramEnd"/>
      <w:r w:rsidRPr="00A46F6A">
        <w:rPr>
          <w:rFonts w:ascii="Arial" w:hAnsi="Arial" w:cs="Arial"/>
          <w:u w:val="single"/>
        </w:rPr>
        <w:t xml:space="preserve">  Distribution</w:t>
      </w:r>
      <w:r w:rsidRPr="00A46F6A">
        <w:rPr>
          <w:rFonts w:ascii="Arial" w:hAnsi="Arial" w:cs="Arial"/>
          <w:u w:val="single"/>
        </w:rPr>
        <w:t xml:space="preserve"> of the Day 2 serum levels of Interferon-alpha</w:t>
      </w:r>
      <w:r w:rsidRPr="00A46F6A">
        <w:rPr>
          <w:rFonts w:ascii="Arial" w:hAnsi="Arial" w:cs="Arial"/>
        </w:rPr>
        <w:t>.</w:t>
      </w:r>
    </w:p>
    <w:p w:rsidR="0008151E" w:rsidRPr="00A46F6A" w:rsidRDefault="0008151E" w:rsidP="0008151E">
      <w:pPr>
        <w:spacing w:line="480" w:lineRule="auto"/>
        <w:jc w:val="both"/>
        <w:rPr>
          <w:rFonts w:ascii="Arial" w:hAnsi="Arial" w:cs="Arial"/>
        </w:rPr>
      </w:pPr>
      <w:r w:rsidRPr="00A46F6A">
        <w:rPr>
          <w:rFonts w:ascii="Arial" w:hAnsi="Arial" w:cs="Arial"/>
          <w:u w:val="single"/>
        </w:rPr>
        <w:t>Serum</w:t>
      </w:r>
      <w:r w:rsidRPr="00A46F6A">
        <w:rPr>
          <w:rFonts w:ascii="Arial" w:hAnsi="Arial" w:cs="Arial"/>
        </w:rPr>
        <w:t xml:space="preserve"> levels of interferon-</w:t>
      </w:r>
      <w:r w:rsidRPr="00A46F6A">
        <w:rPr>
          <w:rFonts w:ascii="Symbol" w:hAnsi="Symbol" w:cs="Arial"/>
        </w:rPr>
        <w:t></w:t>
      </w:r>
      <w:r w:rsidRPr="00A46F6A">
        <w:rPr>
          <w:rFonts w:ascii="Symbol" w:hAnsi="Symbol" w:cs="Arial"/>
        </w:rPr>
        <w:t></w:t>
      </w:r>
      <w:r w:rsidRPr="00A46F6A">
        <w:rPr>
          <w:rFonts w:ascii="Arial" w:hAnsi="Arial" w:cs="Arial"/>
        </w:rPr>
        <w:t xml:space="preserve">were measured </w:t>
      </w:r>
      <w:r w:rsidR="002E3A5F" w:rsidRPr="00A46F6A">
        <w:rPr>
          <w:rFonts w:ascii="Arial" w:hAnsi="Arial" w:cs="Arial"/>
        </w:rPr>
        <w:t xml:space="preserve">two days after </w:t>
      </w:r>
      <w:proofErr w:type="spellStart"/>
      <w:r w:rsidR="002E3A5F" w:rsidRPr="00A46F6A">
        <w:rPr>
          <w:rFonts w:ascii="Arial" w:hAnsi="Arial" w:cs="Arial"/>
        </w:rPr>
        <w:t>Ad.IFN</w:t>
      </w:r>
      <w:proofErr w:type="spellEnd"/>
      <w:r w:rsidR="002E3A5F" w:rsidRPr="00A46F6A">
        <w:rPr>
          <w:rFonts w:ascii="Arial" w:hAnsi="Arial" w:cs="Arial"/>
        </w:rPr>
        <w:t xml:space="preserve"> administration</w:t>
      </w:r>
      <w:r w:rsidRPr="00A46F6A">
        <w:rPr>
          <w:rFonts w:ascii="Arial" w:hAnsi="Arial" w:cs="Arial"/>
        </w:rPr>
        <w:t xml:space="preserve"> (Supplemental Fig 3A).   Roughly half of the patients (n=21) had detectable levels of serum IFN (15 to 1608 </w:t>
      </w:r>
      <w:proofErr w:type="spellStart"/>
      <w:r w:rsidRPr="00A46F6A">
        <w:rPr>
          <w:rFonts w:ascii="Arial" w:hAnsi="Arial" w:cs="Arial"/>
        </w:rPr>
        <w:t>pg</w:t>
      </w:r>
      <w:proofErr w:type="spellEnd"/>
      <w:r w:rsidRPr="00A46F6A">
        <w:rPr>
          <w:rFonts w:ascii="Arial" w:hAnsi="Arial" w:cs="Arial"/>
        </w:rPr>
        <w:t>/ml) on Day 2 after vector infusion.     Levels of IFN</w:t>
      </w:r>
      <w:r w:rsidRPr="00A46F6A">
        <w:rPr>
          <w:rFonts w:ascii="Symbol" w:hAnsi="Symbol" w:cs="Arial"/>
        </w:rPr>
        <w:t></w:t>
      </w:r>
      <w:r w:rsidRPr="00A46F6A">
        <w:rPr>
          <w:rFonts w:ascii="Arial" w:hAnsi="Arial" w:cs="Arial"/>
        </w:rPr>
        <w:t xml:space="preserve"> in the </w:t>
      </w:r>
      <w:r w:rsidRPr="00A46F6A">
        <w:rPr>
          <w:rFonts w:ascii="Arial" w:hAnsi="Arial" w:cs="Arial"/>
          <w:u w:val="single"/>
        </w:rPr>
        <w:t>pleural fluid</w:t>
      </w:r>
      <w:r w:rsidRPr="00A46F6A">
        <w:rPr>
          <w:rFonts w:ascii="Arial" w:hAnsi="Arial" w:cs="Arial"/>
        </w:rPr>
        <w:t xml:space="preserve"> </w:t>
      </w:r>
      <w:r w:rsidR="002E3A5F" w:rsidRPr="00A46F6A">
        <w:rPr>
          <w:rFonts w:ascii="Arial" w:hAnsi="Arial" w:cs="Arial"/>
        </w:rPr>
        <w:t xml:space="preserve">were also measured on Day 2 </w:t>
      </w:r>
      <w:r w:rsidRPr="00A46F6A">
        <w:rPr>
          <w:rFonts w:ascii="Arial" w:hAnsi="Arial" w:cs="Arial"/>
        </w:rPr>
        <w:t>in 38 patients (Supplemental Fig. 3B).  Pleural levels were much higher than seen in the serum after initial dosing.  We saw no correlation of survival times with the serum (Supplemental Fig. 3C</w:t>
      </w:r>
      <w:r w:rsidR="00A46F6A">
        <w:rPr>
          <w:rFonts w:ascii="Arial" w:hAnsi="Arial" w:cs="Arial"/>
        </w:rPr>
        <w:t>,</w:t>
      </w:r>
      <w:r w:rsidR="002E3A5F" w:rsidRPr="00A46F6A">
        <w:rPr>
          <w:rFonts w:ascii="Arial" w:hAnsi="Arial" w:cs="Arial"/>
        </w:rPr>
        <w:t xml:space="preserve"> upper panels</w:t>
      </w:r>
      <w:r w:rsidRPr="00A46F6A">
        <w:rPr>
          <w:rFonts w:ascii="Arial" w:hAnsi="Arial" w:cs="Arial"/>
        </w:rPr>
        <w:t>) or pleural (</w:t>
      </w:r>
      <w:r w:rsidR="002E3A5F" w:rsidRPr="00A46F6A">
        <w:rPr>
          <w:rFonts w:ascii="Arial" w:hAnsi="Arial" w:cs="Arial"/>
        </w:rPr>
        <w:t xml:space="preserve">Supplemental. </w:t>
      </w:r>
      <w:proofErr w:type="gramStart"/>
      <w:r w:rsidR="002E3A5F" w:rsidRPr="00A46F6A">
        <w:rPr>
          <w:rFonts w:ascii="Arial" w:hAnsi="Arial" w:cs="Arial"/>
        </w:rPr>
        <w:t>Fig. 3C</w:t>
      </w:r>
      <w:r w:rsidR="00A46F6A">
        <w:rPr>
          <w:rFonts w:ascii="Arial" w:hAnsi="Arial" w:cs="Arial"/>
        </w:rPr>
        <w:t>,</w:t>
      </w:r>
      <w:r w:rsidR="002E3A5F" w:rsidRPr="00A46F6A">
        <w:rPr>
          <w:rFonts w:ascii="Arial" w:hAnsi="Arial" w:cs="Arial"/>
        </w:rPr>
        <w:t xml:space="preserve"> lower panels</w:t>
      </w:r>
      <w:r w:rsidRPr="00A46F6A">
        <w:rPr>
          <w:rFonts w:ascii="Arial" w:hAnsi="Arial" w:cs="Arial"/>
        </w:rPr>
        <w:t>) interferon levels.</w:t>
      </w:r>
      <w:proofErr w:type="gramEnd"/>
    </w:p>
    <w:p w:rsidR="0008151E" w:rsidRPr="00A46F6A" w:rsidRDefault="0008151E">
      <w:pPr>
        <w:rPr>
          <w:rFonts w:ascii="Arial" w:hAnsi="Arial" w:cs="Arial"/>
        </w:rPr>
      </w:pPr>
    </w:p>
    <w:p w:rsidR="0008151E" w:rsidRPr="00A46F6A" w:rsidRDefault="0008151E">
      <w:pPr>
        <w:rPr>
          <w:rFonts w:ascii="Arial" w:hAnsi="Arial" w:cs="Arial"/>
        </w:rPr>
      </w:pPr>
    </w:p>
    <w:p w:rsidR="002E3A5F" w:rsidRPr="00A46F6A" w:rsidRDefault="002E3A5F" w:rsidP="00A46F6A">
      <w:pPr>
        <w:spacing w:after="0" w:line="480" w:lineRule="auto"/>
        <w:jc w:val="both"/>
        <w:rPr>
          <w:rFonts w:ascii="Arial" w:hAnsi="Arial" w:cs="Arial"/>
          <w:u w:val="single"/>
        </w:rPr>
      </w:pPr>
      <w:proofErr w:type="gramStart"/>
      <w:r w:rsidRPr="00A46F6A">
        <w:rPr>
          <w:rFonts w:ascii="Arial" w:hAnsi="Arial" w:cs="Arial"/>
          <w:u w:val="single"/>
        </w:rPr>
        <w:t xml:space="preserve">Supplemental Figure </w:t>
      </w:r>
      <w:r w:rsidRPr="00A46F6A">
        <w:rPr>
          <w:rFonts w:ascii="Arial" w:hAnsi="Arial" w:cs="Arial"/>
          <w:u w:val="single"/>
        </w:rPr>
        <w:t>4.</w:t>
      </w:r>
      <w:proofErr w:type="gramEnd"/>
      <w:r w:rsidRPr="00A46F6A">
        <w:rPr>
          <w:rFonts w:ascii="Arial" w:hAnsi="Arial" w:cs="Arial"/>
          <w:u w:val="single"/>
        </w:rPr>
        <w:t xml:space="preserve">  </w:t>
      </w:r>
      <w:proofErr w:type="gramStart"/>
      <w:r w:rsidRPr="00A46F6A">
        <w:rPr>
          <w:rFonts w:ascii="Arial" w:hAnsi="Arial" w:cs="Arial"/>
          <w:u w:val="single"/>
        </w:rPr>
        <w:t>Lack of Correlation of lymphocyte or macrophage infiltration with survival.</w:t>
      </w:r>
      <w:proofErr w:type="gramEnd"/>
    </w:p>
    <w:p w:rsidR="002E3A5F" w:rsidRDefault="002E3A5F" w:rsidP="00A46F6A">
      <w:pPr>
        <w:spacing w:after="0" w:line="480" w:lineRule="auto"/>
        <w:ind w:firstLine="720"/>
        <w:jc w:val="both"/>
        <w:rPr>
          <w:rFonts w:ascii="Arial" w:hAnsi="Arial" w:cs="Arial"/>
        </w:rPr>
      </w:pPr>
      <w:r w:rsidRPr="00A46F6A">
        <w:rPr>
          <w:rFonts w:ascii="Arial" w:hAnsi="Arial" w:cs="Arial"/>
        </w:rPr>
        <w:t>Pretreatment biopsies were stained u</w:t>
      </w:r>
      <w:r w:rsidR="0008151E" w:rsidRPr="00A46F6A">
        <w:rPr>
          <w:rFonts w:ascii="Arial" w:hAnsi="Arial" w:cs="Arial"/>
        </w:rPr>
        <w:t>sing immunohistochemistry (IHC)</w:t>
      </w:r>
      <w:r w:rsidRPr="00A46F6A">
        <w:rPr>
          <w:rFonts w:ascii="Arial" w:hAnsi="Arial" w:cs="Arial"/>
        </w:rPr>
        <w:t xml:space="preserve"> and patients ranked for infiltration.</w:t>
      </w:r>
      <w:r w:rsidR="002D0B62">
        <w:rPr>
          <w:rFonts w:ascii="Arial" w:hAnsi="Arial" w:cs="Arial"/>
        </w:rPr>
        <w:t xml:space="preserve">  Patients with counts &gt; than</w:t>
      </w:r>
      <w:r w:rsidRPr="00A46F6A">
        <w:rPr>
          <w:rFonts w:ascii="Arial" w:hAnsi="Arial" w:cs="Arial"/>
        </w:rPr>
        <w:t xml:space="preserve"> the median value were called “more infiltrated”.  W</w:t>
      </w:r>
      <w:r w:rsidR="0008151E" w:rsidRPr="00A46F6A">
        <w:rPr>
          <w:rFonts w:ascii="Arial" w:hAnsi="Arial" w:cs="Arial"/>
        </w:rPr>
        <w:t>e noted no significant correlations with either the degree of lymphocyte (CD8 staining)</w:t>
      </w:r>
      <w:r w:rsidRPr="00A46F6A">
        <w:rPr>
          <w:rFonts w:ascii="Arial" w:hAnsi="Arial" w:cs="Arial"/>
        </w:rPr>
        <w:t xml:space="preserve"> (Panel A)</w:t>
      </w:r>
      <w:r w:rsidR="0008151E" w:rsidRPr="00A46F6A">
        <w:rPr>
          <w:rFonts w:ascii="Arial" w:hAnsi="Arial" w:cs="Arial"/>
        </w:rPr>
        <w:t>, or macrophage (CD68 staining) infiltration</w:t>
      </w:r>
      <w:r w:rsidRPr="00A46F6A">
        <w:rPr>
          <w:rFonts w:ascii="Arial" w:hAnsi="Arial" w:cs="Arial"/>
        </w:rPr>
        <w:t xml:space="preserve"> (Panel B) in all patients</w:t>
      </w:r>
      <w:r w:rsidR="002D0B62">
        <w:rPr>
          <w:rFonts w:ascii="Arial" w:hAnsi="Arial" w:cs="Arial"/>
        </w:rPr>
        <w:t xml:space="preserve"> (left panels)</w:t>
      </w:r>
      <w:r w:rsidRPr="00A46F6A">
        <w:rPr>
          <w:rFonts w:ascii="Arial" w:hAnsi="Arial" w:cs="Arial"/>
        </w:rPr>
        <w:t xml:space="preserve"> or just the epithelial histology patients</w:t>
      </w:r>
      <w:r w:rsidR="002D0B62">
        <w:rPr>
          <w:rFonts w:ascii="Arial" w:hAnsi="Arial" w:cs="Arial"/>
        </w:rPr>
        <w:t xml:space="preserve"> (right panels)</w:t>
      </w:r>
      <w:r w:rsidRPr="00A46F6A">
        <w:rPr>
          <w:rFonts w:ascii="Arial" w:hAnsi="Arial" w:cs="Arial"/>
        </w:rPr>
        <w:t>.</w:t>
      </w:r>
    </w:p>
    <w:p w:rsidR="002D0B62" w:rsidRPr="00A46F6A" w:rsidRDefault="002D0B62" w:rsidP="00A46F6A">
      <w:pPr>
        <w:spacing w:after="0" w:line="480" w:lineRule="auto"/>
        <w:ind w:firstLine="720"/>
        <w:jc w:val="both"/>
        <w:rPr>
          <w:rFonts w:ascii="Arial" w:hAnsi="Arial" w:cs="Arial"/>
        </w:rPr>
      </w:pPr>
    </w:p>
    <w:p w:rsidR="002E3A5F" w:rsidRPr="002D0B62" w:rsidRDefault="002E3A5F" w:rsidP="002D0B62">
      <w:pPr>
        <w:spacing w:line="480" w:lineRule="auto"/>
        <w:jc w:val="both"/>
        <w:rPr>
          <w:rFonts w:ascii="Arial" w:hAnsi="Arial" w:cs="Arial"/>
          <w:u w:val="single"/>
        </w:rPr>
      </w:pPr>
      <w:bookmarkStart w:id="0" w:name="_GoBack"/>
      <w:proofErr w:type="gramStart"/>
      <w:r w:rsidRPr="002D0B62">
        <w:rPr>
          <w:rFonts w:ascii="Arial" w:hAnsi="Arial" w:cs="Arial"/>
          <w:u w:val="single"/>
        </w:rPr>
        <w:t xml:space="preserve">Supplemental Figure </w:t>
      </w:r>
      <w:r w:rsidRPr="002D0B62">
        <w:rPr>
          <w:rFonts w:ascii="Arial" w:hAnsi="Arial" w:cs="Arial"/>
          <w:u w:val="single"/>
        </w:rPr>
        <w:t>5</w:t>
      </w:r>
      <w:r w:rsidRPr="002D0B62">
        <w:rPr>
          <w:rFonts w:ascii="Arial" w:hAnsi="Arial" w:cs="Arial"/>
          <w:u w:val="single"/>
        </w:rPr>
        <w:t>.</w:t>
      </w:r>
      <w:proofErr w:type="gramEnd"/>
      <w:r w:rsidRPr="002D0B62">
        <w:rPr>
          <w:rFonts w:ascii="Arial" w:hAnsi="Arial" w:cs="Arial"/>
          <w:u w:val="single"/>
        </w:rPr>
        <w:t xml:space="preserve">  </w:t>
      </w:r>
      <w:proofErr w:type="gramStart"/>
      <w:r w:rsidRPr="002D0B62">
        <w:rPr>
          <w:rFonts w:ascii="Arial" w:hAnsi="Arial" w:cs="Arial"/>
          <w:u w:val="single"/>
        </w:rPr>
        <w:t xml:space="preserve">Lack of Correlation of </w:t>
      </w:r>
      <w:r w:rsidRPr="002D0B62">
        <w:rPr>
          <w:rFonts w:ascii="Arial" w:hAnsi="Arial" w:cs="Arial"/>
          <w:u w:val="single"/>
        </w:rPr>
        <w:t>PDL1 staining</w:t>
      </w:r>
      <w:r w:rsidRPr="002D0B62">
        <w:rPr>
          <w:rFonts w:ascii="Arial" w:hAnsi="Arial" w:cs="Arial"/>
          <w:u w:val="single"/>
        </w:rPr>
        <w:t xml:space="preserve"> with survival.</w:t>
      </w:r>
      <w:proofErr w:type="gramEnd"/>
    </w:p>
    <w:bookmarkEnd w:id="0"/>
    <w:p w:rsidR="00A46F6A" w:rsidRPr="00A46F6A" w:rsidRDefault="002E3A5F" w:rsidP="0008151E">
      <w:pPr>
        <w:spacing w:line="480" w:lineRule="auto"/>
        <w:ind w:firstLine="720"/>
        <w:jc w:val="both"/>
        <w:rPr>
          <w:rFonts w:ascii="Arial" w:hAnsi="Arial" w:cs="Arial"/>
        </w:rPr>
      </w:pPr>
      <w:r w:rsidRPr="00A46F6A">
        <w:rPr>
          <w:rFonts w:ascii="Arial" w:hAnsi="Arial" w:cs="Arial"/>
        </w:rPr>
        <w:t xml:space="preserve">Pretreatment biopsies were stained using immunohistochemistry (IHC) and </w:t>
      </w:r>
      <w:r w:rsidR="002D0B62">
        <w:rPr>
          <w:rFonts w:ascii="Arial" w:hAnsi="Arial" w:cs="Arial"/>
        </w:rPr>
        <w:t>slides were</w:t>
      </w:r>
      <w:r w:rsidRPr="00A46F6A">
        <w:rPr>
          <w:rFonts w:ascii="Arial" w:hAnsi="Arial" w:cs="Arial"/>
        </w:rPr>
        <w:t xml:space="preserve"> </w:t>
      </w:r>
      <w:r w:rsidR="00A46F6A" w:rsidRPr="00A46F6A">
        <w:rPr>
          <w:rFonts w:ascii="Arial" w:hAnsi="Arial" w:cs="Arial"/>
        </w:rPr>
        <w:t>graded on staining intensity</w:t>
      </w:r>
      <w:r w:rsidR="002D0B62">
        <w:rPr>
          <w:rFonts w:ascii="Arial" w:hAnsi="Arial" w:cs="Arial"/>
        </w:rPr>
        <w:t xml:space="preserve"> varying</w:t>
      </w:r>
      <w:r w:rsidR="00A46F6A" w:rsidRPr="00A46F6A">
        <w:rPr>
          <w:rFonts w:ascii="Arial" w:hAnsi="Arial" w:cs="Arial"/>
        </w:rPr>
        <w:t xml:space="preserve"> from 0 (no staining) to 5 (intense diffuse staining).  </w:t>
      </w:r>
      <w:r w:rsidRPr="00A46F6A">
        <w:rPr>
          <w:rFonts w:ascii="Arial" w:hAnsi="Arial" w:cs="Arial"/>
        </w:rPr>
        <w:t xml:space="preserve"> </w:t>
      </w:r>
      <w:r w:rsidR="002D0B62">
        <w:rPr>
          <w:rFonts w:ascii="Arial" w:hAnsi="Arial" w:cs="Arial"/>
        </w:rPr>
        <w:t xml:space="preserve">In the upper panels, </w:t>
      </w:r>
      <w:r w:rsidR="00A46F6A" w:rsidRPr="00A46F6A">
        <w:rPr>
          <w:rFonts w:ascii="Arial" w:hAnsi="Arial" w:cs="Arial"/>
        </w:rPr>
        <w:t>p</w:t>
      </w:r>
      <w:r w:rsidRPr="00A46F6A">
        <w:rPr>
          <w:rFonts w:ascii="Arial" w:hAnsi="Arial" w:cs="Arial"/>
        </w:rPr>
        <w:t xml:space="preserve">atients with </w:t>
      </w:r>
      <w:r w:rsidR="00A46F6A" w:rsidRPr="00A46F6A">
        <w:rPr>
          <w:rFonts w:ascii="Arial" w:hAnsi="Arial" w:cs="Arial"/>
        </w:rPr>
        <w:t>low intensity staining (defined as grade 0-2) were compared to patients with strong staining (defined as grade 3-5).  In the lower panels, p</w:t>
      </w:r>
      <w:r w:rsidR="00A46F6A" w:rsidRPr="00A46F6A">
        <w:rPr>
          <w:rFonts w:ascii="Arial" w:hAnsi="Arial" w:cs="Arial"/>
        </w:rPr>
        <w:t>atients with low intensity staining (defined as grade 0-1) were compared to patients with strong staining (defined as grade 2-5)</w:t>
      </w:r>
      <w:r w:rsidR="00A46F6A" w:rsidRPr="00A46F6A">
        <w:rPr>
          <w:rFonts w:ascii="Arial" w:hAnsi="Arial" w:cs="Arial"/>
        </w:rPr>
        <w:t xml:space="preserve">.  </w:t>
      </w:r>
      <w:r w:rsidRPr="00A46F6A">
        <w:rPr>
          <w:rFonts w:ascii="Arial" w:hAnsi="Arial" w:cs="Arial"/>
        </w:rPr>
        <w:t xml:space="preserve"> </w:t>
      </w:r>
      <w:r w:rsidR="00A46F6A" w:rsidRPr="00A46F6A">
        <w:rPr>
          <w:rFonts w:ascii="Arial" w:hAnsi="Arial" w:cs="Arial"/>
        </w:rPr>
        <w:t>Using either definition</w:t>
      </w:r>
      <w:r w:rsidR="002D0B62">
        <w:rPr>
          <w:rFonts w:ascii="Arial" w:hAnsi="Arial" w:cs="Arial"/>
        </w:rPr>
        <w:t xml:space="preserve"> of staining intensity</w:t>
      </w:r>
      <w:r w:rsidR="00A46F6A" w:rsidRPr="00A46F6A">
        <w:rPr>
          <w:rFonts w:ascii="Arial" w:hAnsi="Arial" w:cs="Arial"/>
        </w:rPr>
        <w:t>, w</w:t>
      </w:r>
      <w:r w:rsidRPr="00A46F6A">
        <w:rPr>
          <w:rFonts w:ascii="Arial" w:hAnsi="Arial" w:cs="Arial"/>
        </w:rPr>
        <w:t xml:space="preserve">e noted no significant correlations </w:t>
      </w:r>
      <w:r w:rsidR="002D0B62">
        <w:rPr>
          <w:rFonts w:ascii="Arial" w:hAnsi="Arial" w:cs="Arial"/>
        </w:rPr>
        <w:t>of</w:t>
      </w:r>
      <w:r w:rsidRPr="00A46F6A">
        <w:rPr>
          <w:rFonts w:ascii="Arial" w:hAnsi="Arial" w:cs="Arial"/>
        </w:rPr>
        <w:t xml:space="preserve"> </w:t>
      </w:r>
      <w:r w:rsidR="0008151E" w:rsidRPr="00A46F6A">
        <w:rPr>
          <w:rFonts w:ascii="Arial" w:hAnsi="Arial" w:cs="Arial"/>
        </w:rPr>
        <w:t>ex</w:t>
      </w:r>
      <w:r w:rsidR="002D0B62">
        <w:rPr>
          <w:rFonts w:ascii="Arial" w:hAnsi="Arial" w:cs="Arial"/>
        </w:rPr>
        <w:t>pression of PD-L1 with survival</w:t>
      </w:r>
      <w:r w:rsidR="00A46F6A" w:rsidRPr="00A46F6A">
        <w:rPr>
          <w:rFonts w:ascii="Arial" w:hAnsi="Arial" w:cs="Arial"/>
        </w:rPr>
        <w:t>.</w:t>
      </w:r>
    </w:p>
    <w:p w:rsidR="00A46F6A" w:rsidRPr="002D0B62" w:rsidRDefault="00A46F6A" w:rsidP="002D0B62">
      <w:pPr>
        <w:spacing w:line="480" w:lineRule="auto"/>
        <w:jc w:val="both"/>
        <w:rPr>
          <w:rFonts w:ascii="Arial" w:hAnsi="Arial" w:cs="Arial"/>
          <w:u w:val="single"/>
        </w:rPr>
      </w:pPr>
      <w:proofErr w:type="gramStart"/>
      <w:r w:rsidRPr="002D0B62">
        <w:rPr>
          <w:rFonts w:ascii="Arial" w:hAnsi="Arial" w:cs="Arial"/>
          <w:u w:val="single"/>
        </w:rPr>
        <w:t xml:space="preserve">Supplemental Figure </w:t>
      </w:r>
      <w:r w:rsidRPr="002D0B62">
        <w:rPr>
          <w:rFonts w:ascii="Arial" w:hAnsi="Arial" w:cs="Arial"/>
          <w:u w:val="single"/>
        </w:rPr>
        <w:t>6</w:t>
      </w:r>
      <w:r w:rsidRPr="002D0B62">
        <w:rPr>
          <w:rFonts w:ascii="Arial" w:hAnsi="Arial" w:cs="Arial"/>
          <w:u w:val="single"/>
        </w:rPr>
        <w:t>.</w:t>
      </w:r>
      <w:proofErr w:type="gramEnd"/>
      <w:r w:rsidRPr="002D0B62">
        <w:rPr>
          <w:rFonts w:ascii="Arial" w:hAnsi="Arial" w:cs="Arial"/>
          <w:u w:val="single"/>
        </w:rPr>
        <w:t xml:space="preserve">  </w:t>
      </w:r>
      <w:proofErr w:type="gramStart"/>
      <w:r w:rsidRPr="002D0B62">
        <w:rPr>
          <w:rFonts w:ascii="Arial" w:hAnsi="Arial" w:cs="Arial"/>
          <w:u w:val="single"/>
        </w:rPr>
        <w:t xml:space="preserve">Correlation of </w:t>
      </w:r>
      <w:r w:rsidRPr="002D0B62">
        <w:rPr>
          <w:rFonts w:ascii="Arial" w:hAnsi="Arial" w:cs="Arial"/>
          <w:u w:val="single"/>
        </w:rPr>
        <w:t xml:space="preserve">the mRNA </w:t>
      </w:r>
      <w:proofErr w:type="spellStart"/>
      <w:r w:rsidRPr="002D0B62">
        <w:rPr>
          <w:rFonts w:ascii="Arial" w:hAnsi="Arial" w:cs="Arial"/>
          <w:u w:val="single"/>
        </w:rPr>
        <w:t>immunoscore</w:t>
      </w:r>
      <w:proofErr w:type="spellEnd"/>
      <w:r w:rsidRPr="002D0B62">
        <w:rPr>
          <w:rFonts w:ascii="Arial" w:hAnsi="Arial" w:cs="Arial"/>
          <w:u w:val="single"/>
        </w:rPr>
        <w:t xml:space="preserve"> with survival.</w:t>
      </w:r>
      <w:proofErr w:type="gramEnd"/>
    </w:p>
    <w:p w:rsidR="0008151E" w:rsidRPr="00A46F6A" w:rsidRDefault="00A46F6A" w:rsidP="00A46F6A">
      <w:pPr>
        <w:spacing w:line="480" w:lineRule="auto"/>
        <w:jc w:val="both"/>
        <w:rPr>
          <w:rFonts w:ascii="Arial" w:hAnsi="Arial" w:cs="Arial"/>
        </w:rPr>
      </w:pPr>
      <w:r w:rsidRPr="00A46F6A">
        <w:rPr>
          <w:rFonts w:ascii="Arial" w:hAnsi="Arial" w:cs="Arial"/>
        </w:rPr>
        <w:t>Biopsy s</w:t>
      </w:r>
      <w:r w:rsidR="0008151E" w:rsidRPr="00A46F6A">
        <w:rPr>
          <w:rFonts w:ascii="Arial" w:hAnsi="Arial" w:cs="Arial"/>
        </w:rPr>
        <w:t xml:space="preserve">lides were also used to produce RNA that was interrogated for 600 immune response-related genes using </w:t>
      </w:r>
      <w:proofErr w:type="spellStart"/>
      <w:r w:rsidR="0008151E" w:rsidRPr="00A46F6A">
        <w:rPr>
          <w:rFonts w:ascii="Arial" w:hAnsi="Arial" w:cs="Arial"/>
        </w:rPr>
        <w:t>Nanostring</w:t>
      </w:r>
      <w:proofErr w:type="spellEnd"/>
      <w:r w:rsidR="0008151E" w:rsidRPr="00A46F6A">
        <w:rPr>
          <w:rFonts w:ascii="Arial" w:hAnsi="Arial" w:cs="Arial"/>
        </w:rPr>
        <w:t>® technology.  We had information on 27 of the 61 PCR-validated genes from a recently published immune response gene signature</w:t>
      </w:r>
      <w:r w:rsidRPr="00A46F6A">
        <w:rPr>
          <w:rFonts w:ascii="Arial" w:hAnsi="Arial" w:cs="Arial"/>
        </w:rPr>
        <w:t xml:space="preserve"> which were </w:t>
      </w:r>
      <w:r w:rsidR="0008151E" w:rsidRPr="00A46F6A">
        <w:rPr>
          <w:rFonts w:ascii="Arial" w:hAnsi="Arial" w:cs="Arial"/>
        </w:rPr>
        <w:t xml:space="preserve"> markers are primarily T cell and interferon-induced genes (see </w:t>
      </w:r>
      <w:r w:rsidR="0008151E" w:rsidRPr="00A46F6A">
        <w:rPr>
          <w:rFonts w:ascii="Arial" w:hAnsi="Arial" w:cs="Arial"/>
          <w:b/>
        </w:rPr>
        <w:t>Supplemental Table 4</w:t>
      </w:r>
      <w:r w:rsidR="0008151E" w:rsidRPr="00A46F6A">
        <w:rPr>
          <w:rFonts w:ascii="Arial" w:hAnsi="Arial" w:cs="Arial"/>
        </w:rPr>
        <w:t>).  When the MPM specimens were ranked for intensity of expression of these genes</w:t>
      </w:r>
      <w:r w:rsidRPr="00A46F6A">
        <w:rPr>
          <w:rFonts w:ascii="Arial" w:hAnsi="Arial" w:cs="Arial"/>
        </w:rPr>
        <w:t xml:space="preserve"> (using the median </w:t>
      </w:r>
      <w:r w:rsidRPr="00A46F6A">
        <w:rPr>
          <w:rFonts w:ascii="Arial" w:hAnsi="Arial" w:cs="Arial"/>
        </w:rPr>
        <w:lastRenderedPageBreak/>
        <w:t>score as a cut-off)</w:t>
      </w:r>
      <w:r w:rsidR="0008151E" w:rsidRPr="00A46F6A">
        <w:rPr>
          <w:rFonts w:ascii="Arial" w:hAnsi="Arial" w:cs="Arial"/>
        </w:rPr>
        <w:t xml:space="preserve">, there was no significant </w:t>
      </w:r>
      <w:r w:rsidRPr="00A46F6A">
        <w:rPr>
          <w:rFonts w:ascii="Arial" w:hAnsi="Arial" w:cs="Arial"/>
        </w:rPr>
        <w:t>correlation with survival in all patients (left panel) or just the epithelial patients (right panel)</w:t>
      </w:r>
      <w:r w:rsidR="0008151E" w:rsidRPr="00A46F6A">
        <w:rPr>
          <w:rFonts w:ascii="Arial" w:hAnsi="Arial" w:cs="Arial"/>
        </w:rPr>
        <w:t xml:space="preserve">. </w:t>
      </w:r>
    </w:p>
    <w:p w:rsidR="0008151E" w:rsidRDefault="0008151E"/>
    <w:sectPr w:rsidR="0008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1E"/>
    <w:rsid w:val="0008151E"/>
    <w:rsid w:val="002D0B62"/>
    <w:rsid w:val="002E3A5F"/>
    <w:rsid w:val="00A46F6A"/>
    <w:rsid w:val="00AC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Albelda</dc:creator>
  <cp:keywords/>
  <dc:description/>
  <cp:lastModifiedBy>Steven Albelda</cp:lastModifiedBy>
  <cp:revision>1</cp:revision>
  <dcterms:created xsi:type="dcterms:W3CDTF">2016-01-14T20:58:00Z</dcterms:created>
  <dcterms:modified xsi:type="dcterms:W3CDTF">2016-01-14T21:32:00Z</dcterms:modified>
</cp:coreProperties>
</file>