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82B8F" w14:textId="26F5D787" w:rsidR="000F5884" w:rsidRPr="0019790B" w:rsidRDefault="008B3BB3" w:rsidP="00454EF5">
      <w:pPr>
        <w:spacing w:line="480" w:lineRule="auto"/>
        <w:rPr>
          <w:rFonts w:ascii="Times New Roman" w:hAnsi="Times New Roman" w:cs="Times New Roman"/>
          <w:b/>
          <w:sz w:val="24"/>
          <w:lang w:val="en-US"/>
        </w:rPr>
      </w:pPr>
      <w:r w:rsidRPr="0019790B">
        <w:rPr>
          <w:rFonts w:ascii="Times New Roman" w:hAnsi="Times New Roman" w:cs="Times New Roman"/>
          <w:b/>
          <w:sz w:val="24"/>
          <w:lang w:val="en-US"/>
        </w:rPr>
        <w:t xml:space="preserve">Supplementary Figures </w:t>
      </w:r>
      <w:r w:rsidR="00613AC2">
        <w:rPr>
          <w:rFonts w:ascii="Times New Roman" w:hAnsi="Times New Roman" w:cs="Times New Roman"/>
          <w:b/>
          <w:sz w:val="24"/>
          <w:lang w:val="en-US"/>
        </w:rPr>
        <w:t>and T</w:t>
      </w:r>
      <w:r w:rsidR="00F53E13">
        <w:rPr>
          <w:rFonts w:ascii="Times New Roman" w:hAnsi="Times New Roman" w:cs="Times New Roman"/>
          <w:b/>
          <w:sz w:val="24"/>
          <w:lang w:val="en-US"/>
        </w:rPr>
        <w:t>able</w:t>
      </w:r>
    </w:p>
    <w:p w14:paraId="3683C051" w14:textId="668A9EEA" w:rsidR="00EE2F60" w:rsidRPr="00EE2F60" w:rsidRDefault="00EE2F60" w:rsidP="00EE2F60">
      <w:pPr>
        <w:spacing w:line="480" w:lineRule="auto"/>
      </w:pPr>
      <w:bookmarkStart w:id="0" w:name="_GoBack"/>
      <w:bookmarkEnd w:id="0"/>
    </w:p>
    <w:p w14:paraId="7775A715" w14:textId="532C9F77" w:rsidR="00EE2F60" w:rsidRPr="00002EE2" w:rsidRDefault="00EE7D48" w:rsidP="003A44BD">
      <w:pPr>
        <w:spacing w:after="0" w:line="480" w:lineRule="auto"/>
        <w:rPr>
          <w:rFonts w:ascii="Times New Roman" w:hAnsi="Times New Roman" w:cs="Times New Roman"/>
          <w:b/>
          <w:sz w:val="24"/>
          <w:szCs w:val="24"/>
          <w:lang w:val="en-US"/>
        </w:rPr>
      </w:pPr>
      <w:r>
        <w:rPr>
          <w:noProof/>
          <w:lang w:val="en-US"/>
        </w:rPr>
        <w:drawing>
          <wp:inline distT="0" distB="0" distL="0" distR="0" wp14:anchorId="71EE8014" wp14:editId="69701BA5">
            <wp:extent cx="8182812" cy="4106174"/>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8654" cy="4109105"/>
                    </a:xfrm>
                    <a:prstGeom prst="rect">
                      <a:avLst/>
                    </a:prstGeom>
                    <a:noFill/>
                    <a:ln>
                      <a:noFill/>
                    </a:ln>
                    <a:effectLst/>
                    <a:extLst/>
                  </pic:spPr>
                </pic:pic>
              </a:graphicData>
            </a:graphic>
          </wp:inline>
        </w:drawing>
      </w:r>
    </w:p>
    <w:p w14:paraId="6EFF6659" w14:textId="77777777" w:rsidR="00EE2F60" w:rsidRDefault="00EE2F60" w:rsidP="00454EF5">
      <w:pPr>
        <w:spacing w:after="0" w:line="480" w:lineRule="auto"/>
        <w:rPr>
          <w:rFonts w:ascii="Times New Roman" w:hAnsi="Times New Roman" w:cs="Times New Roman"/>
          <w:b/>
          <w:sz w:val="24"/>
          <w:szCs w:val="24"/>
          <w:lang w:val="en-US"/>
        </w:rPr>
      </w:pPr>
    </w:p>
    <w:p w14:paraId="2AD2F2F3" w14:textId="77777777" w:rsidR="00EE2F60" w:rsidRDefault="00EE2F60" w:rsidP="00454EF5">
      <w:pPr>
        <w:spacing w:after="0" w:line="480" w:lineRule="auto"/>
        <w:rPr>
          <w:rFonts w:ascii="Times New Roman" w:hAnsi="Times New Roman" w:cs="Times New Roman"/>
          <w:b/>
          <w:sz w:val="24"/>
          <w:szCs w:val="24"/>
          <w:lang w:val="en-US"/>
        </w:rPr>
      </w:pPr>
    </w:p>
    <w:p w14:paraId="18C0811A" w14:textId="77777777" w:rsidR="0019790B" w:rsidRDefault="0019790B" w:rsidP="00454EF5">
      <w:pPr>
        <w:spacing w:after="0" w:line="480" w:lineRule="auto"/>
        <w:rPr>
          <w:rFonts w:ascii="Times New Roman" w:hAnsi="Times New Roman" w:cs="Times New Roman"/>
          <w:b/>
          <w:sz w:val="24"/>
          <w:szCs w:val="24"/>
          <w:lang w:val="en-US"/>
        </w:rPr>
      </w:pPr>
    </w:p>
    <w:p w14:paraId="55D10418" w14:textId="159EE98B" w:rsidR="000F5884" w:rsidRPr="00002EE2" w:rsidRDefault="000F5884" w:rsidP="00454EF5">
      <w:pPr>
        <w:spacing w:after="0" w:line="480" w:lineRule="auto"/>
        <w:rPr>
          <w:rFonts w:ascii="Times New Roman" w:hAnsi="Times New Roman" w:cs="Times New Roman"/>
          <w:b/>
          <w:sz w:val="24"/>
          <w:szCs w:val="24"/>
          <w:lang w:val="en-US"/>
        </w:rPr>
      </w:pPr>
      <w:proofErr w:type="gramStart"/>
      <w:r w:rsidRPr="00002EE2">
        <w:rPr>
          <w:rFonts w:ascii="Times New Roman" w:hAnsi="Times New Roman" w:cs="Times New Roman"/>
          <w:b/>
          <w:sz w:val="24"/>
          <w:szCs w:val="24"/>
          <w:lang w:val="en-US"/>
        </w:rPr>
        <w:t xml:space="preserve">Supplementary Figure </w:t>
      </w:r>
      <w:r w:rsidR="006C4D00">
        <w:rPr>
          <w:rFonts w:ascii="Times New Roman" w:hAnsi="Times New Roman" w:cs="Times New Roman"/>
          <w:b/>
          <w:sz w:val="24"/>
          <w:szCs w:val="24"/>
          <w:lang w:val="en-US"/>
        </w:rPr>
        <w:t>S</w:t>
      </w:r>
      <w:r w:rsidRPr="00002EE2">
        <w:rPr>
          <w:rFonts w:ascii="Times New Roman" w:hAnsi="Times New Roman" w:cs="Times New Roman"/>
          <w:b/>
          <w:sz w:val="24"/>
          <w:szCs w:val="24"/>
          <w:lang w:val="en-US"/>
        </w:rPr>
        <w:t>1.</w:t>
      </w:r>
      <w:proofErr w:type="gramEnd"/>
      <w:r w:rsidRPr="00002EE2">
        <w:rPr>
          <w:rFonts w:ascii="Times New Roman" w:hAnsi="Times New Roman" w:cs="Times New Roman"/>
          <w:b/>
          <w:sz w:val="24"/>
          <w:szCs w:val="24"/>
          <w:lang w:val="en-US"/>
        </w:rPr>
        <w:t xml:space="preserve"> Treatment and monitoring schedule</w:t>
      </w:r>
    </w:p>
    <w:p w14:paraId="4E96ED00" w14:textId="77777777" w:rsidR="000F5884" w:rsidRPr="00002EE2" w:rsidRDefault="000F5884" w:rsidP="00454EF5">
      <w:pPr>
        <w:spacing w:after="0" w:line="480" w:lineRule="auto"/>
        <w:rPr>
          <w:rFonts w:ascii="Times New Roman" w:hAnsi="Times New Roman" w:cs="Times New Roman"/>
          <w:sz w:val="24"/>
          <w:szCs w:val="24"/>
          <w:lang w:val="en-US"/>
        </w:rPr>
      </w:pPr>
      <w:r w:rsidRPr="00002EE2">
        <w:rPr>
          <w:rFonts w:ascii="Times New Roman" w:hAnsi="Times New Roman" w:cs="Times New Roman"/>
          <w:sz w:val="24"/>
          <w:szCs w:val="24"/>
          <w:lang w:val="en-US"/>
        </w:rPr>
        <w:t>Step 1: Suitable tumor lesions are resected and transferred to the laboratory under sterile conditions.</w:t>
      </w:r>
    </w:p>
    <w:p w14:paraId="0F0F0281" w14:textId="77777777" w:rsidR="000F5884" w:rsidRPr="00002EE2" w:rsidRDefault="000F5884" w:rsidP="00454EF5">
      <w:pPr>
        <w:spacing w:after="0" w:line="480" w:lineRule="auto"/>
        <w:rPr>
          <w:rFonts w:ascii="Times New Roman" w:hAnsi="Times New Roman" w:cs="Times New Roman"/>
          <w:sz w:val="24"/>
          <w:szCs w:val="24"/>
          <w:lang w:val="en-US"/>
        </w:rPr>
      </w:pPr>
      <w:r w:rsidRPr="00002EE2">
        <w:rPr>
          <w:rFonts w:ascii="Times New Roman" w:hAnsi="Times New Roman" w:cs="Times New Roman"/>
          <w:sz w:val="24"/>
          <w:szCs w:val="24"/>
          <w:lang w:val="en-US"/>
        </w:rPr>
        <w:t xml:space="preserve">In a tissue culture hood, tumors are cut into small </w:t>
      </w:r>
      <w:r w:rsidR="00002EE2">
        <w:rPr>
          <w:rFonts w:ascii="Times New Roman" w:hAnsi="Times New Roman" w:cs="Times New Roman"/>
          <w:sz w:val="24"/>
          <w:szCs w:val="24"/>
          <w:lang w:val="en-US"/>
        </w:rPr>
        <w:t>1-3 mm</w:t>
      </w:r>
      <w:r w:rsidR="00002EE2" w:rsidRPr="00002EE2">
        <w:rPr>
          <w:rFonts w:ascii="Times New Roman" w:hAnsi="Times New Roman" w:cs="Times New Roman"/>
          <w:sz w:val="24"/>
          <w:szCs w:val="24"/>
          <w:vertAlign w:val="superscript"/>
          <w:lang w:val="en-US"/>
        </w:rPr>
        <w:t>3</w:t>
      </w:r>
      <w:r w:rsidR="00002EE2">
        <w:rPr>
          <w:rFonts w:ascii="Times New Roman" w:hAnsi="Times New Roman" w:cs="Times New Roman"/>
          <w:sz w:val="24"/>
          <w:szCs w:val="24"/>
          <w:lang w:val="en-US"/>
        </w:rPr>
        <w:t xml:space="preserve"> </w:t>
      </w:r>
      <w:r w:rsidRPr="00002EE2">
        <w:rPr>
          <w:rFonts w:ascii="Times New Roman" w:hAnsi="Times New Roman" w:cs="Times New Roman"/>
          <w:sz w:val="24"/>
          <w:szCs w:val="24"/>
          <w:lang w:val="en-US"/>
        </w:rPr>
        <w:t>fragments and placed in culture plates with growth medium and IL-2. TILs are initially expanded for 2 to 4 weeks during the Pr</w:t>
      </w:r>
      <w:r w:rsidR="00002EE2">
        <w:rPr>
          <w:rFonts w:ascii="Times New Roman" w:hAnsi="Times New Roman" w:cs="Times New Roman"/>
          <w:sz w:val="24"/>
          <w:szCs w:val="24"/>
          <w:lang w:val="en-US"/>
        </w:rPr>
        <w:t>e-REP phase until at least 50x10</w:t>
      </w:r>
      <w:r w:rsidR="00002EE2" w:rsidRPr="00002EE2">
        <w:rPr>
          <w:rFonts w:ascii="Times New Roman" w:hAnsi="Times New Roman" w:cs="Times New Roman"/>
          <w:sz w:val="24"/>
          <w:szCs w:val="24"/>
          <w:vertAlign w:val="superscript"/>
          <w:lang w:val="en-US"/>
        </w:rPr>
        <w:t>6</w:t>
      </w:r>
      <w:r w:rsidR="00002EE2">
        <w:rPr>
          <w:rFonts w:ascii="Times New Roman" w:hAnsi="Times New Roman" w:cs="Times New Roman"/>
          <w:sz w:val="24"/>
          <w:szCs w:val="24"/>
          <w:lang w:val="en-US"/>
        </w:rPr>
        <w:t xml:space="preserve"> </w:t>
      </w:r>
      <w:r w:rsidRPr="00002EE2">
        <w:rPr>
          <w:rFonts w:ascii="Times New Roman" w:hAnsi="Times New Roman" w:cs="Times New Roman"/>
          <w:sz w:val="24"/>
          <w:szCs w:val="24"/>
          <w:lang w:val="en-US"/>
        </w:rPr>
        <w:t xml:space="preserve">cells are reached. At this stage, the cells can be cryopreserved for future use or entered directly into the two-week Rapid Expansion Protocol (REP). </w:t>
      </w:r>
    </w:p>
    <w:p w14:paraId="4DDFB8BF" w14:textId="02F8711E" w:rsidR="000F5884" w:rsidRPr="00002EE2" w:rsidRDefault="000F5884" w:rsidP="00454EF5">
      <w:pPr>
        <w:spacing w:after="0" w:line="480" w:lineRule="auto"/>
        <w:rPr>
          <w:rFonts w:ascii="Times New Roman" w:hAnsi="Times New Roman" w:cs="Times New Roman"/>
          <w:sz w:val="24"/>
          <w:szCs w:val="24"/>
          <w:lang w:val="en-US"/>
        </w:rPr>
      </w:pPr>
      <w:r w:rsidRPr="00002EE2">
        <w:rPr>
          <w:rFonts w:ascii="Times New Roman" w:hAnsi="Times New Roman" w:cs="Times New Roman"/>
          <w:sz w:val="24"/>
          <w:szCs w:val="24"/>
          <w:lang w:val="en-US"/>
        </w:rPr>
        <w:t xml:space="preserve">Step 2: The cells are expanded in the REP with anti-CD3 antibodies, allogeneic irradiated feeder PBMCs and IL-2. Before TIL infusion the patients are treated in-hospital with a 7-days preparative regimen using cyclophosphamide and </w:t>
      </w:r>
      <w:proofErr w:type="spellStart"/>
      <w:r w:rsidRPr="00002EE2">
        <w:rPr>
          <w:rFonts w:ascii="Times New Roman" w:hAnsi="Times New Roman" w:cs="Times New Roman"/>
          <w:sz w:val="24"/>
          <w:szCs w:val="24"/>
          <w:lang w:val="en-US"/>
        </w:rPr>
        <w:t>fludarabine</w:t>
      </w:r>
      <w:proofErr w:type="spellEnd"/>
      <w:r w:rsidRPr="00002EE2">
        <w:rPr>
          <w:rFonts w:ascii="Times New Roman" w:hAnsi="Times New Roman" w:cs="Times New Roman"/>
          <w:sz w:val="24"/>
          <w:szCs w:val="24"/>
          <w:lang w:val="en-US"/>
        </w:rPr>
        <w:t xml:space="preserve"> that transiently depletes host lymphocytes, ”making room” for the infused TILs and removing cytokine sinks and regulatory T cells to facilitate TIL persistence. </w:t>
      </w:r>
      <w:proofErr w:type="gramStart"/>
      <w:r w:rsidRPr="00002EE2">
        <w:rPr>
          <w:rFonts w:ascii="Times New Roman" w:hAnsi="Times New Roman" w:cs="Times New Roman"/>
          <w:sz w:val="24"/>
          <w:szCs w:val="24"/>
          <w:lang w:val="en-US"/>
        </w:rPr>
        <w:t xml:space="preserve">TIL infusion is followed by administration of IL-2 </w:t>
      </w:r>
      <w:r w:rsidR="00AA4968">
        <w:rPr>
          <w:rFonts w:ascii="Times New Roman" w:hAnsi="Times New Roman" w:cs="Times New Roman"/>
          <w:sz w:val="24"/>
          <w:szCs w:val="24"/>
          <w:lang w:val="en-US"/>
        </w:rPr>
        <w:t>according to the</w:t>
      </w:r>
      <w:r w:rsidRPr="00002EE2">
        <w:rPr>
          <w:rFonts w:ascii="Times New Roman" w:hAnsi="Times New Roman" w:cs="Times New Roman"/>
          <w:sz w:val="24"/>
          <w:szCs w:val="24"/>
          <w:lang w:val="en-US"/>
        </w:rPr>
        <w:t xml:space="preserve"> decrescendo-regimen.</w:t>
      </w:r>
      <w:proofErr w:type="gramEnd"/>
    </w:p>
    <w:p w14:paraId="1ABF65D5" w14:textId="10184196" w:rsidR="000F5884" w:rsidRDefault="00055043" w:rsidP="00454EF5">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000F5884" w:rsidRPr="00002EE2">
        <w:rPr>
          <w:rFonts w:ascii="Times New Roman" w:hAnsi="Times New Roman" w:cs="Times New Roman"/>
          <w:sz w:val="24"/>
          <w:szCs w:val="24"/>
          <w:lang w:val="en-US"/>
        </w:rPr>
        <w:t xml:space="preserve">atients are hospitalized </w:t>
      </w:r>
      <w:r>
        <w:rPr>
          <w:rFonts w:ascii="Times New Roman" w:hAnsi="Times New Roman" w:cs="Times New Roman"/>
          <w:sz w:val="24"/>
          <w:szCs w:val="24"/>
          <w:lang w:val="en-US"/>
        </w:rPr>
        <w:t xml:space="preserve">for </w:t>
      </w:r>
      <w:r w:rsidR="00AA4968" w:rsidRPr="00002EE2">
        <w:rPr>
          <w:rFonts w:ascii="Times New Roman" w:hAnsi="Times New Roman" w:cs="Times New Roman"/>
          <w:sz w:val="24"/>
          <w:szCs w:val="24"/>
          <w:lang w:val="en-US"/>
        </w:rPr>
        <w:t>a</w:t>
      </w:r>
      <w:r w:rsidR="00AA4968">
        <w:rPr>
          <w:rFonts w:ascii="Times New Roman" w:hAnsi="Times New Roman" w:cs="Times New Roman"/>
          <w:sz w:val="24"/>
          <w:szCs w:val="24"/>
          <w:lang w:val="en-US"/>
        </w:rPr>
        <w:t>pproximately</w:t>
      </w:r>
      <w:r w:rsidR="00AA4968" w:rsidRPr="00002EE2">
        <w:rPr>
          <w:rFonts w:ascii="Times New Roman" w:hAnsi="Times New Roman" w:cs="Times New Roman"/>
          <w:sz w:val="24"/>
          <w:szCs w:val="24"/>
          <w:lang w:val="en-US"/>
        </w:rPr>
        <w:t xml:space="preserve"> </w:t>
      </w:r>
      <w:r w:rsidR="000F5884" w:rsidRPr="00002EE2">
        <w:rPr>
          <w:rFonts w:ascii="Times New Roman" w:hAnsi="Times New Roman" w:cs="Times New Roman"/>
          <w:sz w:val="24"/>
          <w:szCs w:val="24"/>
          <w:lang w:val="en-US"/>
        </w:rPr>
        <w:t xml:space="preserve">3 weeks. Imaging evaluations with PET/CT scans are performed </w:t>
      </w:r>
      <w:r w:rsidR="00AA4968">
        <w:rPr>
          <w:rFonts w:ascii="Times New Roman" w:hAnsi="Times New Roman" w:cs="Times New Roman"/>
          <w:sz w:val="24"/>
          <w:szCs w:val="24"/>
          <w:lang w:val="en-US"/>
        </w:rPr>
        <w:t xml:space="preserve">shortly </w:t>
      </w:r>
      <w:r w:rsidR="000F5884" w:rsidRPr="00002EE2">
        <w:rPr>
          <w:rFonts w:ascii="Times New Roman" w:hAnsi="Times New Roman" w:cs="Times New Roman"/>
          <w:sz w:val="24"/>
          <w:szCs w:val="24"/>
          <w:lang w:val="en-US"/>
        </w:rPr>
        <w:t xml:space="preserve">before treatment (baseline) and at regular intervals after treatment. Blood samples to investigate blood lymphocytes are drawn before treatment, 1, 4 and 8 weeks after treatment and thereafter whenever the patients are evaluated for clinical response. </w:t>
      </w:r>
    </w:p>
    <w:p w14:paraId="4F8CAA7C" w14:textId="77777777" w:rsidR="00EE7D48" w:rsidRDefault="00EE7D48" w:rsidP="00454EF5">
      <w:pPr>
        <w:spacing w:after="0" w:line="480" w:lineRule="auto"/>
        <w:rPr>
          <w:rFonts w:ascii="Times New Roman" w:hAnsi="Times New Roman" w:cs="Times New Roman"/>
          <w:sz w:val="24"/>
          <w:szCs w:val="24"/>
          <w:lang w:val="en-US"/>
        </w:rPr>
      </w:pPr>
    </w:p>
    <w:p w14:paraId="46D059E1" w14:textId="77777777" w:rsidR="00454EF5" w:rsidRDefault="00454EF5" w:rsidP="00454EF5">
      <w:pPr>
        <w:spacing w:after="0" w:line="480" w:lineRule="auto"/>
        <w:rPr>
          <w:rFonts w:ascii="Times New Roman" w:hAnsi="Times New Roman" w:cs="Times New Roman"/>
          <w:sz w:val="24"/>
          <w:szCs w:val="24"/>
          <w:lang w:val="en-US"/>
        </w:rPr>
      </w:pPr>
    </w:p>
    <w:p w14:paraId="4214EBF9" w14:textId="77777777" w:rsidR="00454EF5" w:rsidRDefault="00454EF5" w:rsidP="00454EF5">
      <w:pPr>
        <w:spacing w:after="0" w:line="480" w:lineRule="auto"/>
        <w:rPr>
          <w:rFonts w:ascii="Times New Roman" w:hAnsi="Times New Roman" w:cs="Times New Roman"/>
          <w:sz w:val="24"/>
          <w:szCs w:val="24"/>
          <w:lang w:val="en-US"/>
        </w:rPr>
      </w:pPr>
    </w:p>
    <w:p w14:paraId="37AD8420" w14:textId="77777777" w:rsidR="00454EF5" w:rsidRDefault="00454EF5" w:rsidP="00454EF5">
      <w:pPr>
        <w:spacing w:after="0" w:line="480" w:lineRule="auto"/>
        <w:rPr>
          <w:rFonts w:ascii="Times New Roman" w:hAnsi="Times New Roman" w:cs="Times New Roman"/>
          <w:sz w:val="24"/>
          <w:szCs w:val="24"/>
          <w:lang w:val="en-US"/>
        </w:rPr>
      </w:pPr>
    </w:p>
    <w:p w14:paraId="3E12FEC4" w14:textId="77777777" w:rsidR="0019790B" w:rsidRDefault="0019790B" w:rsidP="00454EF5">
      <w:pPr>
        <w:spacing w:after="0" w:line="480" w:lineRule="auto"/>
        <w:rPr>
          <w:rFonts w:ascii="Times New Roman" w:hAnsi="Times New Roman" w:cs="Times New Roman"/>
          <w:sz w:val="24"/>
          <w:szCs w:val="24"/>
          <w:lang w:val="en-US"/>
        </w:rPr>
        <w:sectPr w:rsidR="0019790B" w:rsidSect="0019790B">
          <w:footerReference w:type="default" r:id="rId9"/>
          <w:pgSz w:w="16838" w:h="11906" w:orient="landscape"/>
          <w:pgMar w:top="1134" w:right="1701" w:bottom="1134" w:left="1701" w:header="708" w:footer="708" w:gutter="0"/>
          <w:cols w:space="708"/>
          <w:docGrid w:linePitch="360"/>
        </w:sectPr>
      </w:pPr>
    </w:p>
    <w:p w14:paraId="3BB26C2E" w14:textId="77777777" w:rsidR="000F5884" w:rsidRPr="0052253D" w:rsidRDefault="000F5884" w:rsidP="00454EF5">
      <w:pPr>
        <w:spacing w:after="0" w:line="480" w:lineRule="auto"/>
        <w:rPr>
          <w:rFonts w:ascii="Times New Roman" w:hAnsi="Times New Roman" w:cs="Times New Roman"/>
          <w:lang w:val="en-US"/>
        </w:rPr>
      </w:pPr>
    </w:p>
    <w:p w14:paraId="46ECE558" w14:textId="5F3BF28B" w:rsidR="000F5884" w:rsidRDefault="00EE2F60" w:rsidP="003A44BD">
      <w:pPr>
        <w:spacing w:line="480" w:lineRule="auto"/>
        <w:jc w:val="center"/>
        <w:rPr>
          <w:noProof/>
          <w:lang w:eastAsia="da-DK"/>
        </w:rPr>
      </w:pPr>
      <w:r>
        <w:rPr>
          <w:noProof/>
          <w:lang w:val="en-US"/>
        </w:rPr>
        <w:drawing>
          <wp:inline distT="0" distB="0" distL="0" distR="0" wp14:anchorId="7801098C" wp14:editId="6FC58F5B">
            <wp:extent cx="5132717" cy="387020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230" cy="3879638"/>
                    </a:xfrm>
                    <a:prstGeom prst="rect">
                      <a:avLst/>
                    </a:prstGeom>
                    <a:noFill/>
                  </pic:spPr>
                </pic:pic>
              </a:graphicData>
            </a:graphic>
          </wp:inline>
        </w:drawing>
      </w:r>
    </w:p>
    <w:p w14:paraId="0927497F" w14:textId="77777777" w:rsidR="000F5884" w:rsidRDefault="000F5884" w:rsidP="00454EF5">
      <w:pPr>
        <w:pStyle w:val="NormalWeb"/>
        <w:spacing w:before="0" w:beforeAutospacing="0" w:after="0" w:afterAutospacing="0" w:line="480" w:lineRule="auto"/>
        <w:rPr>
          <w:rFonts w:eastAsiaTheme="minorEastAsia"/>
          <w:b/>
          <w:bCs/>
          <w:color w:val="000000" w:themeColor="text1"/>
          <w:kern w:val="24"/>
          <w:lang w:val="en-US"/>
        </w:rPr>
      </w:pPr>
    </w:p>
    <w:p w14:paraId="433B4F86" w14:textId="0C724387" w:rsidR="000F5884" w:rsidRPr="0019790B" w:rsidRDefault="000F5884" w:rsidP="00454EF5">
      <w:pPr>
        <w:pStyle w:val="NormalWeb"/>
        <w:spacing w:before="0" w:beforeAutospacing="0" w:after="0" w:afterAutospacing="0" w:line="480" w:lineRule="auto"/>
        <w:rPr>
          <w:rFonts w:eastAsiaTheme="minorEastAsia"/>
          <w:b/>
          <w:color w:val="000000" w:themeColor="text1"/>
          <w:kern w:val="24"/>
          <w:lang w:val="en-US"/>
        </w:rPr>
      </w:pPr>
      <w:proofErr w:type="gramStart"/>
      <w:r w:rsidRPr="0019790B">
        <w:rPr>
          <w:rFonts w:eastAsiaTheme="minorEastAsia"/>
          <w:b/>
          <w:bCs/>
          <w:color w:val="000000" w:themeColor="text1"/>
          <w:kern w:val="24"/>
          <w:lang w:val="en-US"/>
        </w:rPr>
        <w:t xml:space="preserve">Supplementary Figure </w:t>
      </w:r>
      <w:r w:rsidR="006C4D00" w:rsidRPr="0019790B">
        <w:rPr>
          <w:rFonts w:eastAsiaTheme="minorEastAsia"/>
          <w:b/>
          <w:bCs/>
          <w:color w:val="000000" w:themeColor="text1"/>
          <w:kern w:val="24"/>
          <w:lang w:val="en-US"/>
        </w:rPr>
        <w:t>S</w:t>
      </w:r>
      <w:r w:rsidRPr="0019790B">
        <w:rPr>
          <w:rFonts w:eastAsiaTheme="minorEastAsia"/>
          <w:b/>
          <w:bCs/>
          <w:color w:val="000000" w:themeColor="text1"/>
          <w:kern w:val="24"/>
          <w:lang w:val="en-US"/>
        </w:rPr>
        <w:t>2.</w:t>
      </w:r>
      <w:proofErr w:type="gramEnd"/>
      <w:r w:rsidRPr="0019790B">
        <w:rPr>
          <w:rFonts w:eastAsiaTheme="minorEastAsia"/>
          <w:b/>
          <w:bCs/>
          <w:color w:val="000000" w:themeColor="text1"/>
          <w:kern w:val="24"/>
          <w:lang w:val="en-US"/>
        </w:rPr>
        <w:t xml:space="preserve"> </w:t>
      </w:r>
      <w:proofErr w:type="gramStart"/>
      <w:r w:rsidRPr="0019790B">
        <w:rPr>
          <w:rFonts w:eastAsiaTheme="minorEastAsia"/>
          <w:b/>
          <w:color w:val="000000" w:themeColor="text1"/>
          <w:kern w:val="24"/>
          <w:lang w:val="en-US"/>
        </w:rPr>
        <w:t>Enrolled patients and number of dropouts.</w:t>
      </w:r>
      <w:proofErr w:type="gramEnd"/>
      <w:r w:rsidRPr="0019790B">
        <w:rPr>
          <w:rFonts w:eastAsiaTheme="minorEastAsia"/>
          <w:b/>
          <w:color w:val="000000" w:themeColor="text1"/>
          <w:kern w:val="24"/>
          <w:lang w:val="en-US"/>
        </w:rPr>
        <w:t xml:space="preserve"> </w:t>
      </w:r>
    </w:p>
    <w:p w14:paraId="55669EF8" w14:textId="77777777" w:rsidR="000F5884" w:rsidRPr="000F5884" w:rsidRDefault="000F5884" w:rsidP="00454EF5">
      <w:pPr>
        <w:pStyle w:val="NormalWeb"/>
        <w:spacing w:before="0" w:beforeAutospacing="0" w:after="0" w:afterAutospacing="0" w:line="480" w:lineRule="auto"/>
        <w:rPr>
          <w:lang w:val="en-US"/>
        </w:rPr>
      </w:pPr>
      <w:r w:rsidRPr="000F5884">
        <w:rPr>
          <w:rFonts w:eastAsiaTheme="minorEastAsia"/>
          <w:color w:val="000000" w:themeColor="text1"/>
          <w:kern w:val="24"/>
          <w:lang w:val="en-US"/>
        </w:rPr>
        <w:t>Abbreviations: tumor infiltrating lymphocytes, TIL; CNS, central nervous system.</w:t>
      </w:r>
    </w:p>
    <w:p w14:paraId="5CED8162" w14:textId="77777777" w:rsidR="000F5884" w:rsidRPr="000F5884" w:rsidRDefault="000F5884" w:rsidP="00454EF5">
      <w:pPr>
        <w:pStyle w:val="NormalWeb"/>
        <w:spacing w:before="0" w:beforeAutospacing="0" w:after="0" w:afterAutospacing="0" w:line="480" w:lineRule="auto"/>
        <w:rPr>
          <w:lang w:val="en-US"/>
        </w:rPr>
      </w:pPr>
      <w:r w:rsidRPr="000F5884">
        <w:rPr>
          <w:rFonts w:eastAsiaTheme="minorEastAsia"/>
          <w:color w:val="000000" w:themeColor="text1"/>
          <w:kern w:val="24"/>
          <w:lang w:val="en-US"/>
        </w:rPr>
        <w:t>The patients were enrolled in the protocol in a two-step enrolment process. Step 1 includes surgery and initial TIL expansion and possible cryopreservation of the cells and step 2 is enrolment for treatment.</w:t>
      </w:r>
    </w:p>
    <w:p w14:paraId="0FB5BC95" w14:textId="3778D868" w:rsidR="0019790B" w:rsidRDefault="000F5884" w:rsidP="00B110CD">
      <w:pPr>
        <w:pStyle w:val="NormalWeb"/>
        <w:spacing w:before="0" w:beforeAutospacing="0" w:after="0" w:afterAutospacing="0" w:line="480" w:lineRule="auto"/>
        <w:rPr>
          <w:lang w:val="en-US"/>
        </w:rPr>
        <w:sectPr w:rsidR="0019790B" w:rsidSect="0019790B">
          <w:pgSz w:w="11906" w:h="16838" w:code="9"/>
          <w:pgMar w:top="1701" w:right="1134" w:bottom="1701" w:left="1134" w:header="709" w:footer="709" w:gutter="0"/>
          <w:cols w:space="708"/>
          <w:docGrid w:linePitch="360"/>
        </w:sectPr>
      </w:pPr>
      <w:r w:rsidRPr="000F5884">
        <w:rPr>
          <w:rFonts w:eastAsiaTheme="minorEastAsia"/>
          <w:color w:val="000000" w:themeColor="text1"/>
          <w:kern w:val="24"/>
          <w:lang w:val="en-US"/>
        </w:rPr>
        <w:t>33 patients with metastatic melanoma were enrolled in the study in step 1. One patient was excluded due to unsuccessful TIL</w:t>
      </w:r>
      <w:r w:rsidR="00AA4968">
        <w:rPr>
          <w:rFonts w:eastAsiaTheme="minorEastAsia"/>
          <w:color w:val="000000" w:themeColor="text1"/>
          <w:kern w:val="24"/>
          <w:lang w:val="en-US"/>
        </w:rPr>
        <w:t xml:space="preserve"> culture generation</w:t>
      </w:r>
      <w:r w:rsidR="00AA4968" w:rsidRPr="000F5884">
        <w:rPr>
          <w:rFonts w:eastAsiaTheme="minorEastAsia"/>
          <w:color w:val="000000" w:themeColor="text1"/>
          <w:kern w:val="24"/>
          <w:lang w:val="en-US"/>
        </w:rPr>
        <w:t xml:space="preserve"> </w:t>
      </w:r>
      <w:r w:rsidRPr="000F5884">
        <w:rPr>
          <w:rFonts w:eastAsiaTheme="minorEastAsia"/>
          <w:color w:val="000000" w:themeColor="text1"/>
          <w:kern w:val="24"/>
          <w:lang w:val="en-US"/>
        </w:rPr>
        <w:t xml:space="preserve">and seven patients were excluded during TIL establishment due to clinical deterioration (n=4) or development of CNS metastases (n=3). 25 patients were included for treatment (step 2). In 11 of the 25 treated patients (44%) the TILs were cryopreserved prior to final expansion in the REP and time from surgery to TIL transfer ranged from 26-251 days. The two-step enrolment process allowed enrolment in step 1 with initial </w:t>
      </w:r>
      <w:r w:rsidRPr="000F5884">
        <w:rPr>
          <w:rFonts w:eastAsiaTheme="minorEastAsia"/>
          <w:color w:val="000000" w:themeColor="text1"/>
          <w:kern w:val="24"/>
          <w:lang w:val="en-US"/>
        </w:rPr>
        <w:lastRenderedPageBreak/>
        <w:t>manufacturing and cryopreservation of the TILs for patients not yet eligible for TIL transfer (e.g. patients that was not in RECIST progression after previous therapy). When these patients became eligible they were enrolled in step 2 and the TILs were thawed and expanded in the REP. The two-step enrolment process with optional TIL cryopreservation makes the treatment more flexible and may decrease patient drop-out due to deterioration of clinical performance</w:t>
      </w:r>
      <w:r w:rsidR="00AA4968">
        <w:rPr>
          <w:rFonts w:eastAsiaTheme="minorEastAsia"/>
          <w:color w:val="000000" w:themeColor="text1"/>
          <w:kern w:val="24"/>
          <w:lang w:val="en-US"/>
        </w:rPr>
        <w:t>, but increases</w:t>
      </w:r>
      <w:r w:rsidRPr="000F5884">
        <w:rPr>
          <w:rFonts w:eastAsiaTheme="minorEastAsia"/>
          <w:color w:val="000000" w:themeColor="text1"/>
          <w:kern w:val="24"/>
          <w:lang w:val="en-US"/>
        </w:rPr>
        <w:t xml:space="preserve"> </w:t>
      </w:r>
      <w:r w:rsidR="00AA4968">
        <w:rPr>
          <w:rFonts w:eastAsiaTheme="minorEastAsia"/>
          <w:color w:val="000000" w:themeColor="text1"/>
          <w:kern w:val="24"/>
          <w:lang w:val="en-US"/>
        </w:rPr>
        <w:t xml:space="preserve">the </w:t>
      </w:r>
      <w:r w:rsidRPr="000F5884">
        <w:rPr>
          <w:rFonts w:eastAsiaTheme="minorEastAsia"/>
          <w:color w:val="000000" w:themeColor="text1"/>
          <w:kern w:val="24"/>
          <w:lang w:val="en-US"/>
        </w:rPr>
        <w:t xml:space="preserve">number of patients </w:t>
      </w:r>
      <w:r w:rsidR="00AA4968">
        <w:rPr>
          <w:rFonts w:eastAsiaTheme="minorEastAsia"/>
          <w:color w:val="000000" w:themeColor="text1"/>
          <w:kern w:val="24"/>
          <w:lang w:val="en-US"/>
        </w:rPr>
        <w:t>who</w:t>
      </w:r>
      <w:r w:rsidRPr="000F5884">
        <w:rPr>
          <w:rFonts w:eastAsiaTheme="minorEastAsia"/>
          <w:color w:val="000000" w:themeColor="text1"/>
          <w:kern w:val="24"/>
          <w:lang w:val="en-US"/>
        </w:rPr>
        <w:t xml:space="preserve"> will never be el</w:t>
      </w:r>
      <w:r w:rsidR="007449B4">
        <w:rPr>
          <w:rFonts w:eastAsiaTheme="minorEastAsia"/>
          <w:color w:val="000000" w:themeColor="text1"/>
          <w:kern w:val="24"/>
          <w:lang w:val="en-US"/>
        </w:rPr>
        <w:t>igible for TIL transfer therapy.</w:t>
      </w:r>
    </w:p>
    <w:p w14:paraId="0469E23B" w14:textId="6EE28AA3" w:rsidR="0019790B" w:rsidRDefault="007449B4" w:rsidP="00454EF5">
      <w:pPr>
        <w:pStyle w:val="NormalWeb"/>
        <w:spacing w:before="0" w:beforeAutospacing="0" w:after="0" w:afterAutospacing="0" w:line="480" w:lineRule="auto"/>
        <w:rPr>
          <w:rFonts w:eastAsiaTheme="minorEastAsia"/>
          <w:b/>
          <w:bCs/>
          <w:color w:val="000000" w:themeColor="text1"/>
          <w:kern w:val="24"/>
          <w:lang w:val="en-US"/>
        </w:rPr>
        <w:sectPr w:rsidR="0019790B" w:rsidSect="0019790B">
          <w:pgSz w:w="16838" w:h="11906" w:orient="landscape" w:code="9"/>
          <w:pgMar w:top="1134" w:right="1701" w:bottom="1134" w:left="1701" w:header="709" w:footer="709" w:gutter="0"/>
          <w:cols w:space="708"/>
          <w:docGrid w:linePitch="360"/>
        </w:sectPr>
      </w:pPr>
      <w:r>
        <w:rPr>
          <w:rFonts w:eastAsiaTheme="minorEastAsia"/>
          <w:b/>
          <w:bCs/>
          <w:noProof/>
          <w:color w:val="000000" w:themeColor="text1"/>
          <w:kern w:val="24"/>
          <w:lang w:val="en-US" w:eastAsia="en-US"/>
        </w:rPr>
        <w:lastRenderedPageBreak/>
        <w:drawing>
          <wp:inline distT="0" distB="0" distL="0" distR="0" wp14:anchorId="03ED927E" wp14:editId="65011896">
            <wp:extent cx="7220309" cy="5327322"/>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0993" cy="5335205"/>
                    </a:xfrm>
                    <a:prstGeom prst="rect">
                      <a:avLst/>
                    </a:prstGeom>
                    <a:noFill/>
                  </pic:spPr>
                </pic:pic>
              </a:graphicData>
            </a:graphic>
          </wp:inline>
        </w:drawing>
      </w:r>
    </w:p>
    <w:p w14:paraId="75A8B7D5" w14:textId="2AE35938" w:rsidR="009D19D0" w:rsidRDefault="009D19D0" w:rsidP="00454EF5">
      <w:pPr>
        <w:pStyle w:val="NormalWeb"/>
        <w:spacing w:before="0" w:beforeAutospacing="0" w:after="0" w:afterAutospacing="0" w:line="480" w:lineRule="auto"/>
        <w:rPr>
          <w:rFonts w:eastAsiaTheme="minorEastAsia"/>
          <w:b/>
          <w:bCs/>
          <w:color w:val="000000" w:themeColor="text1"/>
          <w:kern w:val="24"/>
          <w:lang w:val="en-US"/>
        </w:rPr>
      </w:pPr>
    </w:p>
    <w:p w14:paraId="1E9E80EF" w14:textId="16955734" w:rsidR="009F1943" w:rsidRPr="0052253D" w:rsidRDefault="009F1943" w:rsidP="00454EF5">
      <w:pPr>
        <w:pStyle w:val="NormalWeb"/>
        <w:spacing w:before="0" w:beforeAutospacing="0" w:after="0" w:afterAutospacing="0" w:line="480" w:lineRule="auto"/>
        <w:rPr>
          <w:lang w:val="en-US"/>
        </w:rPr>
      </w:pPr>
      <w:r w:rsidRPr="0052253D">
        <w:rPr>
          <w:rFonts w:eastAsiaTheme="minorEastAsia"/>
          <w:b/>
          <w:bCs/>
          <w:color w:val="000000" w:themeColor="text1"/>
          <w:kern w:val="24"/>
          <w:lang w:val="en-US"/>
        </w:rPr>
        <w:t xml:space="preserve">Supplementary Figure </w:t>
      </w:r>
      <w:r w:rsidR="006C4D00">
        <w:rPr>
          <w:rFonts w:eastAsiaTheme="minorEastAsia"/>
          <w:b/>
          <w:bCs/>
          <w:color w:val="000000" w:themeColor="text1"/>
          <w:kern w:val="24"/>
          <w:lang w:val="en-US"/>
        </w:rPr>
        <w:t>S</w:t>
      </w:r>
      <w:r>
        <w:rPr>
          <w:rFonts w:eastAsiaTheme="minorEastAsia"/>
          <w:b/>
          <w:bCs/>
          <w:color w:val="000000" w:themeColor="text1"/>
          <w:kern w:val="24"/>
          <w:lang w:val="en-US"/>
        </w:rPr>
        <w:t>3</w:t>
      </w:r>
    </w:p>
    <w:p w14:paraId="41C50C18" w14:textId="77777777" w:rsidR="009F1943" w:rsidRPr="0052253D" w:rsidRDefault="009F1943" w:rsidP="00454EF5">
      <w:pPr>
        <w:pStyle w:val="NormalWeb"/>
        <w:spacing w:before="0" w:beforeAutospacing="0" w:after="0" w:afterAutospacing="0" w:line="480" w:lineRule="auto"/>
        <w:rPr>
          <w:lang w:val="en-US"/>
        </w:rPr>
      </w:pPr>
      <w:r w:rsidRPr="0052253D">
        <w:rPr>
          <w:rFonts w:eastAsiaTheme="minorEastAsia"/>
          <w:color w:val="000000" w:themeColor="text1"/>
          <w:kern w:val="24"/>
          <w:lang w:val="en-US"/>
        </w:rPr>
        <w:t>The figure shows FDG-PET/CT scans of two responding patients.</w:t>
      </w:r>
    </w:p>
    <w:p w14:paraId="3F6DC232" w14:textId="3212D1E4" w:rsidR="009F1943" w:rsidRPr="0052253D" w:rsidRDefault="009F1943" w:rsidP="00454EF5">
      <w:pPr>
        <w:pStyle w:val="NormalWeb"/>
        <w:spacing w:before="0" w:beforeAutospacing="0" w:after="0" w:afterAutospacing="0" w:line="480" w:lineRule="auto"/>
        <w:rPr>
          <w:lang w:val="en-US"/>
        </w:rPr>
      </w:pPr>
      <w:r w:rsidRPr="0052253D">
        <w:rPr>
          <w:rFonts w:eastAsiaTheme="minorEastAsia"/>
          <w:color w:val="000000" w:themeColor="text1"/>
          <w:kern w:val="24"/>
          <w:lang w:val="en-US"/>
        </w:rPr>
        <w:t xml:space="preserve">(A) FDG-PET/CT scans from patient M26 showing </w:t>
      </w:r>
      <w:r w:rsidR="00ED316F">
        <w:rPr>
          <w:rFonts w:eastAsiaTheme="minorEastAsia"/>
          <w:color w:val="000000" w:themeColor="text1"/>
          <w:kern w:val="24"/>
          <w:lang w:val="en-US"/>
        </w:rPr>
        <w:t xml:space="preserve">an initial </w:t>
      </w:r>
      <w:r w:rsidR="009B202B">
        <w:rPr>
          <w:rFonts w:eastAsiaTheme="minorEastAsia"/>
          <w:color w:val="000000" w:themeColor="text1"/>
          <w:kern w:val="24"/>
          <w:lang w:val="en-US"/>
        </w:rPr>
        <w:t>considerable</w:t>
      </w:r>
      <w:r w:rsidR="00055043">
        <w:rPr>
          <w:rFonts w:eastAsiaTheme="minorEastAsia"/>
          <w:color w:val="000000" w:themeColor="text1"/>
          <w:kern w:val="24"/>
          <w:lang w:val="en-US"/>
        </w:rPr>
        <w:t xml:space="preserve"> </w:t>
      </w:r>
      <w:r w:rsidR="00ED316F">
        <w:rPr>
          <w:rFonts w:eastAsiaTheme="minorEastAsia"/>
          <w:color w:val="000000" w:themeColor="text1"/>
          <w:kern w:val="24"/>
          <w:lang w:val="en-US"/>
        </w:rPr>
        <w:t>partial response</w:t>
      </w:r>
      <w:r w:rsidR="00162E17">
        <w:rPr>
          <w:rFonts w:eastAsiaTheme="minorEastAsia"/>
          <w:color w:val="000000" w:themeColor="text1"/>
          <w:kern w:val="24"/>
          <w:lang w:val="en-US"/>
        </w:rPr>
        <w:t xml:space="preserve"> (PR)</w:t>
      </w:r>
      <w:r w:rsidR="00ED316F">
        <w:rPr>
          <w:rFonts w:eastAsiaTheme="minorEastAsia"/>
          <w:color w:val="000000" w:themeColor="text1"/>
          <w:kern w:val="24"/>
          <w:lang w:val="en-US"/>
        </w:rPr>
        <w:t xml:space="preserve"> 2 month after treatment followed by </w:t>
      </w:r>
      <w:r w:rsidRPr="0052253D">
        <w:rPr>
          <w:rFonts w:eastAsiaTheme="minorEastAsia"/>
          <w:color w:val="000000" w:themeColor="text1"/>
          <w:kern w:val="24"/>
          <w:lang w:val="en-US"/>
        </w:rPr>
        <w:t>slowly regression of</w:t>
      </w:r>
      <w:r w:rsidR="00ED316F">
        <w:rPr>
          <w:rFonts w:eastAsiaTheme="minorEastAsia"/>
          <w:color w:val="000000" w:themeColor="text1"/>
          <w:kern w:val="24"/>
          <w:lang w:val="en-US"/>
        </w:rPr>
        <w:t xml:space="preserve"> remaining tumor lesions</w:t>
      </w:r>
      <w:r w:rsidRPr="0052253D">
        <w:rPr>
          <w:rFonts w:eastAsiaTheme="minorEastAsia"/>
          <w:color w:val="000000" w:themeColor="text1"/>
          <w:kern w:val="24"/>
          <w:lang w:val="en-US"/>
        </w:rPr>
        <w:t>. The patient achieved a complete response</w:t>
      </w:r>
      <w:r w:rsidR="00162E17">
        <w:rPr>
          <w:rFonts w:eastAsiaTheme="minorEastAsia"/>
          <w:color w:val="000000" w:themeColor="text1"/>
          <w:kern w:val="24"/>
          <w:lang w:val="en-US"/>
        </w:rPr>
        <w:t xml:space="preserve"> (CR)</w:t>
      </w:r>
      <w:r w:rsidRPr="0052253D">
        <w:rPr>
          <w:rFonts w:eastAsiaTheme="minorEastAsia"/>
          <w:color w:val="000000" w:themeColor="text1"/>
          <w:kern w:val="24"/>
          <w:lang w:val="en-US"/>
        </w:rPr>
        <w:t xml:space="preserve"> according to RECIST 13 months after treatment</w:t>
      </w:r>
      <w:r w:rsidR="009B202B">
        <w:rPr>
          <w:rFonts w:eastAsiaTheme="minorEastAsia"/>
          <w:color w:val="000000" w:themeColor="text1"/>
          <w:kern w:val="24"/>
          <w:lang w:val="en-US"/>
        </w:rPr>
        <w:t xml:space="preserve">. The patient has </w:t>
      </w:r>
      <w:proofErr w:type="gramStart"/>
      <w:r w:rsidR="009B202B">
        <w:rPr>
          <w:rFonts w:eastAsiaTheme="minorEastAsia"/>
          <w:color w:val="000000" w:themeColor="text1"/>
          <w:kern w:val="24"/>
          <w:lang w:val="en-US"/>
        </w:rPr>
        <w:t>an ongoing CR 32 months</w:t>
      </w:r>
      <w:proofErr w:type="gramEnd"/>
      <w:r w:rsidR="009B202B">
        <w:rPr>
          <w:rFonts w:eastAsiaTheme="minorEastAsia"/>
          <w:color w:val="000000" w:themeColor="text1"/>
          <w:kern w:val="24"/>
          <w:lang w:val="en-US"/>
        </w:rPr>
        <w:t xml:space="preserve"> after TIL-ACT.</w:t>
      </w:r>
    </w:p>
    <w:p w14:paraId="70BFCAF5" w14:textId="351A1EE8" w:rsidR="009F1943" w:rsidRPr="0052253D" w:rsidRDefault="009F1943" w:rsidP="00454EF5">
      <w:pPr>
        <w:pStyle w:val="NormalWeb"/>
        <w:spacing w:before="0" w:beforeAutospacing="0" w:after="0" w:afterAutospacing="0" w:line="480" w:lineRule="auto"/>
        <w:rPr>
          <w:lang w:val="en-US"/>
        </w:rPr>
      </w:pPr>
      <w:r w:rsidRPr="0052253D">
        <w:rPr>
          <w:rFonts w:eastAsiaTheme="minorEastAsia"/>
          <w:color w:val="000000" w:themeColor="text1"/>
          <w:kern w:val="24"/>
          <w:lang w:val="en-US"/>
        </w:rPr>
        <w:t xml:space="preserve">(B) Patient </w:t>
      </w:r>
      <w:r w:rsidR="005868DF">
        <w:rPr>
          <w:rFonts w:eastAsiaTheme="minorEastAsia"/>
          <w:color w:val="000000" w:themeColor="text1"/>
          <w:kern w:val="24"/>
          <w:lang w:val="en-US"/>
        </w:rPr>
        <w:t>M</w:t>
      </w:r>
      <w:r w:rsidRPr="0052253D">
        <w:rPr>
          <w:rFonts w:eastAsiaTheme="minorEastAsia"/>
          <w:color w:val="000000" w:themeColor="text1"/>
          <w:kern w:val="24"/>
          <w:lang w:val="en-US"/>
        </w:rPr>
        <w:t xml:space="preserve">17 had disease localized to an </w:t>
      </w:r>
      <w:proofErr w:type="spellStart"/>
      <w:r w:rsidRPr="0052253D">
        <w:rPr>
          <w:rFonts w:eastAsiaTheme="minorEastAsia"/>
          <w:color w:val="000000" w:themeColor="text1"/>
          <w:kern w:val="24"/>
          <w:lang w:val="en-US"/>
        </w:rPr>
        <w:t>unresectable</w:t>
      </w:r>
      <w:proofErr w:type="spellEnd"/>
      <w:r w:rsidRPr="0052253D">
        <w:rPr>
          <w:rFonts w:eastAsiaTheme="minorEastAsia"/>
          <w:color w:val="000000" w:themeColor="text1"/>
          <w:kern w:val="24"/>
          <w:lang w:val="en-US"/>
        </w:rPr>
        <w:t xml:space="preserve"> lymph node in the liver hilu</w:t>
      </w:r>
      <w:r w:rsidR="00AA4968">
        <w:rPr>
          <w:rFonts w:eastAsiaTheme="minorEastAsia"/>
          <w:color w:val="000000" w:themeColor="text1"/>
          <w:kern w:val="24"/>
          <w:lang w:val="en-US"/>
        </w:rPr>
        <w:t>m</w:t>
      </w:r>
      <w:r w:rsidRPr="0052253D">
        <w:rPr>
          <w:rFonts w:eastAsiaTheme="minorEastAsia"/>
          <w:color w:val="000000" w:themeColor="text1"/>
          <w:kern w:val="24"/>
          <w:lang w:val="en-US"/>
        </w:rPr>
        <w:t>. After treatment the lymph node metastasis were significantly reduced in size an</w:t>
      </w:r>
      <w:r>
        <w:rPr>
          <w:rFonts w:eastAsiaTheme="minorEastAsia"/>
          <w:color w:val="000000" w:themeColor="text1"/>
          <w:kern w:val="24"/>
          <w:lang w:val="en-US"/>
        </w:rPr>
        <w:t>d</w:t>
      </w:r>
      <w:r w:rsidRPr="0052253D">
        <w:rPr>
          <w:rFonts w:eastAsiaTheme="minorEastAsia"/>
          <w:color w:val="000000" w:themeColor="text1"/>
          <w:kern w:val="24"/>
          <w:lang w:val="en-US"/>
        </w:rPr>
        <w:t xml:space="preserve"> metabolic activity and the patient obtained a partial response (PR). 7 Months after treatment the lymph node metastasis was surgically resected and histological examination confirmed malignant melanoma cells. The patient </w:t>
      </w:r>
      <w:r w:rsidR="00ED316F">
        <w:rPr>
          <w:rFonts w:eastAsiaTheme="minorEastAsia"/>
          <w:color w:val="000000" w:themeColor="text1"/>
          <w:kern w:val="24"/>
          <w:lang w:val="en-US"/>
        </w:rPr>
        <w:t>is</w:t>
      </w:r>
      <w:r w:rsidRPr="0052253D">
        <w:rPr>
          <w:rFonts w:eastAsiaTheme="minorEastAsia"/>
          <w:color w:val="000000" w:themeColor="text1"/>
          <w:kern w:val="24"/>
          <w:lang w:val="en-US"/>
        </w:rPr>
        <w:t xml:space="preserve"> without evidence of disease</w:t>
      </w:r>
      <w:r w:rsidR="00162E17">
        <w:rPr>
          <w:rFonts w:eastAsiaTheme="minorEastAsia"/>
          <w:color w:val="000000" w:themeColor="text1"/>
          <w:kern w:val="24"/>
          <w:lang w:val="en-US"/>
        </w:rPr>
        <w:t xml:space="preserve"> (NED; no evidence of disease)</w:t>
      </w:r>
      <w:r w:rsidRPr="0052253D">
        <w:rPr>
          <w:rFonts w:eastAsiaTheme="minorEastAsia"/>
          <w:color w:val="000000" w:themeColor="text1"/>
          <w:kern w:val="24"/>
          <w:lang w:val="en-US"/>
        </w:rPr>
        <w:t xml:space="preserve"> </w:t>
      </w:r>
      <w:r w:rsidR="00ED316F">
        <w:rPr>
          <w:rFonts w:eastAsiaTheme="minorEastAsia"/>
          <w:color w:val="000000" w:themeColor="text1"/>
          <w:kern w:val="24"/>
          <w:lang w:val="en-US"/>
        </w:rPr>
        <w:t xml:space="preserve">more than </w:t>
      </w:r>
      <w:r w:rsidR="009B202B">
        <w:rPr>
          <w:rFonts w:eastAsiaTheme="minorEastAsia"/>
          <w:color w:val="000000" w:themeColor="text1"/>
          <w:kern w:val="24"/>
          <w:lang w:val="en-US"/>
        </w:rPr>
        <w:t xml:space="preserve">45 </w:t>
      </w:r>
      <w:r w:rsidR="00ED316F">
        <w:rPr>
          <w:rFonts w:eastAsiaTheme="minorEastAsia"/>
          <w:color w:val="000000" w:themeColor="text1"/>
          <w:kern w:val="24"/>
          <w:lang w:val="en-US"/>
        </w:rPr>
        <w:t xml:space="preserve">months after </w:t>
      </w:r>
      <w:r w:rsidR="009B202B">
        <w:rPr>
          <w:rFonts w:eastAsiaTheme="minorEastAsia"/>
          <w:color w:val="000000" w:themeColor="text1"/>
          <w:kern w:val="24"/>
          <w:lang w:val="en-US"/>
        </w:rPr>
        <w:t>TIL-ACT</w:t>
      </w:r>
      <w:r w:rsidR="00ED316F">
        <w:rPr>
          <w:rFonts w:eastAsiaTheme="minorEastAsia"/>
          <w:color w:val="000000" w:themeColor="text1"/>
          <w:kern w:val="24"/>
          <w:lang w:val="en-US"/>
        </w:rPr>
        <w:t>.</w:t>
      </w:r>
    </w:p>
    <w:p w14:paraId="1AC2D7CF" w14:textId="77777777" w:rsidR="00454EF5" w:rsidRDefault="00454EF5" w:rsidP="00454EF5">
      <w:pPr>
        <w:spacing w:line="480" w:lineRule="auto"/>
        <w:rPr>
          <w:rFonts w:ascii="Arial" w:eastAsiaTheme="minorEastAsia" w:hAnsi="Arial" w:cs="Arial"/>
          <w:color w:val="000000" w:themeColor="text1"/>
          <w:kern w:val="24"/>
          <w:sz w:val="24"/>
          <w:szCs w:val="24"/>
          <w:lang w:val="en-US"/>
        </w:rPr>
      </w:pPr>
    </w:p>
    <w:p w14:paraId="7C4A0BF6" w14:textId="77777777" w:rsidR="009B202B" w:rsidRDefault="009B202B" w:rsidP="00454EF5">
      <w:pPr>
        <w:spacing w:line="480" w:lineRule="auto"/>
        <w:rPr>
          <w:rFonts w:ascii="Arial" w:eastAsiaTheme="minorEastAsia" w:hAnsi="Arial" w:cs="Arial"/>
          <w:color w:val="000000" w:themeColor="text1"/>
          <w:kern w:val="24"/>
          <w:sz w:val="24"/>
          <w:szCs w:val="24"/>
          <w:lang w:val="en-US"/>
        </w:rPr>
      </w:pPr>
    </w:p>
    <w:p w14:paraId="3FB9D1A1" w14:textId="77777777" w:rsidR="009B202B" w:rsidRDefault="009B202B" w:rsidP="00454EF5">
      <w:pPr>
        <w:spacing w:line="480" w:lineRule="auto"/>
        <w:rPr>
          <w:rFonts w:ascii="Arial" w:eastAsiaTheme="minorEastAsia" w:hAnsi="Arial" w:cs="Arial"/>
          <w:color w:val="000000" w:themeColor="text1"/>
          <w:kern w:val="24"/>
          <w:sz w:val="24"/>
          <w:szCs w:val="24"/>
          <w:lang w:val="en-US"/>
        </w:rPr>
      </w:pPr>
    </w:p>
    <w:p w14:paraId="56ABF1AB" w14:textId="77777777" w:rsidR="009B202B" w:rsidRDefault="009B202B" w:rsidP="00454EF5">
      <w:pPr>
        <w:spacing w:line="480" w:lineRule="auto"/>
        <w:rPr>
          <w:rFonts w:ascii="Arial" w:eastAsiaTheme="minorEastAsia" w:hAnsi="Arial" w:cs="Arial"/>
          <w:color w:val="000000" w:themeColor="text1"/>
          <w:kern w:val="24"/>
          <w:sz w:val="24"/>
          <w:szCs w:val="24"/>
          <w:lang w:val="en-US"/>
        </w:rPr>
      </w:pPr>
    </w:p>
    <w:p w14:paraId="1D630158" w14:textId="77777777" w:rsidR="009B202B" w:rsidRDefault="009B202B" w:rsidP="00454EF5">
      <w:pPr>
        <w:spacing w:line="480" w:lineRule="auto"/>
        <w:rPr>
          <w:lang w:val="en-US"/>
        </w:rPr>
      </w:pPr>
    </w:p>
    <w:p w14:paraId="42E28EF6" w14:textId="77777777" w:rsidR="009B202B" w:rsidRPr="0019790B" w:rsidRDefault="009B202B" w:rsidP="00454EF5">
      <w:pPr>
        <w:spacing w:line="480" w:lineRule="auto"/>
        <w:rPr>
          <w:lang w:val="en-GB"/>
        </w:rPr>
      </w:pPr>
    </w:p>
    <w:p w14:paraId="08935201" w14:textId="21824594" w:rsidR="009B202B" w:rsidRDefault="009B202B" w:rsidP="00454EF5">
      <w:pPr>
        <w:spacing w:line="480" w:lineRule="auto"/>
      </w:pPr>
      <w:r>
        <w:rPr>
          <w:noProof/>
          <w:lang w:val="en-US"/>
        </w:rPr>
        <w:drawing>
          <wp:inline distT="0" distB="0" distL="0" distR="0" wp14:anchorId="1DB40F9E" wp14:editId="0E2771C8">
            <wp:extent cx="8544977" cy="3088257"/>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60037" cy="3093700"/>
                    </a:xfrm>
                    <a:prstGeom prst="rect">
                      <a:avLst/>
                    </a:prstGeom>
                    <a:noFill/>
                    <a:ln>
                      <a:noFill/>
                    </a:ln>
                    <a:effectLst/>
                    <a:extLst/>
                  </pic:spPr>
                </pic:pic>
              </a:graphicData>
            </a:graphic>
          </wp:inline>
        </w:drawing>
      </w:r>
    </w:p>
    <w:p w14:paraId="73A93BF2" w14:textId="77777777" w:rsidR="003A44BD" w:rsidRDefault="003A44BD" w:rsidP="00454EF5">
      <w:pPr>
        <w:pStyle w:val="NormalWeb"/>
        <w:spacing w:before="0" w:beforeAutospacing="0" w:after="0" w:afterAutospacing="0" w:line="480" w:lineRule="auto"/>
        <w:rPr>
          <w:rFonts w:eastAsiaTheme="minorEastAsia"/>
          <w:b/>
          <w:bCs/>
          <w:color w:val="000000" w:themeColor="text1"/>
          <w:kern w:val="24"/>
          <w:lang w:val="en-US"/>
        </w:rPr>
      </w:pPr>
    </w:p>
    <w:p w14:paraId="653937B7" w14:textId="439505B8" w:rsidR="000F5884" w:rsidRPr="000F5884" w:rsidRDefault="00AC63BE" w:rsidP="00454EF5">
      <w:pPr>
        <w:pStyle w:val="NormalWeb"/>
        <w:spacing w:before="0" w:beforeAutospacing="0" w:after="0" w:afterAutospacing="0" w:line="480" w:lineRule="auto"/>
        <w:rPr>
          <w:lang w:val="en-US"/>
        </w:rPr>
      </w:pPr>
      <w:proofErr w:type="gramStart"/>
      <w:r>
        <w:rPr>
          <w:rFonts w:eastAsiaTheme="minorEastAsia"/>
          <w:b/>
          <w:bCs/>
          <w:color w:val="000000" w:themeColor="text1"/>
          <w:kern w:val="24"/>
          <w:lang w:val="en-US"/>
        </w:rPr>
        <w:t xml:space="preserve">Supplementary </w:t>
      </w:r>
      <w:r w:rsidR="000F5884" w:rsidRPr="000F5884">
        <w:rPr>
          <w:rFonts w:eastAsiaTheme="minorEastAsia"/>
          <w:b/>
          <w:bCs/>
          <w:color w:val="000000" w:themeColor="text1"/>
          <w:kern w:val="24"/>
          <w:lang w:val="en-US"/>
        </w:rPr>
        <w:t xml:space="preserve">Figure </w:t>
      </w:r>
      <w:r w:rsidR="006C4D00">
        <w:rPr>
          <w:rFonts w:eastAsiaTheme="minorEastAsia"/>
          <w:b/>
          <w:bCs/>
          <w:color w:val="000000" w:themeColor="text1"/>
          <w:kern w:val="24"/>
          <w:lang w:val="en-US"/>
        </w:rPr>
        <w:t>S</w:t>
      </w:r>
      <w:r w:rsidR="005868DF">
        <w:rPr>
          <w:rFonts w:eastAsiaTheme="minorEastAsia"/>
          <w:b/>
          <w:bCs/>
          <w:color w:val="000000" w:themeColor="text1"/>
          <w:kern w:val="24"/>
          <w:lang w:val="en-US"/>
        </w:rPr>
        <w:t>4</w:t>
      </w:r>
      <w:r w:rsidR="000F5884" w:rsidRPr="000F5884">
        <w:rPr>
          <w:rFonts w:eastAsiaTheme="minorEastAsia"/>
          <w:b/>
          <w:bCs/>
          <w:color w:val="000000" w:themeColor="text1"/>
          <w:kern w:val="24"/>
          <w:lang w:val="en-US"/>
        </w:rPr>
        <w:t>.</w:t>
      </w:r>
      <w:proofErr w:type="gramEnd"/>
      <w:r w:rsidR="000F5884" w:rsidRPr="000F5884">
        <w:rPr>
          <w:rFonts w:eastAsiaTheme="minorEastAsia"/>
          <w:color w:val="000000" w:themeColor="text1"/>
          <w:kern w:val="24"/>
          <w:lang w:val="en-US"/>
        </w:rPr>
        <w:t xml:space="preserve"> Kaplan-Meier curves of (A) overall survival and (B) progression free survival in all 25 treated patients. Separate survival curves are shown for responders (OR) in green (n = 10) and for non</w:t>
      </w:r>
      <w:r w:rsidR="00055043">
        <w:rPr>
          <w:rFonts w:eastAsiaTheme="minorEastAsia"/>
          <w:color w:val="000000" w:themeColor="text1"/>
          <w:kern w:val="24"/>
          <w:lang w:val="en-US"/>
        </w:rPr>
        <w:t>-</w:t>
      </w:r>
      <w:r w:rsidR="000F5884" w:rsidRPr="000F5884">
        <w:rPr>
          <w:rFonts w:eastAsiaTheme="minorEastAsia"/>
          <w:color w:val="000000" w:themeColor="text1"/>
          <w:kern w:val="24"/>
          <w:lang w:val="en-US"/>
        </w:rPr>
        <w:t xml:space="preserve">responders (NR) in red (n = 14) and curves are compared by </w:t>
      </w:r>
      <w:r w:rsidR="00055043">
        <w:rPr>
          <w:rFonts w:eastAsiaTheme="minorEastAsia"/>
          <w:color w:val="000000" w:themeColor="text1"/>
          <w:kern w:val="24"/>
          <w:lang w:val="en-US"/>
        </w:rPr>
        <w:t xml:space="preserve">the </w:t>
      </w:r>
      <w:r w:rsidR="000F5884" w:rsidRPr="000F5884">
        <w:rPr>
          <w:rFonts w:eastAsiaTheme="minorEastAsia"/>
          <w:color w:val="000000" w:themeColor="text1"/>
          <w:kern w:val="24"/>
          <w:lang w:val="en-US"/>
        </w:rPr>
        <w:t>log-rank</w:t>
      </w:r>
      <w:r w:rsidR="00055043">
        <w:rPr>
          <w:rFonts w:eastAsiaTheme="minorEastAsia"/>
          <w:color w:val="000000" w:themeColor="text1"/>
          <w:kern w:val="24"/>
          <w:lang w:val="en-US"/>
        </w:rPr>
        <w:t xml:space="preserve"> test</w:t>
      </w:r>
      <w:r w:rsidR="000F5884" w:rsidRPr="000F5884">
        <w:rPr>
          <w:rFonts w:eastAsiaTheme="minorEastAsia"/>
          <w:color w:val="000000" w:themeColor="text1"/>
          <w:kern w:val="24"/>
          <w:lang w:val="en-US"/>
        </w:rPr>
        <w:t>.</w:t>
      </w:r>
    </w:p>
    <w:p w14:paraId="5F1B4E0E" w14:textId="77777777" w:rsidR="000F5884" w:rsidRDefault="000F5884" w:rsidP="00454EF5">
      <w:pPr>
        <w:spacing w:line="480" w:lineRule="auto"/>
        <w:rPr>
          <w:lang w:val="en-US"/>
        </w:rPr>
      </w:pPr>
    </w:p>
    <w:p w14:paraId="358E627A" w14:textId="77777777" w:rsidR="000F5884" w:rsidRDefault="000F5884" w:rsidP="00454EF5">
      <w:pPr>
        <w:spacing w:line="480" w:lineRule="auto"/>
        <w:rPr>
          <w:lang w:val="en-US"/>
        </w:rPr>
      </w:pPr>
    </w:p>
    <w:p w14:paraId="6C3049D9" w14:textId="77777777" w:rsidR="009B202B" w:rsidRDefault="009B202B" w:rsidP="00454EF5">
      <w:pPr>
        <w:spacing w:line="480" w:lineRule="auto"/>
        <w:rPr>
          <w:lang w:val="en-US"/>
        </w:rPr>
      </w:pPr>
    </w:p>
    <w:p w14:paraId="138DF1E9" w14:textId="18C5A106" w:rsidR="009B202B" w:rsidRDefault="009B202B" w:rsidP="00454EF5">
      <w:pPr>
        <w:spacing w:line="480" w:lineRule="auto"/>
        <w:rPr>
          <w:lang w:val="en-US"/>
        </w:rPr>
      </w:pPr>
      <w:r>
        <w:rPr>
          <w:noProof/>
          <w:lang w:val="en-US"/>
        </w:rPr>
        <w:drawing>
          <wp:inline distT="0" distB="0" distL="0" distR="0" wp14:anchorId="70BF1FCB" wp14:editId="43134C61">
            <wp:extent cx="7332453" cy="315445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9091"/>
                    <a:stretch/>
                  </pic:blipFill>
                  <pic:spPr bwMode="auto">
                    <a:xfrm>
                      <a:off x="0" y="0"/>
                      <a:ext cx="7335876" cy="315592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36DA4E8" w14:textId="20C2FE81" w:rsidR="009B202B" w:rsidRPr="009B202B" w:rsidRDefault="009B202B" w:rsidP="009B202B">
      <w:pPr>
        <w:pStyle w:val="NormalWeb"/>
        <w:spacing w:before="0" w:beforeAutospacing="0" w:after="0" w:afterAutospacing="0" w:line="480" w:lineRule="auto"/>
      </w:pPr>
      <w:proofErr w:type="gramStart"/>
      <w:r w:rsidRPr="009B202B">
        <w:rPr>
          <w:rFonts w:eastAsiaTheme="minorEastAsia"/>
          <w:b/>
          <w:bCs/>
          <w:color w:val="000000" w:themeColor="text1"/>
          <w:kern w:val="24"/>
          <w:lang w:val="en-US"/>
        </w:rPr>
        <w:t>Supplementary Figure S5.</w:t>
      </w:r>
      <w:proofErr w:type="gramEnd"/>
      <w:r w:rsidRPr="009B202B">
        <w:rPr>
          <w:rFonts w:eastAsiaTheme="minorEastAsia"/>
          <w:color w:val="000000" w:themeColor="text1"/>
          <w:kern w:val="24"/>
          <w:lang w:val="en-US"/>
        </w:rPr>
        <w:t xml:space="preserve"> Kaplan-Meier curves of overall survival in all 25 treated patients including separate survival curves for patients with best reduction in target lesion size from baseline &gt;20% (n=14) in green and patients with no significant tumor regression (n=10) in red. </w:t>
      </w:r>
      <w:proofErr w:type="spellStart"/>
      <w:r w:rsidRPr="009B202B">
        <w:rPr>
          <w:rFonts w:eastAsiaTheme="minorEastAsia"/>
          <w:color w:val="000000" w:themeColor="text1"/>
          <w:kern w:val="24"/>
        </w:rPr>
        <w:t>Curves</w:t>
      </w:r>
      <w:proofErr w:type="spellEnd"/>
      <w:r w:rsidRPr="009B202B">
        <w:rPr>
          <w:rFonts w:eastAsiaTheme="minorEastAsia"/>
          <w:color w:val="000000" w:themeColor="text1"/>
          <w:kern w:val="24"/>
        </w:rPr>
        <w:t xml:space="preserve"> </w:t>
      </w:r>
      <w:proofErr w:type="spellStart"/>
      <w:r w:rsidRPr="009B202B">
        <w:rPr>
          <w:rFonts w:eastAsiaTheme="minorEastAsia"/>
          <w:color w:val="000000" w:themeColor="text1"/>
          <w:kern w:val="24"/>
        </w:rPr>
        <w:t>are</w:t>
      </w:r>
      <w:proofErr w:type="spellEnd"/>
      <w:r w:rsidRPr="009B202B">
        <w:rPr>
          <w:rFonts w:eastAsiaTheme="minorEastAsia"/>
          <w:color w:val="000000" w:themeColor="text1"/>
          <w:kern w:val="24"/>
        </w:rPr>
        <w:t xml:space="preserve"> </w:t>
      </w:r>
      <w:proofErr w:type="spellStart"/>
      <w:r w:rsidRPr="009B202B">
        <w:rPr>
          <w:rFonts w:eastAsiaTheme="minorEastAsia"/>
          <w:color w:val="000000" w:themeColor="text1"/>
          <w:kern w:val="24"/>
        </w:rPr>
        <w:t>compared</w:t>
      </w:r>
      <w:proofErr w:type="spellEnd"/>
      <w:r w:rsidRPr="009B202B">
        <w:rPr>
          <w:rFonts w:eastAsiaTheme="minorEastAsia"/>
          <w:color w:val="000000" w:themeColor="text1"/>
          <w:kern w:val="24"/>
        </w:rPr>
        <w:t xml:space="preserve"> by log-rank</w:t>
      </w:r>
      <w:r w:rsidR="00AA4968">
        <w:rPr>
          <w:rFonts w:eastAsiaTheme="minorEastAsia"/>
          <w:color w:val="000000" w:themeColor="text1"/>
          <w:kern w:val="24"/>
        </w:rPr>
        <w:t xml:space="preserve"> test</w:t>
      </w:r>
      <w:r w:rsidRPr="009B202B">
        <w:rPr>
          <w:rFonts w:eastAsiaTheme="minorEastAsia"/>
          <w:color w:val="000000" w:themeColor="text1"/>
          <w:kern w:val="24"/>
        </w:rPr>
        <w:t>.</w:t>
      </w:r>
    </w:p>
    <w:p w14:paraId="478636A9" w14:textId="77777777" w:rsidR="009B202B" w:rsidRPr="009B202B" w:rsidRDefault="009B202B" w:rsidP="009B202B">
      <w:pPr>
        <w:spacing w:line="480" w:lineRule="auto"/>
        <w:rPr>
          <w:rFonts w:ascii="Times New Roman" w:hAnsi="Times New Roman" w:cs="Times New Roman"/>
          <w:lang w:val="en-US"/>
        </w:rPr>
      </w:pPr>
    </w:p>
    <w:p w14:paraId="1F7F6C15" w14:textId="77777777" w:rsidR="00090F33" w:rsidRDefault="00090F33" w:rsidP="00454EF5">
      <w:pPr>
        <w:spacing w:line="480" w:lineRule="auto"/>
        <w:rPr>
          <w:rFonts w:eastAsiaTheme="minorEastAsia" w:hAnsi="Calibri"/>
          <w:b/>
          <w:bCs/>
          <w:color w:val="000000" w:themeColor="text1"/>
          <w:kern w:val="24"/>
          <w:lang w:val="en-US"/>
        </w:rPr>
      </w:pPr>
    </w:p>
    <w:p w14:paraId="13B1F782" w14:textId="7BF2B55E" w:rsidR="00090F33" w:rsidRDefault="00613AC2" w:rsidP="00090F33">
      <w:pPr>
        <w:pStyle w:val="Ingenafstand"/>
        <w:spacing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17DF8034" wp14:editId="451852F5">
            <wp:extent cx="8160589" cy="5652754"/>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64707" cy="5655606"/>
                    </a:xfrm>
                    <a:prstGeom prst="rect">
                      <a:avLst/>
                    </a:prstGeom>
                    <a:noFill/>
                  </pic:spPr>
                </pic:pic>
              </a:graphicData>
            </a:graphic>
          </wp:inline>
        </w:drawing>
      </w:r>
    </w:p>
    <w:p w14:paraId="2D7102E1" w14:textId="77777777" w:rsidR="00090F33" w:rsidRDefault="00090F33" w:rsidP="00090F33">
      <w:pPr>
        <w:pStyle w:val="Ingenafstand"/>
        <w:spacing w:line="480" w:lineRule="auto"/>
        <w:rPr>
          <w:rFonts w:ascii="Times New Roman" w:hAnsi="Times New Roman" w:cs="Times New Roman"/>
          <w:b/>
          <w:bCs/>
          <w:sz w:val="24"/>
          <w:szCs w:val="24"/>
          <w:lang w:val="en-US"/>
        </w:rPr>
      </w:pPr>
    </w:p>
    <w:p w14:paraId="3889E17B" w14:textId="7FCB5D1E" w:rsidR="00090F33" w:rsidRPr="00090F33" w:rsidRDefault="00090F33" w:rsidP="00090F33">
      <w:pPr>
        <w:pStyle w:val="Ingenafstand"/>
        <w:spacing w:line="480" w:lineRule="auto"/>
        <w:rPr>
          <w:rFonts w:ascii="Times New Roman" w:hAnsi="Times New Roman" w:cs="Times New Roman"/>
          <w:sz w:val="24"/>
          <w:szCs w:val="24"/>
          <w:lang w:val="en-US"/>
        </w:rPr>
      </w:pPr>
      <w:proofErr w:type="gramStart"/>
      <w:r w:rsidRPr="00090F33">
        <w:rPr>
          <w:rFonts w:ascii="Times New Roman" w:hAnsi="Times New Roman" w:cs="Times New Roman"/>
          <w:b/>
          <w:bCs/>
          <w:sz w:val="24"/>
          <w:szCs w:val="24"/>
          <w:lang w:val="en-US"/>
        </w:rPr>
        <w:lastRenderedPageBreak/>
        <w:t xml:space="preserve">Supplementary Figure </w:t>
      </w:r>
      <w:r w:rsidR="007B4B24">
        <w:rPr>
          <w:rFonts w:ascii="Times New Roman" w:hAnsi="Times New Roman" w:cs="Times New Roman"/>
          <w:b/>
          <w:bCs/>
          <w:sz w:val="24"/>
          <w:szCs w:val="24"/>
          <w:lang w:val="en-US"/>
        </w:rPr>
        <w:t>S</w:t>
      </w:r>
      <w:r w:rsidRPr="00090F33">
        <w:rPr>
          <w:rFonts w:ascii="Times New Roman" w:hAnsi="Times New Roman" w:cs="Times New Roman"/>
          <w:b/>
          <w:bCs/>
          <w:sz w:val="24"/>
          <w:szCs w:val="24"/>
          <w:lang w:val="en-US"/>
        </w:rPr>
        <w:t>6.</w:t>
      </w:r>
      <w:proofErr w:type="gramEnd"/>
      <w:r w:rsidRPr="00090F33">
        <w:rPr>
          <w:rFonts w:ascii="Times New Roman" w:hAnsi="Times New Roman" w:cs="Times New Roman"/>
          <w:b/>
          <w:bCs/>
          <w:sz w:val="24"/>
          <w:szCs w:val="24"/>
          <w:lang w:val="en-US"/>
        </w:rPr>
        <w:t xml:space="preserve"> </w:t>
      </w:r>
      <w:proofErr w:type="gramStart"/>
      <w:r w:rsidRPr="00090F33">
        <w:rPr>
          <w:rFonts w:ascii="Times New Roman" w:hAnsi="Times New Roman" w:cs="Times New Roman"/>
          <w:b/>
          <w:bCs/>
          <w:sz w:val="24"/>
          <w:szCs w:val="24"/>
          <w:lang w:val="en-GB"/>
        </w:rPr>
        <w:t>Antitumor responses of infusion products and peripheral blood.</w:t>
      </w:r>
      <w:proofErr w:type="gramEnd"/>
      <w:r w:rsidRPr="00090F33">
        <w:rPr>
          <w:rFonts w:ascii="Times New Roman" w:hAnsi="Times New Roman" w:cs="Times New Roman"/>
          <w:b/>
          <w:bCs/>
          <w:sz w:val="24"/>
          <w:szCs w:val="24"/>
          <w:lang w:val="en-GB"/>
        </w:rPr>
        <w:t xml:space="preserve"> </w:t>
      </w:r>
      <w:r w:rsidRPr="00090F33">
        <w:rPr>
          <w:rFonts w:ascii="Times New Roman" w:hAnsi="Times New Roman" w:cs="Times New Roman"/>
          <w:sz w:val="24"/>
          <w:szCs w:val="24"/>
          <w:lang w:val="en-US"/>
        </w:rPr>
        <w:t>TILs or peripheral blood lymphocytes (PBLs) were co-cultured with autologous short-term cultured melanoma cell lines or HLA-</w:t>
      </w:r>
      <w:proofErr w:type="spellStart"/>
      <w:r w:rsidRPr="00090F33">
        <w:rPr>
          <w:rFonts w:ascii="Times New Roman" w:hAnsi="Times New Roman" w:cs="Times New Roman"/>
          <w:sz w:val="24"/>
          <w:szCs w:val="24"/>
          <w:lang w:val="en-US"/>
        </w:rPr>
        <w:t>semimatched</w:t>
      </w:r>
      <w:proofErr w:type="spellEnd"/>
      <w:r w:rsidRPr="00090F33">
        <w:rPr>
          <w:rFonts w:ascii="Times New Roman" w:hAnsi="Times New Roman" w:cs="Times New Roman"/>
          <w:sz w:val="24"/>
          <w:szCs w:val="24"/>
          <w:lang w:val="en-US"/>
        </w:rPr>
        <w:t xml:space="preserve"> allogeneic melanoma cell lines, and tumor reactivity was evaluated by assessing the amount of CD8</w:t>
      </w:r>
      <w:r w:rsidR="00D868BC" w:rsidRPr="00D868BC">
        <w:rPr>
          <w:rFonts w:ascii="Times New Roman" w:hAnsi="Times New Roman" w:cs="Times New Roman"/>
          <w:sz w:val="24"/>
          <w:szCs w:val="24"/>
          <w:vertAlign w:val="superscript"/>
          <w:lang w:val="en-US"/>
        </w:rPr>
        <w:t>+</w:t>
      </w:r>
      <w:r w:rsidR="00D868BC">
        <w:rPr>
          <w:rFonts w:ascii="Times New Roman" w:hAnsi="Times New Roman" w:cs="Times New Roman"/>
          <w:sz w:val="24"/>
          <w:szCs w:val="24"/>
          <w:lang w:val="en-US"/>
        </w:rPr>
        <w:t xml:space="preserve"> </w:t>
      </w:r>
      <w:r w:rsidRPr="00090F33">
        <w:rPr>
          <w:rFonts w:ascii="Times New Roman" w:hAnsi="Times New Roman" w:cs="Times New Roman"/>
          <w:sz w:val="24"/>
          <w:szCs w:val="24"/>
          <w:lang w:val="en-US"/>
        </w:rPr>
        <w:t>T cells staining double positive for any combination of IFN-</w:t>
      </w:r>
      <w:r w:rsidRPr="00090F33">
        <w:rPr>
          <w:rFonts w:ascii="Symbol" w:hAnsi="Symbol" w:cs="Times New Roman"/>
          <w:sz w:val="24"/>
          <w:szCs w:val="24"/>
          <w:lang w:val="en-US"/>
        </w:rPr>
        <w:t></w:t>
      </w:r>
      <w:r w:rsidRPr="00090F33">
        <w:rPr>
          <w:rFonts w:ascii="Times New Roman" w:hAnsi="Times New Roman" w:cs="Times New Roman"/>
          <w:sz w:val="24"/>
          <w:szCs w:val="24"/>
          <w:lang w:val="en-US"/>
        </w:rPr>
        <w:t>, TNF, or CD107a.</w:t>
      </w:r>
    </w:p>
    <w:p w14:paraId="6284455D" w14:textId="4620677F" w:rsidR="00090F33" w:rsidRPr="00090F33" w:rsidRDefault="00090F33" w:rsidP="00090F33">
      <w:pPr>
        <w:spacing w:line="480" w:lineRule="auto"/>
        <w:rPr>
          <w:rFonts w:ascii="Times New Roman" w:eastAsia="Times New Roman" w:hAnsi="Times New Roman" w:cs="Times New Roman"/>
          <w:sz w:val="24"/>
          <w:szCs w:val="24"/>
          <w:lang w:val="en-US"/>
        </w:rPr>
      </w:pPr>
      <w:r w:rsidRPr="00090F33">
        <w:rPr>
          <w:rFonts w:ascii="Times New Roman" w:hAnsi="Times New Roman" w:cs="Times New Roman"/>
          <w:sz w:val="24"/>
          <w:szCs w:val="24"/>
          <w:lang w:val="en-US"/>
        </w:rPr>
        <w:t xml:space="preserve">(A) The figure shows the absolute number per kg of bodyweight of </w:t>
      </w:r>
      <w:r w:rsidRPr="00090F33">
        <w:rPr>
          <w:rFonts w:ascii="Times New Roman" w:hAnsi="Times New Roman" w:cs="Times New Roman"/>
          <w:i/>
          <w:iCs/>
          <w:sz w:val="24"/>
          <w:szCs w:val="24"/>
          <w:lang w:val="en-US"/>
        </w:rPr>
        <w:t>in vitro</w:t>
      </w:r>
      <w:r w:rsidRPr="00090F33">
        <w:rPr>
          <w:rFonts w:ascii="Times New Roman" w:hAnsi="Times New Roman" w:cs="Times New Roman"/>
          <w:sz w:val="24"/>
          <w:szCs w:val="24"/>
          <w:lang w:val="en-US"/>
        </w:rPr>
        <w:t xml:space="preserve"> tumor-reactive TILs contained in the infusion products, and its association with tumor regression in 24 patients. Patients are </w:t>
      </w:r>
      <w:r w:rsidR="00041779">
        <w:rPr>
          <w:rFonts w:ascii="Times New Roman" w:hAnsi="Times New Roman" w:cs="Times New Roman"/>
          <w:sz w:val="24"/>
          <w:szCs w:val="24"/>
          <w:lang w:val="en-US"/>
        </w:rPr>
        <w:t>stratified</w:t>
      </w:r>
      <w:r w:rsidRPr="00090F33">
        <w:rPr>
          <w:rFonts w:ascii="Times New Roman" w:hAnsi="Times New Roman" w:cs="Times New Roman"/>
          <w:sz w:val="24"/>
          <w:szCs w:val="24"/>
          <w:lang w:val="en-US"/>
        </w:rPr>
        <w:t xml:space="preserve"> in responders (n=10) and non-responders (n=14) according to RECIST 1.0. </w:t>
      </w:r>
    </w:p>
    <w:p w14:paraId="0765DADA" w14:textId="09B55AC1" w:rsidR="00090F33" w:rsidRPr="00090F33" w:rsidRDefault="00090F33" w:rsidP="00090F33">
      <w:pPr>
        <w:spacing w:line="480" w:lineRule="auto"/>
        <w:rPr>
          <w:rFonts w:ascii="Times New Roman" w:eastAsia="Times New Roman" w:hAnsi="Times New Roman" w:cs="Times New Roman"/>
          <w:sz w:val="24"/>
          <w:szCs w:val="24"/>
          <w:lang w:val="en-US"/>
        </w:rPr>
      </w:pPr>
      <w:r w:rsidRPr="00090F33">
        <w:rPr>
          <w:rFonts w:ascii="Times New Roman" w:hAnsi="Times New Roman" w:cs="Times New Roman"/>
          <w:sz w:val="24"/>
          <w:szCs w:val="24"/>
          <w:lang w:val="en-US"/>
        </w:rPr>
        <w:t>(B) The figure shows the percentage tumor-reactive of CD8</w:t>
      </w:r>
      <w:r w:rsidRPr="00D868BC">
        <w:rPr>
          <w:rFonts w:ascii="Times New Roman" w:hAnsi="Times New Roman" w:cs="Times New Roman"/>
          <w:sz w:val="24"/>
          <w:szCs w:val="24"/>
          <w:vertAlign w:val="superscript"/>
          <w:lang w:val="en-US"/>
        </w:rPr>
        <w:t>+</w:t>
      </w:r>
      <w:r w:rsidRPr="00090F33">
        <w:rPr>
          <w:rFonts w:ascii="Times New Roman" w:hAnsi="Times New Roman" w:cs="Times New Roman"/>
          <w:sz w:val="24"/>
          <w:szCs w:val="24"/>
          <w:lang w:val="en-US"/>
        </w:rPr>
        <w:t xml:space="preserve"> </w:t>
      </w:r>
      <w:r w:rsidR="00041779">
        <w:rPr>
          <w:rFonts w:ascii="Times New Roman" w:hAnsi="Times New Roman" w:cs="Times New Roman"/>
          <w:sz w:val="24"/>
          <w:szCs w:val="24"/>
          <w:lang w:val="en-US"/>
        </w:rPr>
        <w:t>(CD3</w:t>
      </w:r>
      <w:r w:rsidR="00041779" w:rsidRPr="00D868BC">
        <w:rPr>
          <w:rFonts w:ascii="Times New Roman" w:hAnsi="Times New Roman" w:cs="Times New Roman"/>
          <w:sz w:val="24"/>
          <w:szCs w:val="24"/>
          <w:vertAlign w:val="superscript"/>
          <w:lang w:val="en-US"/>
        </w:rPr>
        <w:t>+</w:t>
      </w:r>
      <w:r w:rsidR="00041779">
        <w:rPr>
          <w:rFonts w:ascii="Times New Roman" w:hAnsi="Times New Roman" w:cs="Times New Roman"/>
          <w:sz w:val="24"/>
          <w:szCs w:val="24"/>
          <w:lang w:val="en-US"/>
        </w:rPr>
        <w:t xml:space="preserve">) </w:t>
      </w:r>
      <w:r w:rsidRPr="00090F33">
        <w:rPr>
          <w:rFonts w:ascii="Times New Roman" w:hAnsi="Times New Roman" w:cs="Times New Roman"/>
          <w:sz w:val="24"/>
          <w:szCs w:val="24"/>
          <w:lang w:val="en-US"/>
        </w:rPr>
        <w:t xml:space="preserve">PBLs one month after treatment and its association with tumor regression in 24 patients. Patients are </w:t>
      </w:r>
      <w:r w:rsidR="00041779">
        <w:rPr>
          <w:rFonts w:ascii="Times New Roman" w:hAnsi="Times New Roman" w:cs="Times New Roman"/>
          <w:sz w:val="24"/>
          <w:szCs w:val="24"/>
          <w:lang w:val="en-US"/>
        </w:rPr>
        <w:t>stratified</w:t>
      </w:r>
      <w:r w:rsidR="00041779" w:rsidRPr="00090F33">
        <w:rPr>
          <w:rFonts w:ascii="Times New Roman" w:hAnsi="Times New Roman" w:cs="Times New Roman"/>
          <w:sz w:val="24"/>
          <w:szCs w:val="24"/>
          <w:lang w:val="en-US"/>
        </w:rPr>
        <w:t xml:space="preserve"> </w:t>
      </w:r>
      <w:r w:rsidRPr="00090F33">
        <w:rPr>
          <w:rFonts w:ascii="Times New Roman" w:hAnsi="Times New Roman" w:cs="Times New Roman"/>
          <w:sz w:val="24"/>
          <w:szCs w:val="24"/>
          <w:lang w:val="en-US"/>
        </w:rPr>
        <w:t xml:space="preserve">in responders (n=10) and non-responders (n=14) according to RECIST 1.0.  </w:t>
      </w:r>
    </w:p>
    <w:p w14:paraId="69899D68" w14:textId="0D67460E" w:rsidR="00090F33" w:rsidRPr="00090F33" w:rsidRDefault="00090F33" w:rsidP="00090F33">
      <w:pPr>
        <w:spacing w:line="480" w:lineRule="auto"/>
        <w:rPr>
          <w:rFonts w:ascii="Times New Roman" w:eastAsia="Times New Roman" w:hAnsi="Times New Roman" w:cs="Times New Roman"/>
          <w:sz w:val="24"/>
          <w:szCs w:val="24"/>
          <w:lang w:val="en-US"/>
        </w:rPr>
      </w:pPr>
      <w:r w:rsidRPr="00090F33">
        <w:rPr>
          <w:rFonts w:ascii="Times New Roman" w:hAnsi="Times New Roman" w:cs="Times New Roman"/>
          <w:sz w:val="24"/>
          <w:szCs w:val="24"/>
          <w:lang w:val="en-US"/>
        </w:rPr>
        <w:t xml:space="preserve">(C) The figure shows induction and persistence of antitumor responses in the blood of the treated patients (n=24). Patients are </w:t>
      </w:r>
      <w:r w:rsidR="00041779">
        <w:rPr>
          <w:rFonts w:ascii="Times New Roman" w:hAnsi="Times New Roman" w:cs="Times New Roman"/>
          <w:sz w:val="24"/>
          <w:szCs w:val="24"/>
          <w:lang w:val="en-US"/>
        </w:rPr>
        <w:t>stratified</w:t>
      </w:r>
      <w:r w:rsidR="00041779" w:rsidRPr="00090F33">
        <w:rPr>
          <w:rFonts w:ascii="Times New Roman" w:hAnsi="Times New Roman" w:cs="Times New Roman"/>
          <w:sz w:val="24"/>
          <w:szCs w:val="24"/>
          <w:lang w:val="en-US"/>
        </w:rPr>
        <w:t xml:space="preserve"> </w:t>
      </w:r>
      <w:r w:rsidRPr="00090F33">
        <w:rPr>
          <w:rFonts w:ascii="Times New Roman" w:hAnsi="Times New Roman" w:cs="Times New Roman"/>
          <w:sz w:val="24"/>
          <w:szCs w:val="24"/>
          <w:lang w:val="en-US"/>
        </w:rPr>
        <w:t xml:space="preserve">into </w:t>
      </w:r>
      <w:r w:rsidRPr="00090F33">
        <w:rPr>
          <w:rFonts w:ascii="Times New Roman" w:hAnsi="Times New Roman" w:cs="Times New Roman"/>
          <w:sz w:val="24"/>
          <w:szCs w:val="24"/>
          <w:lang w:val="en-GB"/>
        </w:rPr>
        <w:t xml:space="preserve">“complete responders (CR)” in green (n=3), “partial responders” in blue (n=7), stable disease in yellow (n=11) and progressive disease in red (n=3). </w:t>
      </w:r>
    </w:p>
    <w:p w14:paraId="1DF0A383" w14:textId="77777777" w:rsidR="000F5884" w:rsidRDefault="000F5884" w:rsidP="00090F33">
      <w:pPr>
        <w:spacing w:line="480" w:lineRule="auto"/>
        <w:rPr>
          <w:rFonts w:ascii="Times New Roman" w:hAnsi="Times New Roman" w:cs="Times New Roman"/>
          <w:sz w:val="24"/>
          <w:szCs w:val="24"/>
          <w:lang w:val="en-US"/>
        </w:rPr>
      </w:pPr>
    </w:p>
    <w:p w14:paraId="36E6D625" w14:textId="77777777" w:rsidR="002B5D78" w:rsidRDefault="002B5D78" w:rsidP="00090F33">
      <w:pPr>
        <w:spacing w:line="480" w:lineRule="auto"/>
        <w:rPr>
          <w:rFonts w:ascii="Times New Roman" w:hAnsi="Times New Roman" w:cs="Times New Roman"/>
          <w:sz w:val="24"/>
          <w:szCs w:val="24"/>
          <w:lang w:val="en-US"/>
        </w:rPr>
        <w:sectPr w:rsidR="002B5D78" w:rsidSect="0019790B">
          <w:pgSz w:w="16838" w:h="11906" w:orient="landscape" w:code="9"/>
          <w:pgMar w:top="1134" w:right="1701" w:bottom="1134" w:left="1701" w:header="709" w:footer="709" w:gutter="0"/>
          <w:cols w:space="708"/>
          <w:docGrid w:linePitch="360"/>
        </w:sectPr>
      </w:pPr>
    </w:p>
    <w:p w14:paraId="0E7EA2A1" w14:textId="77777777" w:rsidR="001D5FDD" w:rsidRDefault="001D5FDD" w:rsidP="00454EF5">
      <w:pPr>
        <w:spacing w:line="480" w:lineRule="auto"/>
        <w:rPr>
          <w:lang w:val="en-US"/>
        </w:rPr>
      </w:pPr>
    </w:p>
    <w:p w14:paraId="2B31B289" w14:textId="5E33EDC0" w:rsidR="001D5FDD" w:rsidRDefault="007659B0" w:rsidP="003A44BD">
      <w:pPr>
        <w:spacing w:line="480" w:lineRule="auto"/>
        <w:jc w:val="center"/>
        <w:rPr>
          <w:lang w:val="en-US"/>
        </w:rPr>
      </w:pPr>
      <w:r>
        <w:rPr>
          <w:noProof/>
          <w:lang w:val="en-US"/>
        </w:rPr>
        <w:drawing>
          <wp:inline distT="0" distB="0" distL="0" distR="0" wp14:anchorId="0934D79D" wp14:editId="4B4054FC">
            <wp:extent cx="5372100" cy="55911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5591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0B2187D" w14:textId="77777777" w:rsidR="002B5D78" w:rsidRDefault="002B5D78" w:rsidP="00454EF5">
      <w:pPr>
        <w:pStyle w:val="NormalWeb"/>
        <w:spacing w:before="0" w:beforeAutospacing="0" w:after="0" w:afterAutospacing="0" w:line="480" w:lineRule="auto"/>
        <w:rPr>
          <w:rFonts w:eastAsia="+mn-ea"/>
          <w:b/>
          <w:bCs/>
          <w:color w:val="000000"/>
          <w:kern w:val="24"/>
          <w:lang w:val="en-US"/>
        </w:rPr>
      </w:pPr>
    </w:p>
    <w:p w14:paraId="5255BA23" w14:textId="657FF17F" w:rsidR="001D5FDD" w:rsidRPr="00185CC0" w:rsidRDefault="001D5FDD" w:rsidP="00454EF5">
      <w:pPr>
        <w:pStyle w:val="NormalWeb"/>
        <w:spacing w:before="0" w:beforeAutospacing="0" w:after="0" w:afterAutospacing="0" w:line="480" w:lineRule="auto"/>
        <w:rPr>
          <w:lang w:val="en-US"/>
        </w:rPr>
      </w:pPr>
      <w:r w:rsidRPr="00185CC0">
        <w:rPr>
          <w:rFonts w:eastAsia="+mn-ea"/>
          <w:b/>
          <w:bCs/>
          <w:color w:val="000000"/>
          <w:kern w:val="24"/>
          <w:lang w:val="en-US"/>
        </w:rPr>
        <w:t xml:space="preserve">Supplementary Table </w:t>
      </w:r>
      <w:r w:rsidR="006C4D00">
        <w:rPr>
          <w:rFonts w:eastAsia="+mn-ea"/>
          <w:b/>
          <w:bCs/>
          <w:color w:val="000000"/>
          <w:kern w:val="24"/>
          <w:lang w:val="en-US"/>
        </w:rPr>
        <w:t>S</w:t>
      </w:r>
      <w:r w:rsidRPr="00185CC0">
        <w:rPr>
          <w:rFonts w:eastAsia="+mn-ea"/>
          <w:b/>
          <w:bCs/>
          <w:color w:val="000000"/>
          <w:kern w:val="24"/>
          <w:lang w:val="en-US"/>
        </w:rPr>
        <w:t>1</w:t>
      </w:r>
    </w:p>
    <w:p w14:paraId="3DD2B5CB" w14:textId="749E8118" w:rsidR="001D5FDD" w:rsidRPr="00185CC0" w:rsidRDefault="00041779" w:rsidP="00454EF5">
      <w:pPr>
        <w:pStyle w:val="NormalWeb"/>
        <w:spacing w:before="0" w:beforeAutospacing="0" w:after="0" w:afterAutospacing="0" w:line="480" w:lineRule="auto"/>
        <w:rPr>
          <w:lang w:val="en-US"/>
        </w:rPr>
      </w:pPr>
      <w:proofErr w:type="gramStart"/>
      <w:r>
        <w:rPr>
          <w:rFonts w:eastAsia="+mn-ea"/>
          <w:color w:val="000000"/>
          <w:kern w:val="24"/>
          <w:lang w:val="en-US"/>
        </w:rPr>
        <w:t>O</w:t>
      </w:r>
      <w:r w:rsidR="001D5FDD" w:rsidRPr="00185CC0">
        <w:rPr>
          <w:rFonts w:eastAsia="+mn-ea"/>
          <w:color w:val="000000"/>
          <w:kern w:val="24"/>
          <w:lang w:val="en-US"/>
        </w:rPr>
        <w:t xml:space="preserve">bjective responses of individual patients </w:t>
      </w:r>
      <w:r>
        <w:rPr>
          <w:rFonts w:eastAsia="+mn-ea"/>
          <w:color w:val="000000"/>
          <w:kern w:val="24"/>
          <w:lang w:val="en-US"/>
        </w:rPr>
        <w:t xml:space="preserve">in relation </w:t>
      </w:r>
      <w:r w:rsidR="001D5FDD" w:rsidRPr="00185CC0">
        <w:rPr>
          <w:rFonts w:eastAsia="+mn-ea"/>
          <w:color w:val="000000"/>
          <w:kern w:val="24"/>
          <w:lang w:val="en-US"/>
        </w:rPr>
        <w:t xml:space="preserve">to </w:t>
      </w:r>
      <w:r w:rsidR="00055043">
        <w:rPr>
          <w:rFonts w:eastAsia="+mn-ea"/>
          <w:color w:val="000000"/>
          <w:kern w:val="24"/>
          <w:lang w:val="en-US"/>
        </w:rPr>
        <w:t xml:space="preserve">prior </w:t>
      </w:r>
      <w:r w:rsidR="001D5FDD" w:rsidRPr="00185CC0">
        <w:rPr>
          <w:rFonts w:eastAsia="+mn-ea"/>
          <w:color w:val="000000"/>
          <w:kern w:val="24"/>
          <w:lang w:val="en-US"/>
        </w:rPr>
        <w:t>immunotherap</w:t>
      </w:r>
      <w:r>
        <w:rPr>
          <w:rFonts w:eastAsia="+mn-ea"/>
          <w:color w:val="000000"/>
          <w:kern w:val="24"/>
          <w:lang w:val="en-US"/>
        </w:rPr>
        <w:t>ies</w:t>
      </w:r>
      <w:r w:rsidR="001D5FDD" w:rsidRPr="00185CC0">
        <w:rPr>
          <w:rFonts w:eastAsia="+mn-ea"/>
          <w:color w:val="000000"/>
          <w:kern w:val="24"/>
          <w:lang w:val="en-US"/>
        </w:rPr>
        <w:t>, including IL-2/IFN-</w:t>
      </w:r>
      <w:r w:rsidR="00AA30F3">
        <w:rPr>
          <w:rFonts w:ascii="Symbol" w:eastAsia="+mn-ea" w:hAnsi="Symbol"/>
          <w:color w:val="000000"/>
          <w:kern w:val="24"/>
          <w:lang w:val="en-US"/>
        </w:rPr>
        <w:t></w:t>
      </w:r>
      <w:r w:rsidR="001D5FDD" w:rsidRPr="00185CC0">
        <w:rPr>
          <w:rFonts w:eastAsia="+mn-ea"/>
          <w:color w:val="000000"/>
          <w:kern w:val="24"/>
          <w:lang w:val="en-US"/>
        </w:rPr>
        <w:t xml:space="preserve">, </w:t>
      </w:r>
      <w:proofErr w:type="spellStart"/>
      <w:r w:rsidR="001D5FDD" w:rsidRPr="00185CC0">
        <w:rPr>
          <w:rFonts w:eastAsia="+mn-ea"/>
          <w:color w:val="000000"/>
          <w:kern w:val="24"/>
          <w:lang w:val="en-US"/>
        </w:rPr>
        <w:t>ipilimumab</w:t>
      </w:r>
      <w:proofErr w:type="spellEnd"/>
      <w:r w:rsidR="001D5FDD" w:rsidRPr="00185CC0">
        <w:rPr>
          <w:rFonts w:eastAsia="+mn-ea"/>
          <w:color w:val="000000"/>
          <w:kern w:val="24"/>
          <w:lang w:val="en-US"/>
        </w:rPr>
        <w:t xml:space="preserve"> and TIL-ACT.</w:t>
      </w:r>
      <w:proofErr w:type="gramEnd"/>
    </w:p>
    <w:p w14:paraId="579507DC" w14:textId="77777777" w:rsidR="0052253D" w:rsidRPr="000F5884" w:rsidRDefault="0052253D" w:rsidP="00454EF5">
      <w:pPr>
        <w:spacing w:line="480" w:lineRule="auto"/>
        <w:rPr>
          <w:lang w:val="en-US"/>
        </w:rPr>
      </w:pPr>
    </w:p>
    <w:sectPr w:rsidR="0052253D" w:rsidRPr="000F5884" w:rsidSect="002B5D78">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1C254" w14:textId="77777777" w:rsidR="002B5D78" w:rsidRDefault="002B5D78" w:rsidP="002B5D78">
      <w:pPr>
        <w:spacing w:after="0" w:line="240" w:lineRule="auto"/>
      </w:pPr>
      <w:r>
        <w:separator/>
      </w:r>
    </w:p>
  </w:endnote>
  <w:endnote w:type="continuationSeparator" w:id="0">
    <w:p w14:paraId="7615D714" w14:textId="77777777" w:rsidR="002B5D78" w:rsidRDefault="002B5D78" w:rsidP="002B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473458"/>
      <w:docPartObj>
        <w:docPartGallery w:val="Page Numbers (Bottom of Page)"/>
        <w:docPartUnique/>
      </w:docPartObj>
    </w:sdtPr>
    <w:sdtEndPr/>
    <w:sdtContent>
      <w:p w14:paraId="519E822B" w14:textId="6B909BEC" w:rsidR="002B5D78" w:rsidRDefault="002B5D78">
        <w:pPr>
          <w:pStyle w:val="Sidefod"/>
          <w:jc w:val="right"/>
        </w:pPr>
        <w:r>
          <w:fldChar w:fldCharType="begin"/>
        </w:r>
        <w:r>
          <w:instrText>PAGE   \* MERGEFORMAT</w:instrText>
        </w:r>
        <w:r>
          <w:fldChar w:fldCharType="separate"/>
        </w:r>
        <w:r w:rsidR="00D537E1">
          <w:rPr>
            <w:noProof/>
          </w:rPr>
          <w:t>11</w:t>
        </w:r>
        <w:r>
          <w:fldChar w:fldCharType="end"/>
        </w:r>
      </w:p>
    </w:sdtContent>
  </w:sdt>
  <w:p w14:paraId="7A64741C" w14:textId="77777777" w:rsidR="002B5D78" w:rsidRDefault="002B5D78">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8B81B" w14:textId="77777777" w:rsidR="002B5D78" w:rsidRDefault="002B5D78" w:rsidP="002B5D78">
      <w:pPr>
        <w:spacing w:after="0" w:line="240" w:lineRule="auto"/>
      </w:pPr>
      <w:r>
        <w:separator/>
      </w:r>
    </w:p>
  </w:footnote>
  <w:footnote w:type="continuationSeparator" w:id="0">
    <w:p w14:paraId="3EF134DB" w14:textId="77777777" w:rsidR="002B5D78" w:rsidRDefault="002B5D78" w:rsidP="002B5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A0C"/>
    <w:multiLevelType w:val="hybridMultilevel"/>
    <w:tmpl w:val="FC2CC668"/>
    <w:lvl w:ilvl="0" w:tplc="31420408">
      <w:start w:val="1"/>
      <w:numFmt w:val="upperLetter"/>
      <w:lvlText w:val="(%1)"/>
      <w:lvlJc w:val="left"/>
      <w:pPr>
        <w:tabs>
          <w:tab w:val="num" w:pos="720"/>
        </w:tabs>
        <w:ind w:left="720" w:hanging="360"/>
      </w:pPr>
    </w:lvl>
    <w:lvl w:ilvl="1" w:tplc="F06ACFD2" w:tentative="1">
      <w:start w:val="1"/>
      <w:numFmt w:val="upperLetter"/>
      <w:lvlText w:val="(%2)"/>
      <w:lvlJc w:val="left"/>
      <w:pPr>
        <w:tabs>
          <w:tab w:val="num" w:pos="1440"/>
        </w:tabs>
        <w:ind w:left="1440" w:hanging="360"/>
      </w:pPr>
    </w:lvl>
    <w:lvl w:ilvl="2" w:tplc="50880976" w:tentative="1">
      <w:start w:val="1"/>
      <w:numFmt w:val="upperLetter"/>
      <w:lvlText w:val="(%3)"/>
      <w:lvlJc w:val="left"/>
      <w:pPr>
        <w:tabs>
          <w:tab w:val="num" w:pos="2160"/>
        </w:tabs>
        <w:ind w:left="2160" w:hanging="360"/>
      </w:pPr>
    </w:lvl>
    <w:lvl w:ilvl="3" w:tplc="6F02081E" w:tentative="1">
      <w:start w:val="1"/>
      <w:numFmt w:val="upperLetter"/>
      <w:lvlText w:val="(%4)"/>
      <w:lvlJc w:val="left"/>
      <w:pPr>
        <w:tabs>
          <w:tab w:val="num" w:pos="2880"/>
        </w:tabs>
        <w:ind w:left="2880" w:hanging="360"/>
      </w:pPr>
    </w:lvl>
    <w:lvl w:ilvl="4" w:tplc="A582F3FE" w:tentative="1">
      <w:start w:val="1"/>
      <w:numFmt w:val="upperLetter"/>
      <w:lvlText w:val="(%5)"/>
      <w:lvlJc w:val="left"/>
      <w:pPr>
        <w:tabs>
          <w:tab w:val="num" w:pos="3600"/>
        </w:tabs>
        <w:ind w:left="3600" w:hanging="360"/>
      </w:pPr>
    </w:lvl>
    <w:lvl w:ilvl="5" w:tplc="E6E20D3E" w:tentative="1">
      <w:start w:val="1"/>
      <w:numFmt w:val="upperLetter"/>
      <w:lvlText w:val="(%6)"/>
      <w:lvlJc w:val="left"/>
      <w:pPr>
        <w:tabs>
          <w:tab w:val="num" w:pos="4320"/>
        </w:tabs>
        <w:ind w:left="4320" w:hanging="360"/>
      </w:pPr>
    </w:lvl>
    <w:lvl w:ilvl="6" w:tplc="4B08D6C6" w:tentative="1">
      <w:start w:val="1"/>
      <w:numFmt w:val="upperLetter"/>
      <w:lvlText w:val="(%7)"/>
      <w:lvlJc w:val="left"/>
      <w:pPr>
        <w:tabs>
          <w:tab w:val="num" w:pos="5040"/>
        </w:tabs>
        <w:ind w:left="5040" w:hanging="360"/>
      </w:pPr>
    </w:lvl>
    <w:lvl w:ilvl="7" w:tplc="29983594" w:tentative="1">
      <w:start w:val="1"/>
      <w:numFmt w:val="upperLetter"/>
      <w:lvlText w:val="(%8)"/>
      <w:lvlJc w:val="left"/>
      <w:pPr>
        <w:tabs>
          <w:tab w:val="num" w:pos="5760"/>
        </w:tabs>
        <w:ind w:left="5760" w:hanging="360"/>
      </w:pPr>
    </w:lvl>
    <w:lvl w:ilvl="8" w:tplc="EB081C94"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884"/>
    <w:rsid w:val="00002EE2"/>
    <w:rsid w:val="00041779"/>
    <w:rsid w:val="00055043"/>
    <w:rsid w:val="00090F33"/>
    <w:rsid w:val="000D2E11"/>
    <w:rsid w:val="000F5884"/>
    <w:rsid w:val="00162E17"/>
    <w:rsid w:val="00185CC0"/>
    <w:rsid w:val="00194A6B"/>
    <w:rsid w:val="0019790B"/>
    <w:rsid w:val="001D52DF"/>
    <w:rsid w:val="001D5FDD"/>
    <w:rsid w:val="001F7DBA"/>
    <w:rsid w:val="002B5D78"/>
    <w:rsid w:val="002D3676"/>
    <w:rsid w:val="002D7191"/>
    <w:rsid w:val="003A44BD"/>
    <w:rsid w:val="00403637"/>
    <w:rsid w:val="00454EF5"/>
    <w:rsid w:val="00460546"/>
    <w:rsid w:val="00467EE5"/>
    <w:rsid w:val="0052253D"/>
    <w:rsid w:val="005868DF"/>
    <w:rsid w:val="00613AC2"/>
    <w:rsid w:val="006611C4"/>
    <w:rsid w:val="006C4D00"/>
    <w:rsid w:val="007449B4"/>
    <w:rsid w:val="007659B0"/>
    <w:rsid w:val="007B4B24"/>
    <w:rsid w:val="008320D7"/>
    <w:rsid w:val="00895B95"/>
    <w:rsid w:val="008B3BB3"/>
    <w:rsid w:val="00983FB5"/>
    <w:rsid w:val="00992D76"/>
    <w:rsid w:val="009B202B"/>
    <w:rsid w:val="009D19D0"/>
    <w:rsid w:val="009F1943"/>
    <w:rsid w:val="00AA30F3"/>
    <w:rsid w:val="00AA4968"/>
    <w:rsid w:val="00AC63BE"/>
    <w:rsid w:val="00B110CD"/>
    <w:rsid w:val="00BE7898"/>
    <w:rsid w:val="00D30845"/>
    <w:rsid w:val="00D43B49"/>
    <w:rsid w:val="00D5311F"/>
    <w:rsid w:val="00D537E1"/>
    <w:rsid w:val="00D868BC"/>
    <w:rsid w:val="00ED316F"/>
    <w:rsid w:val="00EE2F60"/>
    <w:rsid w:val="00EE7D48"/>
    <w:rsid w:val="00F53E13"/>
    <w:rsid w:val="00F937BF"/>
    <w:rsid w:val="00FE358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9A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F588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5884"/>
    <w:rPr>
      <w:rFonts w:ascii="Tahoma" w:hAnsi="Tahoma" w:cs="Tahoma"/>
      <w:sz w:val="16"/>
      <w:szCs w:val="16"/>
    </w:rPr>
  </w:style>
  <w:style w:type="paragraph" w:styleId="NormalWeb">
    <w:name w:val="Normal (Web)"/>
    <w:basedOn w:val="Normal"/>
    <w:uiPriority w:val="99"/>
    <w:unhideWhenUsed/>
    <w:rsid w:val="000F588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90F33"/>
    <w:pPr>
      <w:spacing w:after="0" w:line="240" w:lineRule="auto"/>
      <w:ind w:left="720"/>
      <w:contextualSpacing/>
    </w:pPr>
    <w:rPr>
      <w:rFonts w:ascii="Times New Roman" w:eastAsia="Times New Roman" w:hAnsi="Times New Roman" w:cs="Times New Roman"/>
      <w:sz w:val="24"/>
      <w:szCs w:val="24"/>
      <w:lang w:val="en-US"/>
    </w:rPr>
  </w:style>
  <w:style w:type="paragraph" w:styleId="Ingenafstand">
    <w:name w:val="No Spacing"/>
    <w:uiPriority w:val="1"/>
    <w:qFormat/>
    <w:rsid w:val="00090F33"/>
    <w:pPr>
      <w:spacing w:after="0" w:line="240" w:lineRule="auto"/>
    </w:pPr>
  </w:style>
  <w:style w:type="paragraph" w:styleId="Sidehoved">
    <w:name w:val="header"/>
    <w:basedOn w:val="Normal"/>
    <w:link w:val="SidehovedTegn"/>
    <w:uiPriority w:val="99"/>
    <w:unhideWhenUsed/>
    <w:rsid w:val="002B5D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B5D78"/>
  </w:style>
  <w:style w:type="paragraph" w:styleId="Sidefod">
    <w:name w:val="footer"/>
    <w:basedOn w:val="Normal"/>
    <w:link w:val="SidefodTegn"/>
    <w:uiPriority w:val="99"/>
    <w:unhideWhenUsed/>
    <w:rsid w:val="002B5D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B5D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F588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5884"/>
    <w:rPr>
      <w:rFonts w:ascii="Tahoma" w:hAnsi="Tahoma" w:cs="Tahoma"/>
      <w:sz w:val="16"/>
      <w:szCs w:val="16"/>
    </w:rPr>
  </w:style>
  <w:style w:type="paragraph" w:styleId="NormalWeb">
    <w:name w:val="Normal (Web)"/>
    <w:basedOn w:val="Normal"/>
    <w:uiPriority w:val="99"/>
    <w:unhideWhenUsed/>
    <w:rsid w:val="000F588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90F33"/>
    <w:pPr>
      <w:spacing w:after="0" w:line="240" w:lineRule="auto"/>
      <w:ind w:left="720"/>
      <w:contextualSpacing/>
    </w:pPr>
    <w:rPr>
      <w:rFonts w:ascii="Times New Roman" w:eastAsia="Times New Roman" w:hAnsi="Times New Roman" w:cs="Times New Roman"/>
      <w:sz w:val="24"/>
      <w:szCs w:val="24"/>
      <w:lang w:val="en-US"/>
    </w:rPr>
  </w:style>
  <w:style w:type="paragraph" w:styleId="Ingenafstand">
    <w:name w:val="No Spacing"/>
    <w:uiPriority w:val="1"/>
    <w:qFormat/>
    <w:rsid w:val="00090F33"/>
    <w:pPr>
      <w:spacing w:after="0" w:line="240" w:lineRule="auto"/>
    </w:pPr>
  </w:style>
  <w:style w:type="paragraph" w:styleId="Sidehoved">
    <w:name w:val="header"/>
    <w:basedOn w:val="Normal"/>
    <w:link w:val="SidehovedTegn"/>
    <w:uiPriority w:val="99"/>
    <w:unhideWhenUsed/>
    <w:rsid w:val="002B5D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B5D78"/>
  </w:style>
  <w:style w:type="paragraph" w:styleId="Sidefod">
    <w:name w:val="footer"/>
    <w:basedOn w:val="Normal"/>
    <w:link w:val="SidefodTegn"/>
    <w:uiPriority w:val="99"/>
    <w:unhideWhenUsed/>
    <w:rsid w:val="002B5D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B5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14731">
      <w:bodyDiv w:val="1"/>
      <w:marLeft w:val="0"/>
      <w:marRight w:val="0"/>
      <w:marTop w:val="0"/>
      <w:marBottom w:val="0"/>
      <w:divBdr>
        <w:top w:val="none" w:sz="0" w:space="0" w:color="auto"/>
        <w:left w:val="none" w:sz="0" w:space="0" w:color="auto"/>
        <w:bottom w:val="none" w:sz="0" w:space="0" w:color="auto"/>
        <w:right w:val="none" w:sz="0" w:space="0" w:color="auto"/>
      </w:divBdr>
    </w:div>
    <w:div w:id="378748954">
      <w:bodyDiv w:val="1"/>
      <w:marLeft w:val="0"/>
      <w:marRight w:val="0"/>
      <w:marTop w:val="0"/>
      <w:marBottom w:val="0"/>
      <w:divBdr>
        <w:top w:val="none" w:sz="0" w:space="0" w:color="auto"/>
        <w:left w:val="none" w:sz="0" w:space="0" w:color="auto"/>
        <w:bottom w:val="none" w:sz="0" w:space="0" w:color="auto"/>
        <w:right w:val="none" w:sz="0" w:space="0" w:color="auto"/>
      </w:divBdr>
    </w:div>
    <w:div w:id="523783541">
      <w:bodyDiv w:val="1"/>
      <w:marLeft w:val="0"/>
      <w:marRight w:val="0"/>
      <w:marTop w:val="0"/>
      <w:marBottom w:val="0"/>
      <w:divBdr>
        <w:top w:val="none" w:sz="0" w:space="0" w:color="auto"/>
        <w:left w:val="none" w:sz="0" w:space="0" w:color="auto"/>
        <w:bottom w:val="none" w:sz="0" w:space="0" w:color="auto"/>
        <w:right w:val="none" w:sz="0" w:space="0" w:color="auto"/>
      </w:divBdr>
    </w:div>
    <w:div w:id="557014564">
      <w:bodyDiv w:val="1"/>
      <w:marLeft w:val="0"/>
      <w:marRight w:val="0"/>
      <w:marTop w:val="0"/>
      <w:marBottom w:val="0"/>
      <w:divBdr>
        <w:top w:val="none" w:sz="0" w:space="0" w:color="auto"/>
        <w:left w:val="none" w:sz="0" w:space="0" w:color="auto"/>
        <w:bottom w:val="none" w:sz="0" w:space="0" w:color="auto"/>
        <w:right w:val="none" w:sz="0" w:space="0" w:color="auto"/>
      </w:divBdr>
    </w:div>
    <w:div w:id="571476565">
      <w:bodyDiv w:val="1"/>
      <w:marLeft w:val="0"/>
      <w:marRight w:val="0"/>
      <w:marTop w:val="0"/>
      <w:marBottom w:val="0"/>
      <w:divBdr>
        <w:top w:val="none" w:sz="0" w:space="0" w:color="auto"/>
        <w:left w:val="none" w:sz="0" w:space="0" w:color="auto"/>
        <w:bottom w:val="none" w:sz="0" w:space="0" w:color="auto"/>
        <w:right w:val="none" w:sz="0" w:space="0" w:color="auto"/>
      </w:divBdr>
    </w:div>
    <w:div w:id="695892575">
      <w:bodyDiv w:val="1"/>
      <w:marLeft w:val="0"/>
      <w:marRight w:val="0"/>
      <w:marTop w:val="0"/>
      <w:marBottom w:val="0"/>
      <w:divBdr>
        <w:top w:val="none" w:sz="0" w:space="0" w:color="auto"/>
        <w:left w:val="none" w:sz="0" w:space="0" w:color="auto"/>
        <w:bottom w:val="none" w:sz="0" w:space="0" w:color="auto"/>
        <w:right w:val="none" w:sz="0" w:space="0" w:color="auto"/>
      </w:divBdr>
    </w:div>
    <w:div w:id="783505207">
      <w:bodyDiv w:val="1"/>
      <w:marLeft w:val="0"/>
      <w:marRight w:val="0"/>
      <w:marTop w:val="0"/>
      <w:marBottom w:val="0"/>
      <w:divBdr>
        <w:top w:val="none" w:sz="0" w:space="0" w:color="auto"/>
        <w:left w:val="none" w:sz="0" w:space="0" w:color="auto"/>
        <w:bottom w:val="none" w:sz="0" w:space="0" w:color="auto"/>
        <w:right w:val="none" w:sz="0" w:space="0" w:color="auto"/>
      </w:divBdr>
    </w:div>
    <w:div w:id="807481770">
      <w:bodyDiv w:val="1"/>
      <w:marLeft w:val="0"/>
      <w:marRight w:val="0"/>
      <w:marTop w:val="0"/>
      <w:marBottom w:val="0"/>
      <w:divBdr>
        <w:top w:val="none" w:sz="0" w:space="0" w:color="auto"/>
        <w:left w:val="none" w:sz="0" w:space="0" w:color="auto"/>
        <w:bottom w:val="none" w:sz="0" w:space="0" w:color="auto"/>
        <w:right w:val="none" w:sz="0" w:space="0" w:color="auto"/>
      </w:divBdr>
    </w:div>
    <w:div w:id="1071274470">
      <w:bodyDiv w:val="1"/>
      <w:marLeft w:val="0"/>
      <w:marRight w:val="0"/>
      <w:marTop w:val="0"/>
      <w:marBottom w:val="0"/>
      <w:divBdr>
        <w:top w:val="none" w:sz="0" w:space="0" w:color="auto"/>
        <w:left w:val="none" w:sz="0" w:space="0" w:color="auto"/>
        <w:bottom w:val="none" w:sz="0" w:space="0" w:color="auto"/>
        <w:right w:val="none" w:sz="0" w:space="0" w:color="auto"/>
      </w:divBdr>
    </w:div>
    <w:div w:id="1150369569">
      <w:bodyDiv w:val="1"/>
      <w:marLeft w:val="0"/>
      <w:marRight w:val="0"/>
      <w:marTop w:val="0"/>
      <w:marBottom w:val="0"/>
      <w:divBdr>
        <w:top w:val="none" w:sz="0" w:space="0" w:color="auto"/>
        <w:left w:val="none" w:sz="0" w:space="0" w:color="auto"/>
        <w:bottom w:val="none" w:sz="0" w:space="0" w:color="auto"/>
        <w:right w:val="none" w:sz="0" w:space="0" w:color="auto"/>
      </w:divBdr>
    </w:div>
    <w:div w:id="1425177826">
      <w:bodyDiv w:val="1"/>
      <w:marLeft w:val="0"/>
      <w:marRight w:val="0"/>
      <w:marTop w:val="0"/>
      <w:marBottom w:val="0"/>
      <w:divBdr>
        <w:top w:val="none" w:sz="0" w:space="0" w:color="auto"/>
        <w:left w:val="none" w:sz="0" w:space="0" w:color="auto"/>
        <w:bottom w:val="none" w:sz="0" w:space="0" w:color="auto"/>
        <w:right w:val="none" w:sz="0" w:space="0" w:color="auto"/>
      </w:divBdr>
    </w:div>
    <w:div w:id="1558929122">
      <w:bodyDiv w:val="1"/>
      <w:marLeft w:val="0"/>
      <w:marRight w:val="0"/>
      <w:marTop w:val="0"/>
      <w:marBottom w:val="0"/>
      <w:divBdr>
        <w:top w:val="none" w:sz="0" w:space="0" w:color="auto"/>
        <w:left w:val="none" w:sz="0" w:space="0" w:color="auto"/>
        <w:bottom w:val="none" w:sz="0" w:space="0" w:color="auto"/>
        <w:right w:val="none" w:sz="0" w:space="0" w:color="auto"/>
      </w:divBdr>
    </w:div>
    <w:div w:id="1570531638">
      <w:bodyDiv w:val="1"/>
      <w:marLeft w:val="0"/>
      <w:marRight w:val="0"/>
      <w:marTop w:val="0"/>
      <w:marBottom w:val="0"/>
      <w:divBdr>
        <w:top w:val="none" w:sz="0" w:space="0" w:color="auto"/>
        <w:left w:val="none" w:sz="0" w:space="0" w:color="auto"/>
        <w:bottom w:val="none" w:sz="0" w:space="0" w:color="auto"/>
        <w:right w:val="none" w:sz="0" w:space="0" w:color="auto"/>
      </w:divBdr>
    </w:div>
    <w:div w:id="1686403498">
      <w:bodyDiv w:val="1"/>
      <w:marLeft w:val="0"/>
      <w:marRight w:val="0"/>
      <w:marTop w:val="0"/>
      <w:marBottom w:val="0"/>
      <w:divBdr>
        <w:top w:val="none" w:sz="0" w:space="0" w:color="auto"/>
        <w:left w:val="none" w:sz="0" w:space="0" w:color="auto"/>
        <w:bottom w:val="none" w:sz="0" w:space="0" w:color="auto"/>
        <w:right w:val="none" w:sz="0" w:space="0" w:color="auto"/>
      </w:divBdr>
    </w:div>
    <w:div w:id="1717464905">
      <w:bodyDiv w:val="1"/>
      <w:marLeft w:val="0"/>
      <w:marRight w:val="0"/>
      <w:marTop w:val="0"/>
      <w:marBottom w:val="0"/>
      <w:divBdr>
        <w:top w:val="none" w:sz="0" w:space="0" w:color="auto"/>
        <w:left w:val="none" w:sz="0" w:space="0" w:color="auto"/>
        <w:bottom w:val="none" w:sz="0" w:space="0" w:color="auto"/>
        <w:right w:val="none" w:sz="0" w:space="0" w:color="auto"/>
      </w:divBdr>
    </w:div>
    <w:div w:id="1730417611">
      <w:bodyDiv w:val="1"/>
      <w:marLeft w:val="0"/>
      <w:marRight w:val="0"/>
      <w:marTop w:val="0"/>
      <w:marBottom w:val="0"/>
      <w:divBdr>
        <w:top w:val="none" w:sz="0" w:space="0" w:color="auto"/>
        <w:left w:val="none" w:sz="0" w:space="0" w:color="auto"/>
        <w:bottom w:val="none" w:sz="0" w:space="0" w:color="auto"/>
        <w:right w:val="none" w:sz="0" w:space="0" w:color="auto"/>
      </w:divBdr>
      <w:divsChild>
        <w:div w:id="484859493">
          <w:marLeft w:val="360"/>
          <w:marRight w:val="0"/>
          <w:marTop w:val="0"/>
          <w:marBottom w:val="0"/>
          <w:divBdr>
            <w:top w:val="none" w:sz="0" w:space="0" w:color="auto"/>
            <w:left w:val="none" w:sz="0" w:space="0" w:color="auto"/>
            <w:bottom w:val="none" w:sz="0" w:space="0" w:color="auto"/>
            <w:right w:val="none" w:sz="0" w:space="0" w:color="auto"/>
          </w:divBdr>
        </w:div>
      </w:divsChild>
    </w:div>
    <w:div w:id="1928347002">
      <w:bodyDiv w:val="1"/>
      <w:marLeft w:val="0"/>
      <w:marRight w:val="0"/>
      <w:marTop w:val="0"/>
      <w:marBottom w:val="0"/>
      <w:divBdr>
        <w:top w:val="none" w:sz="0" w:space="0" w:color="auto"/>
        <w:left w:val="none" w:sz="0" w:space="0" w:color="auto"/>
        <w:bottom w:val="none" w:sz="0" w:space="0" w:color="auto"/>
        <w:right w:val="none" w:sz="0" w:space="0" w:color="auto"/>
      </w:divBdr>
    </w:div>
    <w:div w:id="1937981493">
      <w:bodyDiv w:val="1"/>
      <w:marLeft w:val="0"/>
      <w:marRight w:val="0"/>
      <w:marTop w:val="0"/>
      <w:marBottom w:val="0"/>
      <w:divBdr>
        <w:top w:val="none" w:sz="0" w:space="0" w:color="auto"/>
        <w:left w:val="none" w:sz="0" w:space="0" w:color="auto"/>
        <w:bottom w:val="none" w:sz="0" w:space="0" w:color="auto"/>
        <w:right w:val="none" w:sz="0" w:space="0" w:color="auto"/>
      </w:divBdr>
    </w:div>
    <w:div w:id="1983919362">
      <w:bodyDiv w:val="1"/>
      <w:marLeft w:val="0"/>
      <w:marRight w:val="0"/>
      <w:marTop w:val="0"/>
      <w:marBottom w:val="0"/>
      <w:divBdr>
        <w:top w:val="none" w:sz="0" w:space="0" w:color="auto"/>
        <w:left w:val="none" w:sz="0" w:space="0" w:color="auto"/>
        <w:bottom w:val="none" w:sz="0" w:space="0" w:color="auto"/>
        <w:right w:val="none" w:sz="0" w:space="0" w:color="auto"/>
      </w:divBdr>
    </w:div>
    <w:div w:id="21115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871</Words>
  <Characters>4966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Rikke Andersen</dc:creator>
  <cp:lastModifiedBy>Rikke Andersen</cp:lastModifiedBy>
  <cp:revision>3</cp:revision>
  <cp:lastPrinted>2015-07-27T11:39:00Z</cp:lastPrinted>
  <dcterms:created xsi:type="dcterms:W3CDTF">2016-01-15T09:36:00Z</dcterms:created>
  <dcterms:modified xsi:type="dcterms:W3CDTF">2016-01-15T09:36:00Z</dcterms:modified>
</cp:coreProperties>
</file>