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6B" w:rsidRPr="00521277" w:rsidRDefault="0077316B" w:rsidP="0077316B">
      <w:pPr>
        <w:pStyle w:val="NormalWeb"/>
        <w:spacing w:beforeLines="0" w:afterLines="0" w:line="480" w:lineRule="auto"/>
        <w:jc w:val="both"/>
        <w:rPr>
          <w:rFonts w:ascii="Arial" w:eastAsiaTheme="minorHAnsi" w:hAnsi="Arial" w:cs="Arial"/>
          <w:b/>
          <w:sz w:val="22"/>
          <w:szCs w:val="24"/>
        </w:rPr>
      </w:pPr>
      <w:r w:rsidRPr="00521277">
        <w:rPr>
          <w:rFonts w:ascii="Arial" w:eastAsiaTheme="minorHAnsi" w:hAnsi="Arial" w:cs="Arial"/>
          <w:b/>
          <w:sz w:val="22"/>
          <w:szCs w:val="24"/>
        </w:rPr>
        <w:t>Supplementary Table 1</w:t>
      </w:r>
    </w:p>
    <w:tbl>
      <w:tblPr>
        <w:tblW w:w="8338" w:type="dxa"/>
        <w:jc w:val="center"/>
        <w:tblInd w:w="690" w:type="dxa"/>
        <w:tblCellMar>
          <w:left w:w="0" w:type="dxa"/>
          <w:right w:w="0" w:type="dxa"/>
        </w:tblCellMar>
        <w:tblLook w:val="0000"/>
      </w:tblPr>
      <w:tblGrid>
        <w:gridCol w:w="1299"/>
        <w:gridCol w:w="1166"/>
        <w:gridCol w:w="903"/>
        <w:gridCol w:w="1022"/>
        <w:gridCol w:w="737"/>
        <w:gridCol w:w="1027"/>
        <w:gridCol w:w="1027"/>
        <w:gridCol w:w="1157"/>
      </w:tblGrid>
      <w:tr w:rsidR="0077316B" w:rsidRPr="00521277">
        <w:trPr>
          <w:trHeight w:val="61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48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48"/>
                <w:lang w:eastAsia="en-US"/>
              </w:rPr>
              <w:t>Tumor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48"/>
                <w:lang w:eastAsia="en-US"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48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48"/>
                <w:lang w:eastAsia="en-US"/>
              </w:rPr>
              <w:t>Plasma</w:t>
            </w:r>
          </w:p>
        </w:tc>
      </w:tr>
      <w:tr w:rsidR="0077316B" w:rsidRPr="00521277">
        <w:trPr>
          <w:trHeight w:val="61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sz w:val="20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Cytokine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FLTK-/-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WT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Change (%)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FLTK-/-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WT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Change (%)</w:t>
            </w:r>
          </w:p>
        </w:tc>
      </w:tr>
      <w:tr w:rsidR="0077316B" w:rsidRPr="00521277">
        <w:trPr>
          <w:trHeight w:val="61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sz w:val="20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IFN-γ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B51911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2.9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0.7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2.4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0.8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DE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0.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4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05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9756C7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0.7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36%</w:t>
            </w:r>
          </w:p>
        </w:tc>
      </w:tr>
      <w:tr w:rsidR="0077316B" w:rsidRPr="00521277">
        <w:trPr>
          <w:trHeight w:val="48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sz w:val="20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IL-10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sz w:val="20"/>
                <w:szCs w:val="36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4.1</w:t>
            </w:r>
          </w:p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(0.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4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5.3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0.6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23%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9756C7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15.1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1.8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9756C7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20.4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3.2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26%</w:t>
            </w:r>
          </w:p>
        </w:tc>
      </w:tr>
      <w:tr w:rsidR="0077316B" w:rsidRPr="00521277">
        <w:trPr>
          <w:trHeight w:val="48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sz w:val="20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IL-12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31.5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3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.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2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sz w:val="20"/>
                <w:szCs w:val="36"/>
                <w:lang w:eastAsia="en-US"/>
              </w:rPr>
            </w:pP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43.4</w:t>
            </w:r>
          </w:p>
          <w:p w:rsidR="0077316B" w:rsidRPr="00AA1F03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(</w:t>
            </w: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4.9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27%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9756C7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23.5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3.7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6862A5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19.8 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2.8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DE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19%</w:t>
            </w:r>
          </w:p>
        </w:tc>
      </w:tr>
      <w:tr w:rsidR="0077316B" w:rsidRPr="00521277">
        <w:trPr>
          <w:trHeight w:val="48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sz w:val="20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IL-1β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20.7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5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.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2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53.7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9.7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43%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0.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4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05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1.3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3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68%</w:t>
            </w:r>
          </w:p>
        </w:tc>
      </w:tr>
      <w:tr w:rsidR="0077316B" w:rsidRPr="00521277">
        <w:trPr>
          <w:trHeight w:val="48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i/>
                <w:iCs/>
                <w:color w:val="000000"/>
                <w:kern w:val="24"/>
                <w:sz w:val="20"/>
                <w:szCs w:val="32"/>
                <w:lang w:eastAsia="en-US"/>
              </w:rPr>
              <w:t>IL-2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1.6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1.9 (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0.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3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1.4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2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1.3</w:t>
            </w:r>
          </w:p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(0.</w:t>
            </w: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4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39%</w:t>
            </w:r>
          </w:p>
        </w:tc>
      </w:tr>
      <w:tr w:rsidR="0077316B" w:rsidRPr="00521277">
        <w:trPr>
          <w:trHeight w:val="48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i/>
                <w:iCs/>
                <w:color w:val="000000"/>
                <w:kern w:val="24"/>
                <w:sz w:val="20"/>
                <w:szCs w:val="32"/>
                <w:lang w:eastAsia="en-US"/>
              </w:rPr>
              <w:t>IL-4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0.6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 xml:space="preserve"> (0.1)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0.8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1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29%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A9257D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0.5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05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0.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4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05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DE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30%</w:t>
            </w:r>
          </w:p>
        </w:tc>
      </w:tr>
      <w:tr w:rsidR="0077316B" w:rsidRPr="00521277">
        <w:trPr>
          <w:trHeight w:val="48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i/>
                <w:iCs/>
                <w:color w:val="000000"/>
                <w:kern w:val="24"/>
                <w:sz w:val="20"/>
                <w:szCs w:val="32"/>
                <w:lang w:eastAsia="en-US"/>
              </w:rPr>
              <w:t>IL-5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0.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2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 xml:space="preserve"> (0.0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1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0.</w:t>
            </w: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3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 xml:space="preserve"> (0.0</w:t>
            </w:r>
            <w:r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3</w:t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31%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1.5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4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1.7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(0.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3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10%</w:t>
            </w:r>
          </w:p>
        </w:tc>
      </w:tr>
      <w:tr w:rsidR="0077316B" w:rsidRPr="00521277">
        <w:trPr>
          <w:trHeight w:val="48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sz w:val="20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IL-6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82.9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8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3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124 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27.8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DE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D11B8F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49.7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15.6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D11B8F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48.8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12.6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DE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2%</w:t>
            </w:r>
          </w:p>
        </w:tc>
      </w:tr>
      <w:tr w:rsidR="0077316B" w:rsidRPr="00521277">
        <w:trPr>
          <w:trHeight w:val="48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sz w:val="20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CXCL-1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177.8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12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5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112.3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12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7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DE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Default="0077316B" w:rsidP="00107F48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168.2</w:t>
            </w:r>
          </w:p>
          <w:p w:rsidR="0077316B" w:rsidRPr="00521277" w:rsidRDefault="0077316B" w:rsidP="00107F48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(33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217.3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32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23%</w:t>
            </w:r>
          </w:p>
        </w:tc>
      </w:tr>
      <w:tr w:rsidR="0077316B" w:rsidRPr="00521277">
        <w:trPr>
          <w:trHeight w:val="481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sz w:val="20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0"/>
                <w:szCs w:val="32"/>
                <w:lang w:eastAsia="en-US"/>
              </w:rPr>
              <w:t>TNF-α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9.1</w:t>
            </w:r>
          </w:p>
          <w:p w:rsidR="0077316B" w:rsidRPr="00521277" w:rsidRDefault="0077316B" w:rsidP="008C15F9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2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8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4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1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.</w:t>
            </w:r>
            <w:r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4</w:t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</w:pP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sym w:font="Wingdings 3" w:char="F0DE"/>
            </w:r>
            <w:r w:rsidRPr="00521277">
              <w:rPr>
                <w:rFonts w:ascii="Arial" w:eastAsiaTheme="minorHAnsi" w:hAnsi="Arial"/>
                <w:color w:val="A6A6A6"/>
                <w:kern w:val="24"/>
                <w:sz w:val="20"/>
                <w:szCs w:val="32"/>
                <w:lang w:eastAsia="en-US"/>
              </w:rPr>
              <w:t>8.5%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07F48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6.9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0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.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7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5)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107F48">
            <w:pPr>
              <w:spacing w:before="2" w:after="2" w:line="240" w:lineRule="auto"/>
              <w:jc w:val="center"/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10.9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 xml:space="preserve"> (</w:t>
            </w:r>
            <w:r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2.3</w:t>
            </w:r>
            <w:r w:rsidRPr="00521277">
              <w:rPr>
                <w:rFonts w:ascii="Arial" w:eastAsiaTheme="minorHAnsi" w:hAnsi="Arial"/>
                <w:color w:val="000000"/>
                <w:kern w:val="24"/>
                <w:sz w:val="20"/>
                <w:szCs w:val="32"/>
                <w:lang w:eastAsia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AA1F03" w:rsidRDefault="0077316B" w:rsidP="0011414A">
            <w:pPr>
              <w:spacing w:before="2" w:after="2" w:line="240" w:lineRule="auto"/>
              <w:jc w:val="center"/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</w:pP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sym w:font="Wingdings 3" w:char="F0E0"/>
            </w:r>
            <w:r w:rsidRPr="00AA1F03">
              <w:rPr>
                <w:rFonts w:ascii="Arial" w:eastAsiaTheme="minorHAnsi" w:hAnsi="Arial"/>
                <w:kern w:val="24"/>
                <w:sz w:val="20"/>
                <w:szCs w:val="32"/>
                <w:lang w:eastAsia="en-US"/>
              </w:rPr>
              <w:t>37%</w:t>
            </w:r>
          </w:p>
        </w:tc>
      </w:tr>
    </w:tbl>
    <w:p w:rsidR="0077316B" w:rsidRDefault="0077316B" w:rsidP="0077316B">
      <w:pPr>
        <w:spacing w:before="2" w:after="2" w:line="480" w:lineRule="auto"/>
        <w:jc w:val="both"/>
        <w:rPr>
          <w:rFonts w:ascii="Arial" w:hAnsi="Arial"/>
          <w:b/>
          <w:sz w:val="18"/>
        </w:rPr>
      </w:pPr>
    </w:p>
    <w:p w:rsidR="0077316B" w:rsidRDefault="0077316B" w:rsidP="0077316B">
      <w:pPr>
        <w:spacing w:before="2" w:after="2" w:line="480" w:lineRule="auto"/>
        <w:jc w:val="both"/>
        <w:rPr>
          <w:rFonts w:ascii="Arial" w:hAnsi="Arial" w:cs="Helvetica"/>
          <w:sz w:val="18"/>
          <w:szCs w:val="36"/>
        </w:rPr>
      </w:pPr>
      <w:r w:rsidRPr="00521277">
        <w:rPr>
          <w:rFonts w:ascii="Arial" w:hAnsi="Arial"/>
          <w:b/>
          <w:sz w:val="18"/>
        </w:rPr>
        <w:t xml:space="preserve">Footnote: </w:t>
      </w:r>
      <w:r w:rsidRPr="00521277">
        <w:rPr>
          <w:rFonts w:ascii="Arial" w:hAnsi="Arial"/>
          <w:sz w:val="18"/>
        </w:rPr>
        <w:t>Values represent the protein concentration</w:t>
      </w:r>
      <w:r>
        <w:rPr>
          <w:rFonts w:ascii="Arial" w:hAnsi="Arial"/>
          <w:sz w:val="18"/>
        </w:rPr>
        <w:t xml:space="preserve"> (pg per mg of tissue protein)</w:t>
      </w:r>
      <w:r w:rsidRPr="00521277">
        <w:rPr>
          <w:rFonts w:ascii="Arial" w:hAnsi="Arial"/>
          <w:sz w:val="18"/>
        </w:rPr>
        <w:t xml:space="preserve"> in </w:t>
      </w:r>
      <w:r w:rsidRPr="00521277">
        <w:rPr>
          <w:rFonts w:ascii="Arial" w:hAnsi="Arial"/>
          <w:i/>
          <w:sz w:val="18"/>
        </w:rPr>
        <w:t>Flt1</w:t>
      </w:r>
      <w:r w:rsidRPr="00521277">
        <w:rPr>
          <w:rFonts w:ascii="Arial" w:hAnsi="Arial"/>
          <w:sz w:val="18"/>
          <w:vertAlign w:val="superscript"/>
        </w:rPr>
        <w:t xml:space="preserve">TK–/– </w:t>
      </w:r>
      <w:r w:rsidRPr="00521277">
        <w:rPr>
          <w:rFonts w:ascii="Arial" w:hAnsi="Arial"/>
          <w:sz w:val="18"/>
        </w:rPr>
        <w:t>vs. WT in PAN02 bearing obese mice, followed by the percentage of change. Bold numbers highlighted in grey represent significant differences (P &lt; 0.05)</w:t>
      </w:r>
      <w:proofErr w:type="gramStart"/>
      <w:r w:rsidRPr="00521277">
        <w:rPr>
          <w:rFonts w:ascii="Arial" w:hAnsi="Arial"/>
          <w:sz w:val="18"/>
        </w:rPr>
        <w:t>,</w:t>
      </w:r>
      <w:proofErr w:type="gramEnd"/>
      <w:r w:rsidRPr="00521277">
        <w:rPr>
          <w:rFonts w:ascii="Arial" w:hAnsi="Arial"/>
          <w:sz w:val="18"/>
        </w:rPr>
        <w:t xml:space="preserve"> bold numbers not highlight represent trends. Standard errors of the mean </w:t>
      </w:r>
      <w:r>
        <w:rPr>
          <w:rFonts w:ascii="Arial" w:hAnsi="Arial"/>
          <w:sz w:val="18"/>
        </w:rPr>
        <w:t>are</w:t>
      </w:r>
      <w:r w:rsidRPr="00521277">
        <w:rPr>
          <w:rFonts w:ascii="Arial" w:hAnsi="Arial"/>
          <w:sz w:val="18"/>
        </w:rPr>
        <w:t xml:space="preserve"> found in parenthes</w:t>
      </w:r>
      <w:r>
        <w:rPr>
          <w:rFonts w:ascii="Arial" w:hAnsi="Arial"/>
          <w:sz w:val="18"/>
        </w:rPr>
        <w:t>e</w:t>
      </w:r>
      <w:r w:rsidRPr="00521277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>.</w:t>
      </w:r>
      <w:r w:rsidRPr="00521277">
        <w:rPr>
          <w:rFonts w:ascii="Arial" w:hAnsi="Arial"/>
          <w:sz w:val="18"/>
        </w:rPr>
        <w:t xml:space="preserve"> Of note, </w:t>
      </w:r>
      <w:r w:rsidRPr="00521277">
        <w:rPr>
          <w:rFonts w:ascii="Arial" w:hAnsi="Arial" w:cs="Helvetica"/>
          <w:sz w:val="18"/>
          <w:szCs w:val="36"/>
        </w:rPr>
        <w:t>the cytokine expression in tumors of some cytokines presented in this table is also depicted in the form of a bar graph in Figure 3</w:t>
      </w:r>
      <w:r>
        <w:rPr>
          <w:rFonts w:ascii="Arial" w:hAnsi="Arial" w:cs="Helvetica"/>
          <w:sz w:val="18"/>
          <w:szCs w:val="36"/>
        </w:rPr>
        <w:t>D</w:t>
      </w:r>
      <w:r w:rsidRPr="00521277">
        <w:rPr>
          <w:rFonts w:ascii="Arial" w:hAnsi="Arial" w:cs="Helvetica"/>
          <w:sz w:val="18"/>
          <w:szCs w:val="36"/>
        </w:rPr>
        <w:t xml:space="preserve">.  </w:t>
      </w:r>
    </w:p>
    <w:p w:rsidR="0077316B" w:rsidRDefault="0077316B" w:rsidP="0077316B">
      <w:pPr>
        <w:spacing w:before="2" w:after="2" w:line="480" w:lineRule="auto"/>
        <w:jc w:val="both"/>
        <w:rPr>
          <w:rFonts w:ascii="Arial" w:hAnsi="Arial" w:cs="Helvetica"/>
          <w:sz w:val="18"/>
          <w:szCs w:val="36"/>
        </w:rPr>
      </w:pPr>
    </w:p>
    <w:p w:rsidR="0077316B" w:rsidRDefault="0077316B" w:rsidP="0077316B">
      <w:pPr>
        <w:spacing w:before="2" w:after="2" w:line="480" w:lineRule="auto"/>
        <w:jc w:val="both"/>
        <w:rPr>
          <w:rFonts w:ascii="Arial" w:hAnsi="Arial" w:cs="Helvetica"/>
          <w:sz w:val="18"/>
          <w:szCs w:val="36"/>
        </w:rPr>
      </w:pPr>
    </w:p>
    <w:p w:rsidR="0077316B" w:rsidRDefault="0077316B" w:rsidP="0077316B">
      <w:pPr>
        <w:spacing w:before="2" w:after="2" w:line="480" w:lineRule="auto"/>
        <w:jc w:val="both"/>
        <w:rPr>
          <w:rFonts w:ascii="Arial" w:hAnsi="Arial" w:cs="Helvetica"/>
          <w:sz w:val="18"/>
          <w:szCs w:val="36"/>
        </w:rPr>
      </w:pPr>
    </w:p>
    <w:p w:rsidR="00B41D11" w:rsidRDefault="00B41D11" w:rsidP="0077316B">
      <w:pPr>
        <w:pStyle w:val="NormalWeb"/>
        <w:spacing w:beforeLines="0" w:afterLines="0" w:line="480" w:lineRule="auto"/>
        <w:jc w:val="both"/>
        <w:rPr>
          <w:rFonts w:ascii="Arial" w:eastAsia="Times New Roman" w:hAnsi="Arial" w:cs="Helvetica"/>
          <w:sz w:val="18"/>
          <w:szCs w:val="36"/>
          <w:lang w:eastAsia="zh-CN"/>
        </w:rPr>
      </w:pPr>
    </w:p>
    <w:p w:rsidR="0077316B" w:rsidRPr="00521277" w:rsidRDefault="0077316B" w:rsidP="00B41D11">
      <w:pPr>
        <w:pStyle w:val="NormalWeb"/>
        <w:spacing w:beforeLines="0" w:afterLines="0" w:line="480" w:lineRule="auto"/>
        <w:ind w:left="-270" w:firstLine="90"/>
        <w:jc w:val="both"/>
        <w:rPr>
          <w:rFonts w:ascii="Arial" w:eastAsiaTheme="minorHAnsi" w:hAnsi="Arial" w:cs="Arial"/>
          <w:b/>
          <w:sz w:val="22"/>
          <w:szCs w:val="24"/>
        </w:rPr>
      </w:pPr>
      <w:r>
        <w:rPr>
          <w:rFonts w:ascii="Arial" w:eastAsiaTheme="minorHAnsi" w:hAnsi="Arial" w:cs="Arial"/>
          <w:b/>
          <w:sz w:val="22"/>
          <w:szCs w:val="24"/>
        </w:rPr>
        <w:t>Supplementary Table 2</w:t>
      </w:r>
    </w:p>
    <w:tbl>
      <w:tblPr>
        <w:tblW w:w="8961" w:type="dxa"/>
        <w:tblInd w:w="-29" w:type="dxa"/>
        <w:tblCellMar>
          <w:left w:w="0" w:type="dxa"/>
          <w:right w:w="0" w:type="dxa"/>
        </w:tblCellMar>
        <w:tblLook w:val="0000"/>
      </w:tblPr>
      <w:tblGrid>
        <w:gridCol w:w="2192"/>
        <w:gridCol w:w="859"/>
        <w:gridCol w:w="767"/>
        <w:gridCol w:w="1077"/>
        <w:gridCol w:w="688"/>
        <w:gridCol w:w="857"/>
        <w:gridCol w:w="770"/>
        <w:gridCol w:w="1107"/>
        <w:gridCol w:w="644"/>
      </w:tblGrid>
      <w:tr w:rsidR="0077316B" w:rsidRPr="00C11C1B" w:rsidTr="00B41D11">
        <w:trPr>
          <w:trHeight w:val="675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521277" w:rsidRDefault="0077316B" w:rsidP="00C11C1B">
            <w:pPr>
              <w:spacing w:after="0" w:line="240" w:lineRule="auto"/>
              <w:jc w:val="center"/>
              <w:rPr>
                <w:rFonts w:ascii="Arial" w:eastAsiaTheme="minorHAnsi" w:hAnsi="Arial"/>
                <w:sz w:val="28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8"/>
                <w:szCs w:val="32"/>
                <w:lang w:eastAsia="en-US"/>
              </w:rPr>
              <w:t>Cytokine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521277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28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8"/>
                <w:szCs w:val="32"/>
                <w:lang w:eastAsia="en-US"/>
              </w:rPr>
              <w:t>Lean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521277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28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8"/>
                <w:szCs w:val="32"/>
                <w:lang w:eastAsia="en-US"/>
              </w:rPr>
              <w:t>Lean TK (-/-)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316B" w:rsidRPr="00521277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28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8"/>
                <w:szCs w:val="32"/>
                <w:lang w:eastAsia="en-US"/>
              </w:rPr>
              <w:t>Obese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521277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28"/>
                <w:szCs w:val="36"/>
                <w:lang w:eastAsia="en-US"/>
              </w:rPr>
            </w:pPr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8"/>
                <w:szCs w:val="32"/>
                <w:lang w:eastAsia="en-US"/>
              </w:rPr>
              <w:t xml:space="preserve">Obese </w:t>
            </w:r>
            <w:proofErr w:type="gramStart"/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8"/>
                <w:szCs w:val="32"/>
                <w:lang w:eastAsia="en-US"/>
              </w:rPr>
              <w:t>TK(</w:t>
            </w:r>
            <w:proofErr w:type="gramEnd"/>
            <w:r w:rsidRPr="00521277">
              <w:rPr>
                <w:rFonts w:ascii="Arial" w:eastAsiaTheme="minorHAnsi" w:hAnsi="Arial"/>
                <w:b/>
                <w:bCs/>
                <w:color w:val="000000"/>
                <w:kern w:val="24"/>
                <w:sz w:val="28"/>
                <w:szCs w:val="32"/>
                <w:lang w:eastAsia="en-US"/>
              </w:rPr>
              <w:t>-/-)</w:t>
            </w:r>
          </w:p>
        </w:tc>
      </w:tr>
      <w:tr w:rsidR="0077316B" w:rsidRPr="00C11C1B" w:rsidTr="00B41D11">
        <w:trPr>
          <w:trHeight w:val="328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316B" w:rsidRPr="00C11C1B" w:rsidRDefault="0077316B" w:rsidP="00C11C1B">
            <w:pPr>
              <w:spacing w:after="0" w:line="240" w:lineRule="auto"/>
              <w:textAlignment w:val="bottom"/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11C1B"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Average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11C1B"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SEM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11C1B"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Average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11C1B"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SEM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11C1B"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Average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11C1B"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SEM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11C1B"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Average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11C1B">
              <w:rPr>
                <w:rFonts w:eastAsiaTheme="minorHAns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SEM</w:t>
            </w:r>
          </w:p>
        </w:tc>
      </w:tr>
      <w:tr w:rsidR="0077316B" w:rsidRPr="00C11C1B" w:rsidTr="00B41D11">
        <w:trPr>
          <w:trHeight w:val="328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IL-1β+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70.6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64.5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80.1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71.3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4.1</w:t>
            </w:r>
          </w:p>
        </w:tc>
      </w:tr>
      <w:tr w:rsidR="0077316B" w:rsidRPr="00C11C1B" w:rsidTr="00B41D11">
        <w:trPr>
          <w:trHeight w:val="531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VEGFR-1+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49.1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9.9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60.4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54.0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6.0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49.9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5.9</w:t>
            </w:r>
          </w:p>
        </w:tc>
      </w:tr>
      <w:tr w:rsidR="0077316B" w:rsidRPr="00C11C1B" w:rsidTr="00B41D11">
        <w:trPr>
          <w:trHeight w:val="531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IL-1β+/VEGFR-1-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30.5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31.0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9.9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25.2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3.8</w:t>
            </w:r>
          </w:p>
        </w:tc>
      </w:tr>
      <w:tr w:rsidR="0077316B" w:rsidRPr="00C11C1B" w:rsidTr="00B41D11">
        <w:trPr>
          <w:trHeight w:val="531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IL-1β-/VEGFR-1+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9.0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14.7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0.5</w:t>
            </w:r>
          </w:p>
        </w:tc>
      </w:tr>
      <w:tr w:rsidR="0077316B" w:rsidRPr="00C11C1B" w:rsidTr="00B41D11">
        <w:trPr>
          <w:trHeight w:val="531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Double +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40.1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45.7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49.1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46.2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6.8</w:t>
            </w:r>
          </w:p>
        </w:tc>
      </w:tr>
      <w:tr w:rsidR="0077316B" w:rsidRPr="00C11C1B" w:rsidTr="00B41D11">
        <w:trPr>
          <w:trHeight w:val="531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of</w:t>
            </w:r>
            <w:proofErr w:type="gramEnd"/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VEGFR-1+ TAMs expressing IL-1β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82.3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4.0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75.5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91.8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88.2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2.2</w:t>
            </w:r>
          </w:p>
        </w:tc>
      </w:tr>
      <w:tr w:rsidR="0077316B" w:rsidRPr="00C11C1B" w:rsidTr="00B41D11">
        <w:trPr>
          <w:trHeight w:val="531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of</w:t>
            </w:r>
            <w:proofErr w:type="gramEnd"/>
            <w:r w:rsidRPr="00C11C1B">
              <w:rPr>
                <w:rFonts w:ascii="Arial" w:eastAsiaTheme="minorHAnsi" w:hAnsi="Arial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IL-1β+ TAMs expressing VEGFR-1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56.9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11.0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72.0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62.2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54.2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316B" w:rsidRPr="00C11C1B" w:rsidRDefault="0077316B" w:rsidP="00C11C1B">
            <w:pPr>
              <w:spacing w:after="0" w:line="240" w:lineRule="auto"/>
              <w:jc w:val="center"/>
              <w:textAlignment w:val="bottom"/>
              <w:rPr>
                <w:rFonts w:ascii="Arial" w:eastAsiaTheme="minorHAnsi" w:hAnsi="Arial"/>
                <w:sz w:val="36"/>
                <w:szCs w:val="36"/>
                <w:lang w:eastAsia="en-US"/>
              </w:rPr>
            </w:pPr>
            <w:r w:rsidRPr="00C11C1B">
              <w:rPr>
                <w:rFonts w:ascii="Arial" w:eastAsiaTheme="minorHAnsi" w:hAnsi="Arial"/>
                <w:color w:val="000000"/>
                <w:kern w:val="24"/>
                <w:sz w:val="24"/>
                <w:szCs w:val="24"/>
                <w:lang w:eastAsia="en-US"/>
              </w:rPr>
              <w:t>10.5</w:t>
            </w:r>
          </w:p>
        </w:tc>
      </w:tr>
    </w:tbl>
    <w:p w:rsidR="0077316B" w:rsidRDefault="0077316B" w:rsidP="0077316B">
      <w:pPr>
        <w:spacing w:before="2" w:after="2" w:line="480" w:lineRule="auto"/>
        <w:jc w:val="both"/>
        <w:rPr>
          <w:rFonts w:ascii="Arial" w:hAnsi="Arial"/>
          <w:b/>
          <w:sz w:val="18"/>
        </w:rPr>
      </w:pPr>
    </w:p>
    <w:p w:rsidR="00094E5F" w:rsidRDefault="0077316B" w:rsidP="00B41D11">
      <w:pPr>
        <w:spacing w:line="480" w:lineRule="auto"/>
        <w:jc w:val="both"/>
      </w:pPr>
      <w:r w:rsidRPr="00521277">
        <w:rPr>
          <w:rFonts w:ascii="Arial" w:hAnsi="Arial"/>
          <w:b/>
          <w:sz w:val="18"/>
        </w:rPr>
        <w:t xml:space="preserve">Footnote: </w:t>
      </w:r>
      <w:r>
        <w:rPr>
          <w:rFonts w:ascii="Arial" w:hAnsi="Arial"/>
          <w:sz w:val="18"/>
        </w:rPr>
        <w:t>Q</w:t>
      </w:r>
      <w:r w:rsidRPr="008F0631">
        <w:rPr>
          <w:rFonts w:ascii="Arial" w:hAnsi="Arial"/>
          <w:sz w:val="18"/>
        </w:rPr>
        <w:t>uantifications of the expression of: total IL-1ß in F4/80+ TAMs (percentage); total VEGFR-1 in F4/80+ TAMs; IL-1ß positive and VEGFR-1 negative in F4/80+ TAMs; VEGFR-1 positive and IL-1ß negative in F4/80+ TAMs; both IL-1ß/VEGFR-1 in F4/80+ TAMs; percentage of VEGFR-1 positive TAMs that co-express IL-1ß, percentage of IL-1ß positive TAMs that co-express VEGFR-1 (n = 3-8 tumors/group).</w:t>
      </w:r>
      <w:r>
        <w:rPr>
          <w:rFonts w:ascii="Arial" w:hAnsi="Arial"/>
          <w:sz w:val="18"/>
        </w:rPr>
        <w:t xml:space="preserve"> </w:t>
      </w:r>
      <w:r w:rsidRPr="00521277">
        <w:rPr>
          <w:rFonts w:ascii="Arial" w:hAnsi="Arial"/>
          <w:sz w:val="18"/>
        </w:rPr>
        <w:t xml:space="preserve">Of note, </w:t>
      </w:r>
      <w:r w:rsidRPr="008F0631">
        <w:rPr>
          <w:rFonts w:ascii="Arial" w:hAnsi="Arial"/>
          <w:sz w:val="18"/>
        </w:rPr>
        <w:t>total VEGFR-1 in F4/80+ TAMs</w:t>
      </w:r>
      <w:r w:rsidRPr="00521277">
        <w:rPr>
          <w:rFonts w:ascii="Arial" w:hAnsi="Arial" w:cs="Helvetica"/>
          <w:sz w:val="18"/>
          <w:szCs w:val="36"/>
        </w:rPr>
        <w:t xml:space="preserve"> </w:t>
      </w:r>
      <w:r>
        <w:rPr>
          <w:rFonts w:ascii="Arial" w:hAnsi="Arial" w:cs="Helvetica"/>
          <w:sz w:val="18"/>
          <w:szCs w:val="36"/>
        </w:rPr>
        <w:t xml:space="preserve">and the </w:t>
      </w:r>
      <w:r w:rsidRPr="008F0631">
        <w:rPr>
          <w:rFonts w:ascii="Arial" w:hAnsi="Arial"/>
          <w:sz w:val="18"/>
        </w:rPr>
        <w:t>percentage of VEGFR-1 positive TAMs that co-express IL-1ß</w:t>
      </w:r>
      <w:r w:rsidRPr="00521277">
        <w:rPr>
          <w:rFonts w:ascii="Arial" w:hAnsi="Arial" w:cs="Helvetica"/>
          <w:sz w:val="18"/>
          <w:szCs w:val="36"/>
        </w:rPr>
        <w:t xml:space="preserve"> presented in this table is also depicted in the form of a bar graph in</w:t>
      </w:r>
      <w:r>
        <w:rPr>
          <w:rFonts w:ascii="Arial" w:hAnsi="Arial" w:cs="Helvetica"/>
          <w:sz w:val="18"/>
          <w:szCs w:val="36"/>
        </w:rPr>
        <w:t xml:space="preserve"> Supplementary Figure 3Aii</w:t>
      </w:r>
      <w:r w:rsidRPr="00521277">
        <w:rPr>
          <w:rFonts w:ascii="Arial" w:hAnsi="Arial" w:cs="Helvetica"/>
          <w:sz w:val="18"/>
          <w:szCs w:val="36"/>
        </w:rPr>
        <w:t xml:space="preserve">.  </w:t>
      </w:r>
      <w:r>
        <w:rPr>
          <w:rFonts w:ascii="Arial" w:hAnsi="Arial" w:cs="Helvetica"/>
          <w:sz w:val="18"/>
          <w:szCs w:val="36"/>
        </w:rPr>
        <w:t>Statistical analysis did not produce significant differences between groups</w:t>
      </w:r>
      <w:r w:rsidR="00B41D11">
        <w:rPr>
          <w:rFonts w:ascii="Arial" w:hAnsi="Arial" w:cs="Helvetica"/>
          <w:sz w:val="18"/>
          <w:szCs w:val="36"/>
        </w:rPr>
        <w:t>.</w:t>
      </w:r>
    </w:p>
    <w:sectPr w:rsidR="00094E5F" w:rsidSect="009120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76E"/>
    <w:multiLevelType w:val="hybridMultilevel"/>
    <w:tmpl w:val="4A54DC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126D62"/>
    <w:multiLevelType w:val="hybridMultilevel"/>
    <w:tmpl w:val="5B542D80"/>
    <w:lvl w:ilvl="0" w:tplc="84BEE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627"/>
    <w:multiLevelType w:val="hybridMultilevel"/>
    <w:tmpl w:val="526C6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2530CD"/>
    <w:multiLevelType w:val="hybridMultilevel"/>
    <w:tmpl w:val="4A54DC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EE5FE1"/>
    <w:multiLevelType w:val="multilevel"/>
    <w:tmpl w:val="232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A19A6"/>
    <w:multiLevelType w:val="hybridMultilevel"/>
    <w:tmpl w:val="8F868CA2"/>
    <w:lvl w:ilvl="0" w:tplc="A7340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B4BDA"/>
    <w:multiLevelType w:val="multilevel"/>
    <w:tmpl w:val="5EAA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D5DB5"/>
    <w:multiLevelType w:val="hybridMultilevel"/>
    <w:tmpl w:val="6222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0151D"/>
    <w:multiLevelType w:val="hybridMultilevel"/>
    <w:tmpl w:val="4A54DC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316B"/>
    <w:rsid w:val="0022365E"/>
    <w:rsid w:val="0077316B"/>
    <w:rsid w:val="00B41D11"/>
  </w:rsids>
  <m:mathPr>
    <m:mathFont m:val="Script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6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rsid w:val="00773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3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731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77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rsid w:val="007731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16B"/>
  </w:style>
  <w:style w:type="character" w:customStyle="1" w:styleId="highlight">
    <w:name w:val="highlight"/>
    <w:basedOn w:val="DefaultParagraphFont"/>
    <w:rsid w:val="0077316B"/>
  </w:style>
  <w:style w:type="paragraph" w:styleId="NormalWeb">
    <w:name w:val="Normal (Web)"/>
    <w:basedOn w:val="Normal"/>
    <w:uiPriority w:val="99"/>
    <w:rsid w:val="0077316B"/>
    <w:pPr>
      <w:spacing w:beforeLines="1" w:afterLines="1" w:line="240" w:lineRule="auto"/>
    </w:pPr>
    <w:rPr>
      <w:rFonts w:ascii="Times" w:eastAsiaTheme="minorEastAsia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7731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16B"/>
    <w:rPr>
      <w:rFonts w:ascii="Lucida Grande" w:eastAsia="Times New Roman" w:hAnsi="Lucida Grande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77316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731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7316B"/>
    <w:rPr>
      <w:rFonts w:ascii="Calibri" w:eastAsia="Times New Roman" w:hAnsi="Calibri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73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7316B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77316B"/>
    <w:pPr>
      <w:spacing w:after="0"/>
      <w:jc w:val="center"/>
    </w:pPr>
  </w:style>
  <w:style w:type="paragraph" w:customStyle="1" w:styleId="EndNoteBibliography">
    <w:name w:val="EndNote Bibliography"/>
    <w:basedOn w:val="Normal"/>
    <w:rsid w:val="0077316B"/>
    <w:pPr>
      <w:spacing w:line="240" w:lineRule="auto"/>
      <w:jc w:val="both"/>
    </w:pPr>
  </w:style>
  <w:style w:type="character" w:customStyle="1" w:styleId="fn">
    <w:name w:val="fn"/>
    <w:basedOn w:val="DefaultParagraphFont"/>
    <w:rsid w:val="0077316B"/>
  </w:style>
  <w:style w:type="character" w:styleId="Hyperlink">
    <w:name w:val="Hyperlink"/>
    <w:basedOn w:val="DefaultParagraphFont"/>
    <w:uiPriority w:val="99"/>
    <w:rsid w:val="0077316B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77316B"/>
    <w:rPr>
      <w:i/>
    </w:rPr>
  </w:style>
  <w:style w:type="character" w:styleId="Strong">
    <w:name w:val="Strong"/>
    <w:basedOn w:val="DefaultParagraphFont"/>
    <w:uiPriority w:val="22"/>
    <w:qFormat/>
    <w:rsid w:val="0077316B"/>
    <w:rPr>
      <w:b/>
      <w:bCs/>
    </w:rPr>
  </w:style>
  <w:style w:type="character" w:styleId="FollowedHyperlink">
    <w:name w:val="FollowedHyperlink"/>
    <w:basedOn w:val="DefaultParagraphFont"/>
    <w:rsid w:val="0077316B"/>
    <w:rPr>
      <w:color w:val="800080" w:themeColor="followedHyperlink"/>
      <w:u w:val="single"/>
    </w:rPr>
  </w:style>
  <w:style w:type="character" w:customStyle="1" w:styleId="xref">
    <w:name w:val="xref"/>
    <w:basedOn w:val="DefaultParagraphFont"/>
    <w:rsid w:val="0077316B"/>
  </w:style>
  <w:style w:type="paragraph" w:styleId="Revision">
    <w:name w:val="Revision"/>
    <w:hidden/>
    <w:rsid w:val="0077316B"/>
    <w:rPr>
      <w:rFonts w:ascii="Calibri" w:eastAsia="Times New Roman" w:hAnsi="Calibri" w:cs="Times New Roman"/>
      <w:sz w:val="22"/>
      <w:szCs w:val="22"/>
      <w:lang w:eastAsia="zh-CN"/>
    </w:rPr>
  </w:style>
  <w:style w:type="paragraph" w:styleId="DocumentMap">
    <w:name w:val="Document Map"/>
    <w:basedOn w:val="Normal"/>
    <w:link w:val="DocumentMapChar"/>
    <w:rsid w:val="0077316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77316B"/>
    <w:rPr>
      <w:rFonts w:ascii="Lucida Grande" w:eastAsia="Times New Roman" w:hAnsi="Lucida Grande" w:cs="Lucida Grande"/>
      <w:lang w:eastAsia="zh-CN"/>
    </w:rPr>
  </w:style>
  <w:style w:type="paragraph" w:styleId="Header">
    <w:name w:val="header"/>
    <w:basedOn w:val="Normal"/>
    <w:link w:val="HeaderChar"/>
    <w:rsid w:val="00773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316B"/>
    <w:rPr>
      <w:rFonts w:ascii="Calibri" w:eastAsia="Times New Roma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rsid w:val="00773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316B"/>
    <w:rPr>
      <w:rFonts w:ascii="Calibri" w:eastAsia="Times New Roman" w:hAnsi="Calibri" w:cs="Times New Roman"/>
      <w:sz w:val="22"/>
      <w:szCs w:val="22"/>
      <w:lang w:eastAsia="zh-CN"/>
    </w:rPr>
  </w:style>
  <w:style w:type="character" w:styleId="PageNumber">
    <w:name w:val="page number"/>
    <w:basedOn w:val="DefaultParagraphFont"/>
    <w:rsid w:val="0077316B"/>
  </w:style>
  <w:style w:type="table" w:styleId="TableGrid">
    <w:name w:val="Table Grid"/>
    <w:basedOn w:val="TableNormal"/>
    <w:rsid w:val="007731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bapihighlight1">
    <w:name w:val="nbapihighlight1"/>
    <w:uiPriority w:val="99"/>
    <w:rsid w:val="007731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1975</Characters>
  <Application>Microsoft Macintosh Word</Application>
  <DocSecurity>0</DocSecurity>
  <Lines>16</Lines>
  <Paragraphs>3</Paragraphs>
  <ScaleCrop>false</ScaleCrop>
  <Company>MGH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Incio</dc:creator>
  <cp:keywords/>
  <cp:lastModifiedBy>Joao Incio</cp:lastModifiedBy>
  <cp:revision>3</cp:revision>
  <dcterms:created xsi:type="dcterms:W3CDTF">2016-01-09T22:40:00Z</dcterms:created>
  <dcterms:modified xsi:type="dcterms:W3CDTF">2016-01-09T22:43:00Z</dcterms:modified>
</cp:coreProperties>
</file>