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D" w:rsidRPr="006A3BCD" w:rsidRDefault="00E7370F" w:rsidP="00821917">
      <w:pPr>
        <w:spacing w:after="0" w:line="48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D27FE8">
        <w:rPr>
          <w:rFonts w:ascii="Arial" w:hAnsi="Arial" w:cs="Arial"/>
          <w:b/>
          <w:sz w:val="28"/>
          <w:szCs w:val="24"/>
        </w:rPr>
        <w:t>A</w:t>
      </w:r>
      <w:r>
        <w:rPr>
          <w:rFonts w:ascii="Arial" w:hAnsi="Arial" w:cs="Arial"/>
          <w:b/>
          <w:sz w:val="28"/>
          <w:szCs w:val="24"/>
        </w:rPr>
        <w:t>ppendix</w:t>
      </w:r>
      <w:r w:rsidR="006A3BCD">
        <w:rPr>
          <w:rFonts w:ascii="Arial" w:hAnsi="Arial" w:cs="Arial"/>
          <w:b/>
          <w:sz w:val="28"/>
          <w:szCs w:val="24"/>
        </w:rPr>
        <w:t>:</w:t>
      </w:r>
      <w:r w:rsidR="00D27FE8" w:rsidRPr="00D27FE8">
        <w:rPr>
          <w:rFonts w:ascii="Arial" w:hAnsi="Arial" w:cs="Arial"/>
          <w:b/>
          <w:sz w:val="28"/>
          <w:szCs w:val="24"/>
        </w:rPr>
        <w:t xml:space="preserve"> </w:t>
      </w:r>
      <w:r w:rsidR="00205509">
        <w:rPr>
          <w:rFonts w:ascii="Arial" w:hAnsi="Arial" w:cs="Arial"/>
          <w:b/>
          <w:sz w:val="28"/>
          <w:szCs w:val="24"/>
        </w:rPr>
        <w:t xml:space="preserve">Methods and </w:t>
      </w:r>
      <w:r>
        <w:rPr>
          <w:rFonts w:ascii="Arial" w:hAnsi="Arial" w:cs="Arial"/>
          <w:b/>
          <w:sz w:val="28"/>
          <w:szCs w:val="24"/>
        </w:rPr>
        <w:t xml:space="preserve">Results </w:t>
      </w:r>
      <w:r w:rsidR="00205509">
        <w:rPr>
          <w:rFonts w:ascii="Arial" w:hAnsi="Arial" w:cs="Arial"/>
          <w:b/>
          <w:sz w:val="28"/>
          <w:szCs w:val="24"/>
        </w:rPr>
        <w:t xml:space="preserve">in </w:t>
      </w:r>
      <w:r>
        <w:rPr>
          <w:rFonts w:ascii="Arial" w:hAnsi="Arial" w:cs="Arial"/>
          <w:b/>
          <w:sz w:val="28"/>
          <w:szCs w:val="24"/>
        </w:rPr>
        <w:t xml:space="preserve">Patients Treated </w:t>
      </w:r>
      <w:r w:rsidR="00205509">
        <w:rPr>
          <w:rFonts w:ascii="Arial" w:hAnsi="Arial" w:cs="Arial"/>
          <w:b/>
          <w:sz w:val="28"/>
          <w:szCs w:val="24"/>
        </w:rPr>
        <w:t xml:space="preserve">with </w:t>
      </w:r>
      <w:r>
        <w:rPr>
          <w:rFonts w:ascii="Arial" w:hAnsi="Arial" w:cs="Arial"/>
          <w:b/>
          <w:sz w:val="28"/>
          <w:szCs w:val="24"/>
        </w:rPr>
        <w:t>Second</w:t>
      </w:r>
      <w:r w:rsidR="00205509">
        <w:rPr>
          <w:rFonts w:ascii="Arial" w:hAnsi="Arial" w:cs="Arial"/>
          <w:b/>
          <w:sz w:val="28"/>
          <w:szCs w:val="24"/>
        </w:rPr>
        <w:t>-</w:t>
      </w:r>
      <w:r>
        <w:rPr>
          <w:rFonts w:ascii="Arial" w:hAnsi="Arial" w:cs="Arial"/>
          <w:b/>
          <w:sz w:val="28"/>
          <w:szCs w:val="24"/>
        </w:rPr>
        <w:t>Line B</w:t>
      </w:r>
      <w:r w:rsidRPr="00430929">
        <w:rPr>
          <w:rFonts w:ascii="Arial" w:hAnsi="Arial" w:cs="Arial"/>
          <w:b/>
          <w:sz w:val="28"/>
          <w:szCs w:val="24"/>
        </w:rPr>
        <w:t xml:space="preserve">evacizumab </w:t>
      </w:r>
      <w:r>
        <w:rPr>
          <w:rFonts w:ascii="Arial" w:hAnsi="Arial" w:cs="Arial"/>
          <w:b/>
          <w:sz w:val="28"/>
          <w:szCs w:val="24"/>
        </w:rPr>
        <w:t>Plus Erlotinib</w:t>
      </w:r>
    </w:p>
    <w:p w:rsidR="00E7370F" w:rsidRDefault="00E7370F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7370F" w:rsidRDefault="006A3BCD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21917">
        <w:rPr>
          <w:rFonts w:ascii="Arial" w:hAnsi="Arial" w:cs="Arial"/>
          <w:b/>
          <w:sz w:val="24"/>
          <w:szCs w:val="24"/>
        </w:rPr>
        <w:t>Methods</w:t>
      </w:r>
    </w:p>
    <w:p w:rsidR="00821917" w:rsidRPr="00821917" w:rsidRDefault="00821917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8D2C0B" w:rsidRDefault="008D2C0B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design</w:t>
      </w:r>
    </w:p>
    <w:p w:rsidR="008D2C0B" w:rsidRPr="008D2C0B" w:rsidRDefault="000662DC" w:rsidP="00821917">
      <w:pPr>
        <w:pStyle w:val="TextPuce2"/>
        <w:numPr>
          <w:ilvl w:val="0"/>
          <w:numId w:val="0"/>
        </w:numPr>
        <w:spacing w:after="0" w:line="480" w:lineRule="auto"/>
        <w:ind w:firstLine="720"/>
        <w:rPr>
          <w:rFonts w:ascii="Arial" w:hAnsi="Arial" w:cs="Arial"/>
          <w:szCs w:val="24"/>
          <w:lang w:val="en-GB"/>
        </w:rPr>
      </w:pPr>
      <w:r w:rsidRPr="000662DC">
        <w:rPr>
          <w:rFonts w:ascii="Arial" w:hAnsi="Arial" w:cs="Arial"/>
          <w:szCs w:val="24"/>
        </w:rPr>
        <w:t>Inclusion criteria specific t</w:t>
      </w:r>
      <w:r w:rsidR="00BD00CC">
        <w:rPr>
          <w:rFonts w:ascii="Arial" w:hAnsi="Arial" w:cs="Arial"/>
          <w:szCs w:val="24"/>
        </w:rPr>
        <w:t xml:space="preserve">o the </w:t>
      </w:r>
      <w:r w:rsidRPr="000662DC">
        <w:rPr>
          <w:rFonts w:ascii="Arial" w:hAnsi="Arial" w:cs="Arial"/>
          <w:szCs w:val="24"/>
        </w:rPr>
        <w:t>bevacizum</w:t>
      </w:r>
      <w:r w:rsidR="00553515">
        <w:rPr>
          <w:rFonts w:ascii="Arial" w:hAnsi="Arial" w:cs="Arial"/>
          <w:szCs w:val="24"/>
        </w:rPr>
        <w:t>ab plus erlotinib (B+E) second-</w:t>
      </w:r>
      <w:r w:rsidRPr="000662DC">
        <w:rPr>
          <w:rFonts w:ascii="Arial" w:hAnsi="Arial" w:cs="Arial"/>
          <w:szCs w:val="24"/>
        </w:rPr>
        <w:t>line cohort were</w:t>
      </w:r>
      <w:r>
        <w:rPr>
          <w:rFonts w:ascii="Arial" w:hAnsi="Arial" w:cs="Arial"/>
          <w:szCs w:val="24"/>
        </w:rPr>
        <w:t xml:space="preserve"> that</w:t>
      </w:r>
      <w:r w:rsidRPr="000662DC">
        <w:rPr>
          <w:rFonts w:ascii="Arial" w:hAnsi="Arial" w:cs="Arial"/>
          <w:lang w:val="en-GB"/>
        </w:rPr>
        <w:t xml:space="preserve"> patients </w:t>
      </w:r>
      <w:r w:rsidR="00565615">
        <w:rPr>
          <w:rFonts w:ascii="Arial" w:hAnsi="Arial" w:cs="Arial"/>
          <w:lang w:val="en-GB"/>
        </w:rPr>
        <w:t>had not been previously</w:t>
      </w:r>
      <w:r w:rsidRPr="000662DC">
        <w:rPr>
          <w:rFonts w:ascii="Arial" w:hAnsi="Arial" w:cs="Arial"/>
          <w:lang w:val="en-GB"/>
        </w:rPr>
        <w:t xml:space="preserve"> treated with bevacizumab or erlotinib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szCs w:val="24"/>
        </w:rPr>
        <w:t xml:space="preserve"> </w:t>
      </w:r>
      <w:r w:rsidR="008D2C0B" w:rsidRPr="008D2C0B">
        <w:rPr>
          <w:rFonts w:ascii="Arial" w:hAnsi="Arial" w:cs="Arial"/>
          <w:szCs w:val="24"/>
        </w:rPr>
        <w:t xml:space="preserve">Exclusion criteria specific to the </w:t>
      </w:r>
      <w:r w:rsidR="00976577">
        <w:rPr>
          <w:rFonts w:ascii="Arial" w:hAnsi="Arial" w:cs="Arial"/>
          <w:szCs w:val="24"/>
        </w:rPr>
        <w:t>B+E</w:t>
      </w:r>
      <w:r w:rsidR="008D2C0B" w:rsidRPr="008D2C0B">
        <w:rPr>
          <w:rFonts w:ascii="Arial" w:hAnsi="Arial" w:cs="Arial"/>
          <w:szCs w:val="24"/>
        </w:rPr>
        <w:t xml:space="preserve"> second-line </w:t>
      </w:r>
      <w:r w:rsidR="00205509">
        <w:rPr>
          <w:rFonts w:ascii="Arial" w:hAnsi="Arial" w:cs="Arial"/>
          <w:szCs w:val="24"/>
        </w:rPr>
        <w:t>cohort</w:t>
      </w:r>
      <w:r w:rsidR="00205509" w:rsidRPr="008D2C0B">
        <w:rPr>
          <w:rFonts w:ascii="Arial" w:hAnsi="Arial" w:cs="Arial"/>
          <w:szCs w:val="24"/>
        </w:rPr>
        <w:t xml:space="preserve"> </w:t>
      </w:r>
      <w:r w:rsidR="008D2C0B" w:rsidRPr="008D2C0B">
        <w:rPr>
          <w:rFonts w:ascii="Arial" w:hAnsi="Arial" w:cs="Arial"/>
          <w:szCs w:val="24"/>
        </w:rPr>
        <w:t>were</w:t>
      </w:r>
      <w:r w:rsidR="00976577">
        <w:rPr>
          <w:rFonts w:ascii="Arial" w:hAnsi="Arial" w:cs="Arial"/>
          <w:szCs w:val="24"/>
          <w:lang w:val="en-GB"/>
        </w:rPr>
        <w:t>:</w:t>
      </w:r>
      <w:r w:rsidR="008D2C0B" w:rsidRPr="008D2C0B">
        <w:rPr>
          <w:rFonts w:ascii="Arial" w:hAnsi="Arial" w:cs="Arial"/>
          <w:szCs w:val="24"/>
        </w:rPr>
        <w:t xml:space="preserve"> </w:t>
      </w:r>
      <w:r w:rsidR="008D2C0B" w:rsidRPr="008D2C0B">
        <w:rPr>
          <w:rFonts w:ascii="Arial" w:hAnsi="Arial" w:cs="Arial"/>
          <w:szCs w:val="24"/>
          <w:lang w:val="en-GB"/>
        </w:rPr>
        <w:t>clinically significant, inflammatory</w:t>
      </w:r>
      <w:r w:rsidR="006A3BCD">
        <w:rPr>
          <w:rFonts w:ascii="Arial" w:hAnsi="Arial" w:cs="Arial"/>
          <w:szCs w:val="24"/>
          <w:lang w:val="en-GB"/>
        </w:rPr>
        <w:t>,</w:t>
      </w:r>
      <w:r w:rsidR="008D2C0B" w:rsidRPr="008D2C0B">
        <w:rPr>
          <w:rFonts w:ascii="Arial" w:hAnsi="Arial" w:cs="Arial"/>
          <w:szCs w:val="24"/>
          <w:lang w:val="en-GB"/>
        </w:rPr>
        <w:t xml:space="preserve"> or infectious ocular disease</w:t>
      </w:r>
      <w:r w:rsidR="006A3BCD">
        <w:rPr>
          <w:rFonts w:ascii="Arial" w:hAnsi="Arial" w:cs="Arial"/>
          <w:szCs w:val="24"/>
          <w:lang w:val="en-GB"/>
        </w:rPr>
        <w:t>;</w:t>
      </w:r>
      <w:r w:rsidR="006A3BCD" w:rsidRPr="008D2C0B">
        <w:rPr>
          <w:rFonts w:ascii="Arial" w:hAnsi="Arial" w:cs="Arial"/>
          <w:szCs w:val="24"/>
          <w:lang w:val="en-GB"/>
        </w:rPr>
        <w:t xml:space="preserve"> </w:t>
      </w:r>
      <w:r w:rsidR="008D2C0B" w:rsidRPr="008D2C0B">
        <w:rPr>
          <w:rFonts w:ascii="Arial" w:hAnsi="Arial" w:cs="Arial"/>
          <w:szCs w:val="24"/>
          <w:lang w:val="en-GB"/>
        </w:rPr>
        <w:t>clinically significan</w:t>
      </w:r>
      <w:r w:rsidR="008D2C0B">
        <w:rPr>
          <w:rFonts w:ascii="Arial" w:hAnsi="Arial" w:cs="Arial"/>
          <w:szCs w:val="24"/>
          <w:lang w:val="en-GB"/>
        </w:rPr>
        <w:t>t gastrointestinal disease</w:t>
      </w:r>
      <w:r w:rsidR="006A3BCD">
        <w:rPr>
          <w:rFonts w:ascii="Arial" w:hAnsi="Arial" w:cs="Arial"/>
          <w:szCs w:val="24"/>
          <w:lang w:val="en-GB"/>
        </w:rPr>
        <w:t>;</w:t>
      </w:r>
      <w:r w:rsidR="006A3BCD" w:rsidRPr="008D2C0B">
        <w:rPr>
          <w:rFonts w:ascii="Arial" w:hAnsi="Arial" w:cs="Arial"/>
          <w:szCs w:val="24"/>
          <w:lang w:val="en-GB"/>
        </w:rPr>
        <w:t xml:space="preserve"> </w:t>
      </w:r>
      <w:r w:rsidR="008D2C0B" w:rsidRPr="008D2C0B">
        <w:rPr>
          <w:rFonts w:ascii="Arial" w:hAnsi="Arial" w:cs="Arial"/>
          <w:szCs w:val="24"/>
          <w:lang w:val="en-GB"/>
        </w:rPr>
        <w:t>patient</w:t>
      </w:r>
      <w:r w:rsidR="008D2C0B">
        <w:rPr>
          <w:rFonts w:ascii="Arial" w:hAnsi="Arial" w:cs="Arial"/>
          <w:szCs w:val="24"/>
          <w:lang w:val="en-GB"/>
        </w:rPr>
        <w:t>s</w:t>
      </w:r>
      <w:r w:rsidR="008D2C0B" w:rsidRPr="008D2C0B">
        <w:rPr>
          <w:rFonts w:ascii="Arial" w:hAnsi="Arial" w:cs="Arial"/>
          <w:szCs w:val="24"/>
          <w:lang w:val="en-GB"/>
        </w:rPr>
        <w:t xml:space="preserve"> unable to take oral medication or requiring parenteral feeding</w:t>
      </w:r>
      <w:r w:rsidR="006A3BCD">
        <w:rPr>
          <w:rFonts w:ascii="Arial" w:hAnsi="Arial" w:cs="Arial"/>
          <w:szCs w:val="24"/>
          <w:lang w:val="en-GB"/>
        </w:rPr>
        <w:t>;</w:t>
      </w:r>
      <w:r w:rsidR="006A3BCD" w:rsidRPr="008D2C0B">
        <w:rPr>
          <w:rFonts w:ascii="Arial" w:hAnsi="Arial" w:cs="Arial"/>
          <w:szCs w:val="24"/>
          <w:lang w:val="en-GB"/>
        </w:rPr>
        <w:t xml:space="preserve"> </w:t>
      </w:r>
      <w:r w:rsidR="008D2C0B" w:rsidRPr="008D2C0B">
        <w:rPr>
          <w:rFonts w:ascii="Arial" w:hAnsi="Arial" w:cs="Arial"/>
          <w:szCs w:val="24"/>
          <w:lang w:val="en-GB"/>
        </w:rPr>
        <w:t>hypersensitivity to erlotinib or any of its excipients (including lactose</w:t>
      </w:r>
      <w:r w:rsidR="006A3BCD" w:rsidRPr="008D2C0B">
        <w:rPr>
          <w:rFonts w:ascii="Arial" w:hAnsi="Arial" w:cs="Arial"/>
          <w:szCs w:val="24"/>
          <w:lang w:val="en-GB"/>
        </w:rPr>
        <w:t>)</w:t>
      </w:r>
      <w:r w:rsidR="006A3BCD">
        <w:rPr>
          <w:rFonts w:ascii="Arial" w:hAnsi="Arial" w:cs="Arial"/>
          <w:szCs w:val="24"/>
          <w:lang w:val="en-GB"/>
        </w:rPr>
        <w:t>;</w:t>
      </w:r>
      <w:r w:rsidR="006A3BCD" w:rsidRPr="008D2C0B">
        <w:rPr>
          <w:rFonts w:ascii="Arial" w:hAnsi="Arial" w:cs="Arial"/>
          <w:szCs w:val="24"/>
          <w:lang w:val="en-GB"/>
        </w:rPr>
        <w:t xml:space="preserve"> </w:t>
      </w:r>
      <w:r w:rsidR="008D2C0B" w:rsidRPr="008D2C0B">
        <w:rPr>
          <w:rFonts w:ascii="Arial" w:hAnsi="Arial" w:cs="Arial"/>
          <w:szCs w:val="24"/>
          <w:lang w:val="en-GB"/>
        </w:rPr>
        <w:t>previous first-line treatment with erlotinib</w:t>
      </w:r>
      <w:r w:rsidR="006A3BCD">
        <w:rPr>
          <w:rFonts w:ascii="Arial" w:hAnsi="Arial" w:cs="Arial"/>
          <w:szCs w:val="24"/>
          <w:lang w:val="en-GB"/>
        </w:rPr>
        <w:t>;</w:t>
      </w:r>
      <w:r w:rsidR="006A3BCD" w:rsidRPr="008D2C0B">
        <w:rPr>
          <w:rFonts w:ascii="Arial" w:hAnsi="Arial" w:cs="Arial"/>
          <w:szCs w:val="24"/>
          <w:lang w:val="en-GB"/>
        </w:rPr>
        <w:t xml:space="preserve"> </w:t>
      </w:r>
      <w:r w:rsidR="008D2C0B" w:rsidRPr="008D2C0B">
        <w:rPr>
          <w:rFonts w:ascii="Arial" w:hAnsi="Arial" w:cs="Arial"/>
          <w:szCs w:val="24"/>
          <w:lang w:val="en-GB"/>
        </w:rPr>
        <w:t xml:space="preserve">previous treatment with a drug targeting the </w:t>
      </w:r>
      <w:r w:rsidR="006A3BCD" w:rsidRPr="006A3BCD">
        <w:rPr>
          <w:rFonts w:ascii="Arial" w:hAnsi="Arial" w:cs="Arial"/>
          <w:szCs w:val="24"/>
          <w:lang w:val="en-GB"/>
        </w:rPr>
        <w:t xml:space="preserve">epidermal growth factor receptor </w:t>
      </w:r>
      <w:r w:rsidR="006A3BCD">
        <w:rPr>
          <w:rFonts w:ascii="Arial" w:hAnsi="Arial" w:cs="Arial"/>
          <w:szCs w:val="24"/>
          <w:lang w:val="en-GB"/>
        </w:rPr>
        <w:t>(</w:t>
      </w:r>
      <w:r w:rsidR="008D2C0B" w:rsidRPr="008D2C0B">
        <w:rPr>
          <w:rFonts w:ascii="Arial" w:hAnsi="Arial" w:cs="Arial"/>
          <w:szCs w:val="24"/>
          <w:lang w:val="en-GB"/>
        </w:rPr>
        <w:t>EGFR</w:t>
      </w:r>
      <w:r w:rsidR="006A3BCD">
        <w:rPr>
          <w:rFonts w:ascii="Arial" w:hAnsi="Arial" w:cs="Arial"/>
          <w:szCs w:val="24"/>
          <w:lang w:val="en-GB"/>
        </w:rPr>
        <w:t>;</w:t>
      </w:r>
      <w:r w:rsidR="008D2C0B" w:rsidRPr="008D2C0B">
        <w:rPr>
          <w:rFonts w:ascii="Arial" w:hAnsi="Arial" w:cs="Arial"/>
          <w:szCs w:val="24"/>
          <w:lang w:val="en-GB"/>
        </w:rPr>
        <w:t xml:space="preserve"> HER1) pathway: gefitinib, cetuximab, vandetanib, lapatinib, panitumumab</w:t>
      </w:r>
      <w:r w:rsidR="006A3BCD">
        <w:rPr>
          <w:rFonts w:ascii="Arial" w:hAnsi="Arial" w:cs="Arial"/>
          <w:szCs w:val="24"/>
          <w:lang w:val="en-GB"/>
        </w:rPr>
        <w:t>,</w:t>
      </w:r>
      <w:r w:rsidR="008D2C0B" w:rsidRPr="008D2C0B">
        <w:rPr>
          <w:rFonts w:ascii="Arial" w:hAnsi="Arial" w:cs="Arial"/>
          <w:szCs w:val="24"/>
          <w:lang w:val="en-GB"/>
        </w:rPr>
        <w:t xml:space="preserve"> or others</w:t>
      </w:r>
      <w:r w:rsidR="006A3BCD">
        <w:rPr>
          <w:rFonts w:ascii="Arial" w:hAnsi="Arial" w:cs="Arial"/>
          <w:szCs w:val="24"/>
          <w:lang w:val="en-GB"/>
        </w:rPr>
        <w:t>;</w:t>
      </w:r>
      <w:r w:rsidR="006A3BCD" w:rsidRPr="008D2C0B">
        <w:rPr>
          <w:rFonts w:ascii="Arial" w:hAnsi="Arial" w:cs="Arial"/>
          <w:szCs w:val="24"/>
          <w:lang w:val="en-GB"/>
        </w:rPr>
        <w:t xml:space="preserve"> </w:t>
      </w:r>
      <w:r w:rsidR="008D2C0B">
        <w:rPr>
          <w:rFonts w:ascii="Arial" w:hAnsi="Arial" w:cs="Arial"/>
          <w:szCs w:val="24"/>
          <w:lang w:val="en-GB"/>
        </w:rPr>
        <w:t xml:space="preserve">or </w:t>
      </w:r>
      <w:r w:rsidR="008D2C0B">
        <w:rPr>
          <w:rFonts w:ascii="Arial" w:hAnsi="Arial" w:cs="Arial"/>
          <w:szCs w:val="24"/>
          <w:lang w:val="en-US"/>
        </w:rPr>
        <w:t>a</w:t>
      </w:r>
      <w:r w:rsidR="008D2C0B" w:rsidRPr="008D2C0B">
        <w:rPr>
          <w:rFonts w:ascii="Arial" w:hAnsi="Arial" w:cs="Arial"/>
          <w:szCs w:val="24"/>
          <w:lang w:val="en-US"/>
        </w:rPr>
        <w:t>ny known significant ophthalmologic</w:t>
      </w:r>
      <w:r w:rsidR="006A3BCD">
        <w:rPr>
          <w:rFonts w:ascii="Arial" w:hAnsi="Arial" w:cs="Arial"/>
          <w:szCs w:val="24"/>
          <w:lang w:val="en-US"/>
        </w:rPr>
        <w:t>al</w:t>
      </w:r>
      <w:r w:rsidR="008D2C0B" w:rsidRPr="008D2C0B">
        <w:rPr>
          <w:rFonts w:ascii="Arial" w:hAnsi="Arial" w:cs="Arial"/>
          <w:szCs w:val="24"/>
          <w:lang w:val="en-US"/>
        </w:rPr>
        <w:t xml:space="preserve"> abnormal</w:t>
      </w:r>
      <w:r w:rsidR="008D2C0B">
        <w:rPr>
          <w:rFonts w:ascii="Arial" w:hAnsi="Arial" w:cs="Arial"/>
          <w:szCs w:val="24"/>
          <w:lang w:val="en-US"/>
        </w:rPr>
        <w:t>ities of the surface of the eye.</w:t>
      </w:r>
    </w:p>
    <w:p w:rsidR="008D2C0B" w:rsidRPr="008D2C0B" w:rsidRDefault="008D2C0B" w:rsidP="0082191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766C8" w:rsidRPr="006766C8" w:rsidRDefault="006766C8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766C8">
        <w:rPr>
          <w:rFonts w:ascii="Arial" w:hAnsi="Arial" w:cs="Arial"/>
          <w:b/>
          <w:sz w:val="24"/>
          <w:szCs w:val="24"/>
        </w:rPr>
        <w:t xml:space="preserve">Study treatment </w:t>
      </w:r>
    </w:p>
    <w:p w:rsidR="006766C8" w:rsidRDefault="006766C8" w:rsidP="00821917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received </w:t>
      </w:r>
      <w:r w:rsidRPr="00933041">
        <w:rPr>
          <w:rFonts w:ascii="Arial" w:hAnsi="Arial" w:cs="Arial"/>
          <w:sz w:val="24"/>
          <w:szCs w:val="24"/>
        </w:rPr>
        <w:t>bevacizumab plus erlotinib (150</w:t>
      </w:r>
      <w:r>
        <w:rPr>
          <w:rFonts w:ascii="Arial" w:hAnsi="Arial" w:cs="Arial"/>
          <w:sz w:val="24"/>
          <w:szCs w:val="24"/>
        </w:rPr>
        <w:t xml:space="preserve"> </w:t>
      </w:r>
      <w:r w:rsidRPr="00933041">
        <w:rPr>
          <w:rFonts w:ascii="Arial" w:hAnsi="Arial" w:cs="Arial"/>
          <w:sz w:val="24"/>
          <w:szCs w:val="24"/>
        </w:rPr>
        <w:t>mg/day orally) until disease progression or unacceptable toxicity</w:t>
      </w:r>
      <w:r w:rsidR="00976577">
        <w:rPr>
          <w:rFonts w:ascii="Arial" w:hAnsi="Arial" w:cs="Arial"/>
          <w:sz w:val="24"/>
          <w:szCs w:val="24"/>
        </w:rPr>
        <w:t>.</w:t>
      </w:r>
    </w:p>
    <w:p w:rsidR="006C6399" w:rsidRPr="009021F7" w:rsidRDefault="006C6399" w:rsidP="0082191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2C0B" w:rsidRPr="009021F7" w:rsidRDefault="008D2C0B" w:rsidP="00821917">
      <w:pPr>
        <w:pStyle w:val="ColorfulList-Accent11"/>
        <w:spacing w:after="0" w:line="480" w:lineRule="auto"/>
        <w:ind w:left="0"/>
        <w:contextualSpacing w:val="0"/>
        <w:rPr>
          <w:rFonts w:ascii="Arial" w:hAnsi="Arial" w:cs="Arial"/>
          <w:sz w:val="24"/>
          <w:szCs w:val="24"/>
          <w:lang w:val="en-GB"/>
        </w:rPr>
      </w:pPr>
      <w:r w:rsidRPr="009021F7">
        <w:rPr>
          <w:rFonts w:ascii="Arial" w:hAnsi="Arial" w:cs="Arial"/>
          <w:b/>
          <w:sz w:val="24"/>
          <w:szCs w:val="24"/>
          <w:lang w:val="en-GB"/>
        </w:rPr>
        <w:t xml:space="preserve">Assessments </w:t>
      </w:r>
    </w:p>
    <w:p w:rsidR="008D2C0B" w:rsidRDefault="008D2C0B" w:rsidP="00821917">
      <w:pPr>
        <w:pStyle w:val="ColorfulList-Accent11"/>
        <w:spacing w:after="0" w:line="480" w:lineRule="auto"/>
        <w:ind w:left="0" w:firstLine="720"/>
        <w:rPr>
          <w:rFonts w:ascii="Arial" w:hAnsi="Arial" w:cs="Arial"/>
          <w:sz w:val="24"/>
          <w:szCs w:val="24"/>
          <w:lang w:val="en-GB"/>
        </w:rPr>
      </w:pPr>
      <w:r w:rsidRPr="00933041">
        <w:rPr>
          <w:rFonts w:ascii="Arial" w:hAnsi="Arial" w:cs="Arial"/>
          <w:sz w:val="24"/>
          <w:szCs w:val="24"/>
          <w:lang w:val="en-GB"/>
        </w:rPr>
        <w:t xml:space="preserve">Assessments were performed every </w:t>
      </w:r>
      <w:r>
        <w:rPr>
          <w:rFonts w:ascii="Arial" w:hAnsi="Arial" w:cs="Arial"/>
          <w:sz w:val="24"/>
          <w:szCs w:val="24"/>
          <w:lang w:val="en-GB"/>
        </w:rPr>
        <w:t>two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cycles, including chest</w:t>
      </w:r>
      <w:r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abdomen scans and mandatory </w:t>
      </w:r>
      <w:r w:rsidR="006A3BCD">
        <w:rPr>
          <w:rFonts w:ascii="Arial" w:hAnsi="Arial" w:cs="Arial"/>
          <w:sz w:val="24"/>
          <w:szCs w:val="24"/>
          <w:lang w:val="en-GB"/>
        </w:rPr>
        <w:t>MRI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scans for assessment of brain metastases. The occurrence of brain hemorrhage was monitored by the sponsor and the independent </w:t>
      </w:r>
      <w:r w:rsidRPr="00933041">
        <w:rPr>
          <w:rFonts w:ascii="Arial" w:hAnsi="Arial" w:cs="Arial"/>
          <w:sz w:val="24"/>
          <w:szCs w:val="24"/>
          <w:lang w:val="en-GB"/>
        </w:rPr>
        <w:lastRenderedPageBreak/>
        <w:t xml:space="preserve">Data Safety Monitoring Board. If </w:t>
      </w:r>
      <w:r w:rsidR="006A3BCD">
        <w:rPr>
          <w:rFonts w:ascii="Arial" w:hAnsi="Arial" w:cs="Arial"/>
          <w:sz w:val="24"/>
          <w:szCs w:val="24"/>
          <w:lang w:val="en-GB"/>
        </w:rPr>
        <w:t>more than two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patients in the second-line arm had a clinically significant intracranial hemorrhage (symptomatic, with </w:t>
      </w:r>
      <w:r>
        <w:rPr>
          <w:rFonts w:ascii="Arial" w:hAnsi="Arial" w:cs="Arial"/>
          <w:sz w:val="24"/>
          <w:szCs w:val="24"/>
          <w:lang w:val="en-GB"/>
        </w:rPr>
        <w:t xml:space="preserve">National Cancer Institute </w:t>
      </w:r>
      <w:r w:rsidRPr="00933041">
        <w:rPr>
          <w:rFonts w:ascii="Arial" w:hAnsi="Arial" w:cs="Arial"/>
          <w:sz w:val="24"/>
          <w:szCs w:val="24"/>
          <w:lang w:val="en-GB"/>
        </w:rPr>
        <w:t>Common Terminology Criteria for AEs grading ≥2) occurring between first administration of bevacizumab and up to 60 days after bevacizumab discontinuation, th</w:t>
      </w:r>
      <w:r>
        <w:rPr>
          <w:rFonts w:ascii="Arial" w:hAnsi="Arial" w:cs="Arial"/>
          <w:sz w:val="24"/>
          <w:szCs w:val="24"/>
          <w:lang w:val="en-GB"/>
        </w:rPr>
        <w:t xml:space="preserve">e </w:t>
      </w:r>
      <w:r w:rsidRPr="00933041">
        <w:rPr>
          <w:rFonts w:ascii="Arial" w:hAnsi="Arial" w:cs="Arial"/>
          <w:sz w:val="24"/>
          <w:szCs w:val="24"/>
          <w:lang w:val="en-GB"/>
        </w:rPr>
        <w:t>study arm would be stopped.</w:t>
      </w:r>
    </w:p>
    <w:p w:rsidR="00DE43F5" w:rsidRDefault="00DE43F5" w:rsidP="00821917">
      <w:pPr>
        <w:pStyle w:val="ColorfulList-Accent11"/>
        <w:spacing w:after="0" w:line="48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8D2C0B" w:rsidRDefault="006C6399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C6399">
        <w:rPr>
          <w:rFonts w:ascii="Arial" w:hAnsi="Arial" w:cs="Arial"/>
          <w:b/>
          <w:sz w:val="24"/>
          <w:szCs w:val="24"/>
        </w:rPr>
        <w:t>Study endpoints</w:t>
      </w:r>
    </w:p>
    <w:p w:rsidR="006C6399" w:rsidRDefault="006C6399" w:rsidP="00821917">
      <w:pPr>
        <w:pStyle w:val="ColorfulList-Accent11"/>
        <w:spacing w:after="0" w:line="480" w:lineRule="auto"/>
        <w:ind w:left="0" w:firstLine="720"/>
        <w:rPr>
          <w:rFonts w:ascii="Arial" w:hAnsi="Arial" w:cs="Arial"/>
          <w:sz w:val="24"/>
          <w:szCs w:val="24"/>
          <w:lang w:val="en-GB"/>
        </w:rPr>
      </w:pPr>
      <w:r w:rsidRPr="00933041">
        <w:rPr>
          <w:rFonts w:ascii="Arial" w:hAnsi="Arial" w:cs="Arial"/>
          <w:sz w:val="24"/>
          <w:szCs w:val="24"/>
          <w:lang w:val="en-GB"/>
        </w:rPr>
        <w:t>The primary endpoints were investi</w:t>
      </w:r>
      <w:r>
        <w:rPr>
          <w:rFonts w:ascii="Arial" w:hAnsi="Arial" w:cs="Arial"/>
          <w:sz w:val="24"/>
          <w:szCs w:val="24"/>
          <w:lang w:val="en-GB"/>
        </w:rPr>
        <w:t xml:space="preserve">gator-assessed 6-month PFS rate. </w:t>
      </w:r>
      <w:r w:rsidRPr="00933041">
        <w:rPr>
          <w:rFonts w:ascii="Arial" w:hAnsi="Arial" w:cs="Arial"/>
          <w:sz w:val="24"/>
          <w:szCs w:val="24"/>
          <w:lang w:val="en-GB"/>
        </w:rPr>
        <w:t>Secondary endpoints were investigator-assessed ORR according to RECIST, median PFS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median OS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and safety. Exploratory endpoints included response rates of brain metastases assessed by investigator and by independent radiologic review, investigator-assessed response rates of extracranial lesions, duration of response of brain metastases in patients with measurable brain disease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and benefit of treatment in patients with known </w:t>
      </w:r>
      <w:r w:rsidRPr="00933041">
        <w:rPr>
          <w:rFonts w:ascii="Arial" w:hAnsi="Arial" w:cs="Arial"/>
          <w:i/>
          <w:sz w:val="24"/>
          <w:szCs w:val="24"/>
          <w:lang w:val="en-GB"/>
        </w:rPr>
        <w:t>EGFR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mutation-positive NSCLC. </w:t>
      </w:r>
    </w:p>
    <w:p w:rsidR="005B382F" w:rsidRDefault="005B382F" w:rsidP="00821917">
      <w:pPr>
        <w:pStyle w:val="ColorfulList-Accent11"/>
        <w:spacing w:after="0" w:line="48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</w:p>
    <w:p w:rsidR="006C6399" w:rsidRPr="006C6399" w:rsidRDefault="006C6399" w:rsidP="00821917">
      <w:pPr>
        <w:pStyle w:val="ColorfulList-Accent11"/>
        <w:spacing w:after="0" w:line="48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6C6399">
        <w:rPr>
          <w:rFonts w:ascii="Arial" w:hAnsi="Arial" w:cs="Arial"/>
          <w:b/>
          <w:sz w:val="24"/>
          <w:szCs w:val="24"/>
          <w:lang w:val="en-GB"/>
        </w:rPr>
        <w:t>Statistical analysis</w:t>
      </w:r>
    </w:p>
    <w:p w:rsidR="006C6399" w:rsidRDefault="006C6399" w:rsidP="00821917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933041">
        <w:rPr>
          <w:rFonts w:ascii="Arial" w:hAnsi="Arial" w:cs="Arial"/>
          <w:sz w:val="24"/>
          <w:szCs w:val="24"/>
        </w:rPr>
        <w:t>The predefined criteria for B+E second-line 6-month PFS rate was ≤15% (H0) and ≥35% (H1)</w:t>
      </w:r>
      <w:r>
        <w:rPr>
          <w:rFonts w:ascii="Arial" w:hAnsi="Arial" w:cs="Arial"/>
          <w:sz w:val="24"/>
          <w:szCs w:val="24"/>
        </w:rPr>
        <w:t>;</w:t>
      </w:r>
      <w:r w:rsidRPr="00933041">
        <w:rPr>
          <w:rFonts w:ascii="Arial" w:hAnsi="Arial" w:cs="Arial"/>
          <w:sz w:val="24"/>
          <w:szCs w:val="24"/>
        </w:rPr>
        <w:t xml:space="preserve"> this required 44 patients to be enrolled to demonstrate </w:t>
      </w:r>
      <w:r>
        <w:rPr>
          <w:rFonts w:ascii="Arial" w:hAnsi="Arial" w:cs="Arial"/>
          <w:sz w:val="24"/>
          <w:szCs w:val="24"/>
        </w:rPr>
        <w:t xml:space="preserve">the </w:t>
      </w:r>
      <w:r w:rsidRPr="00933041">
        <w:rPr>
          <w:rFonts w:ascii="Arial" w:hAnsi="Arial" w:cs="Arial"/>
          <w:sz w:val="24"/>
          <w:szCs w:val="24"/>
        </w:rPr>
        <w:t>efficacy of second-line B+E.</w:t>
      </w:r>
    </w:p>
    <w:p w:rsidR="006C6399" w:rsidRDefault="006C6399" w:rsidP="0082191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C6399" w:rsidRPr="00821917" w:rsidRDefault="00D27FE8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21917">
        <w:rPr>
          <w:rFonts w:ascii="Arial" w:hAnsi="Arial" w:cs="Arial"/>
          <w:b/>
          <w:sz w:val="24"/>
          <w:szCs w:val="24"/>
        </w:rPr>
        <w:t xml:space="preserve">Results </w:t>
      </w:r>
    </w:p>
    <w:p w:rsidR="00A62581" w:rsidRPr="00A62581" w:rsidRDefault="00D27FE8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D27FE8">
        <w:rPr>
          <w:rFonts w:ascii="Arial" w:hAnsi="Arial" w:cs="Arial"/>
          <w:b/>
          <w:sz w:val="24"/>
          <w:szCs w:val="24"/>
        </w:rPr>
        <w:t>Patient characteristics</w:t>
      </w:r>
    </w:p>
    <w:p w:rsidR="006C6399" w:rsidRDefault="00A62581" w:rsidP="00821917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C6399" w:rsidRPr="00933041">
        <w:rPr>
          <w:rFonts w:ascii="Arial" w:hAnsi="Arial" w:cs="Arial"/>
          <w:sz w:val="24"/>
          <w:szCs w:val="24"/>
        </w:rPr>
        <w:t xml:space="preserve"> patients were enrolled into the second-line B+E </w:t>
      </w:r>
      <w:r>
        <w:rPr>
          <w:rFonts w:ascii="Arial" w:hAnsi="Arial" w:cs="Arial"/>
          <w:sz w:val="24"/>
          <w:szCs w:val="24"/>
        </w:rPr>
        <w:t>cohort</w:t>
      </w:r>
      <w:r w:rsidRPr="00933041">
        <w:rPr>
          <w:rFonts w:ascii="Arial" w:hAnsi="Arial" w:cs="Arial"/>
          <w:sz w:val="24"/>
          <w:szCs w:val="24"/>
        </w:rPr>
        <w:t xml:space="preserve"> </w:t>
      </w:r>
      <w:r w:rsidR="006C6399" w:rsidRPr="00933041">
        <w:rPr>
          <w:rFonts w:ascii="Arial" w:hAnsi="Arial" w:cs="Arial"/>
          <w:sz w:val="24"/>
          <w:szCs w:val="24"/>
        </w:rPr>
        <w:t xml:space="preserve">(this </w:t>
      </w:r>
      <w:r>
        <w:rPr>
          <w:rFonts w:ascii="Arial" w:hAnsi="Arial" w:cs="Arial"/>
          <w:sz w:val="24"/>
          <w:szCs w:val="24"/>
        </w:rPr>
        <w:t>cohort</w:t>
      </w:r>
      <w:r w:rsidRPr="00933041">
        <w:rPr>
          <w:rFonts w:ascii="Arial" w:hAnsi="Arial" w:cs="Arial"/>
          <w:sz w:val="24"/>
          <w:szCs w:val="24"/>
        </w:rPr>
        <w:t xml:space="preserve"> </w:t>
      </w:r>
      <w:r w:rsidR="006C6399" w:rsidRPr="00933041">
        <w:rPr>
          <w:rFonts w:ascii="Arial" w:hAnsi="Arial" w:cs="Arial"/>
          <w:sz w:val="24"/>
          <w:szCs w:val="24"/>
        </w:rPr>
        <w:t>was capped at 24 patients</w:t>
      </w:r>
      <w:r w:rsidR="00A00532">
        <w:rPr>
          <w:rFonts w:ascii="Arial" w:hAnsi="Arial" w:cs="Arial"/>
          <w:sz w:val="24"/>
          <w:szCs w:val="24"/>
        </w:rPr>
        <w:t xml:space="preserve"> as opposed to the originally specified 44</w:t>
      </w:r>
      <w:r>
        <w:rPr>
          <w:rFonts w:ascii="Arial" w:hAnsi="Arial" w:cs="Arial"/>
          <w:sz w:val="24"/>
          <w:szCs w:val="24"/>
        </w:rPr>
        <w:t xml:space="preserve"> because of</w:t>
      </w:r>
      <w:r w:rsidR="006C6399" w:rsidRPr="00933041">
        <w:rPr>
          <w:rFonts w:ascii="Arial" w:hAnsi="Arial" w:cs="Arial"/>
          <w:sz w:val="24"/>
          <w:szCs w:val="24"/>
        </w:rPr>
        <w:t xml:space="preserve"> slow recruitment). Six patients (25</w:t>
      </w:r>
      <w:r w:rsidR="00205509">
        <w:rPr>
          <w:rFonts w:ascii="Arial" w:hAnsi="Arial" w:cs="Arial"/>
          <w:sz w:val="24"/>
          <w:szCs w:val="24"/>
        </w:rPr>
        <w:t>.0</w:t>
      </w:r>
      <w:r w:rsidR="006C6399" w:rsidRPr="00933041">
        <w:rPr>
          <w:rFonts w:ascii="Arial" w:hAnsi="Arial" w:cs="Arial"/>
          <w:sz w:val="24"/>
          <w:szCs w:val="24"/>
        </w:rPr>
        <w:t>%) withdrew</w:t>
      </w:r>
      <w:r>
        <w:rPr>
          <w:rFonts w:ascii="Arial" w:hAnsi="Arial" w:cs="Arial"/>
          <w:sz w:val="24"/>
          <w:szCs w:val="24"/>
        </w:rPr>
        <w:t xml:space="preserve"> or </w:t>
      </w:r>
      <w:r w:rsidR="006C6399" w:rsidRPr="00933041">
        <w:rPr>
          <w:rFonts w:ascii="Arial" w:hAnsi="Arial" w:cs="Arial"/>
          <w:sz w:val="24"/>
          <w:szCs w:val="24"/>
        </w:rPr>
        <w:t xml:space="preserve">discontinued bevacizumab treatment </w:t>
      </w:r>
      <w:r w:rsidR="006C6399" w:rsidRPr="00933041">
        <w:rPr>
          <w:rFonts w:ascii="Arial" w:hAnsi="Arial" w:cs="Arial"/>
          <w:sz w:val="24"/>
          <w:szCs w:val="24"/>
        </w:rPr>
        <w:lastRenderedPageBreak/>
        <w:t>due to AEs.</w:t>
      </w:r>
      <w:r w:rsidR="006C6399" w:rsidRPr="00933041">
        <w:rPr>
          <w:rFonts w:ascii="Arial" w:hAnsi="Arial" w:cs="Arial"/>
          <w:b/>
          <w:i/>
          <w:sz w:val="24"/>
          <w:szCs w:val="24"/>
        </w:rPr>
        <w:t xml:space="preserve"> </w:t>
      </w:r>
      <w:r w:rsidR="006C6399" w:rsidRPr="00933041">
        <w:rPr>
          <w:rFonts w:ascii="Arial" w:hAnsi="Arial" w:cs="Arial"/>
          <w:bCs/>
          <w:iCs/>
          <w:sz w:val="24"/>
          <w:szCs w:val="24"/>
        </w:rPr>
        <w:t>No</w:t>
      </w:r>
      <w:r w:rsidR="006C6399">
        <w:rPr>
          <w:rFonts w:ascii="Arial" w:hAnsi="Arial" w:cs="Arial"/>
          <w:bCs/>
          <w:iCs/>
          <w:sz w:val="24"/>
          <w:szCs w:val="24"/>
        </w:rPr>
        <w:t>ne</w:t>
      </w:r>
      <w:r w:rsidR="006C6399" w:rsidRPr="00933041">
        <w:rPr>
          <w:rFonts w:ascii="Arial" w:hAnsi="Arial" w:cs="Arial"/>
          <w:bCs/>
          <w:iCs/>
          <w:sz w:val="24"/>
          <w:szCs w:val="24"/>
        </w:rPr>
        <w:t xml:space="preserve"> of the 12</w:t>
      </w:r>
      <w:r w:rsidR="006C6399">
        <w:rPr>
          <w:rFonts w:ascii="Arial" w:hAnsi="Arial" w:cs="Arial"/>
          <w:bCs/>
          <w:iCs/>
          <w:sz w:val="24"/>
          <w:szCs w:val="24"/>
        </w:rPr>
        <w:t xml:space="preserve"> patients</w:t>
      </w:r>
      <w:r w:rsidR="006C6399" w:rsidRPr="00933041">
        <w:rPr>
          <w:rFonts w:ascii="Arial" w:hAnsi="Arial" w:cs="Arial"/>
          <w:bCs/>
          <w:iCs/>
          <w:sz w:val="24"/>
          <w:szCs w:val="24"/>
        </w:rPr>
        <w:t xml:space="preserve"> tested had </w:t>
      </w:r>
      <w:r w:rsidR="006C6399" w:rsidRPr="00933041">
        <w:rPr>
          <w:rFonts w:ascii="Arial" w:hAnsi="Arial" w:cs="Arial"/>
          <w:bCs/>
          <w:i/>
          <w:iCs/>
          <w:sz w:val="24"/>
          <w:szCs w:val="24"/>
        </w:rPr>
        <w:t>EGFR</w:t>
      </w:r>
      <w:r w:rsidR="006C6399" w:rsidRPr="00933041">
        <w:rPr>
          <w:rFonts w:ascii="Arial" w:hAnsi="Arial" w:cs="Arial"/>
          <w:bCs/>
          <w:iCs/>
          <w:sz w:val="24"/>
          <w:szCs w:val="24"/>
        </w:rPr>
        <w:t xml:space="preserve"> mutation-positive disease (</w:t>
      </w:r>
      <w:r w:rsidR="00BE5F04">
        <w:rPr>
          <w:rFonts w:ascii="Arial" w:hAnsi="Arial" w:cs="Arial"/>
          <w:bCs/>
          <w:iCs/>
          <w:sz w:val="24"/>
          <w:szCs w:val="24"/>
        </w:rPr>
        <w:t>Appendix T</w:t>
      </w:r>
      <w:r w:rsidR="00BE5F04" w:rsidRPr="00933041">
        <w:rPr>
          <w:rFonts w:ascii="Arial" w:hAnsi="Arial" w:cs="Arial"/>
          <w:bCs/>
          <w:iCs/>
          <w:sz w:val="24"/>
          <w:szCs w:val="24"/>
        </w:rPr>
        <w:t xml:space="preserve">able </w:t>
      </w:r>
      <w:r w:rsidR="006C6399" w:rsidRPr="00933041">
        <w:rPr>
          <w:rFonts w:ascii="Arial" w:hAnsi="Arial" w:cs="Arial"/>
          <w:bCs/>
          <w:iCs/>
          <w:sz w:val="24"/>
          <w:szCs w:val="24"/>
        </w:rPr>
        <w:t>1).</w:t>
      </w:r>
      <w:r w:rsidR="006C6399" w:rsidRPr="00933041">
        <w:rPr>
          <w:rFonts w:ascii="Arial" w:hAnsi="Arial" w:cs="Arial"/>
          <w:sz w:val="24"/>
          <w:szCs w:val="24"/>
        </w:rPr>
        <w:t xml:space="preserve"> Median follow-up in the B+E </w:t>
      </w:r>
      <w:r>
        <w:rPr>
          <w:rFonts w:ascii="Arial" w:hAnsi="Arial" w:cs="Arial"/>
          <w:sz w:val="24"/>
          <w:szCs w:val="24"/>
        </w:rPr>
        <w:t>cohort</w:t>
      </w:r>
      <w:r w:rsidRPr="00933041">
        <w:rPr>
          <w:rFonts w:ascii="Arial" w:hAnsi="Arial" w:cs="Arial"/>
          <w:sz w:val="24"/>
          <w:szCs w:val="24"/>
        </w:rPr>
        <w:t xml:space="preserve"> </w:t>
      </w:r>
      <w:r w:rsidR="006C6399" w:rsidRPr="00933041">
        <w:rPr>
          <w:rFonts w:ascii="Arial" w:hAnsi="Arial" w:cs="Arial"/>
          <w:sz w:val="24"/>
          <w:szCs w:val="24"/>
        </w:rPr>
        <w:t>was 11</w:t>
      </w:r>
      <w:r w:rsidR="00D10E50">
        <w:rPr>
          <w:rFonts w:ascii="Arial" w:hAnsi="Arial" w:cs="Arial"/>
          <w:sz w:val="24"/>
          <w:szCs w:val="24"/>
        </w:rPr>
        <w:t>.</w:t>
      </w:r>
      <w:r w:rsidR="006C6399" w:rsidRPr="00933041">
        <w:rPr>
          <w:rFonts w:ascii="Arial" w:hAnsi="Arial" w:cs="Arial"/>
          <w:sz w:val="24"/>
          <w:szCs w:val="24"/>
        </w:rPr>
        <w:t xml:space="preserve">8 months; median duration of exposure to bevacizumab was </w:t>
      </w:r>
      <w:r w:rsidR="006C6399">
        <w:rPr>
          <w:rFonts w:ascii="Arial" w:hAnsi="Arial" w:cs="Arial"/>
          <w:sz w:val="24"/>
          <w:szCs w:val="24"/>
        </w:rPr>
        <w:t>five</w:t>
      </w:r>
      <w:r w:rsidR="006C6399" w:rsidRPr="00933041">
        <w:rPr>
          <w:rFonts w:ascii="Arial" w:hAnsi="Arial" w:cs="Arial"/>
          <w:sz w:val="24"/>
          <w:szCs w:val="24"/>
        </w:rPr>
        <w:t xml:space="preserve"> cycles.</w:t>
      </w:r>
    </w:p>
    <w:p w:rsidR="006C6399" w:rsidRDefault="006C6399" w:rsidP="0082191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62581" w:rsidRPr="00A62581" w:rsidRDefault="00D27FE8" w:rsidP="00821917">
      <w:pPr>
        <w:pStyle w:val="ColorfulList-Accent11"/>
        <w:spacing w:after="0" w:line="480" w:lineRule="auto"/>
        <w:ind w:left="0"/>
        <w:contextualSpacing w:val="0"/>
        <w:rPr>
          <w:rFonts w:ascii="Arial" w:hAnsi="Arial" w:cs="Arial"/>
          <w:b/>
          <w:sz w:val="24"/>
          <w:szCs w:val="24"/>
          <w:lang w:val="en-GB"/>
        </w:rPr>
      </w:pPr>
      <w:r w:rsidRPr="00D27FE8">
        <w:rPr>
          <w:rFonts w:ascii="Arial" w:hAnsi="Arial" w:cs="Arial"/>
          <w:b/>
          <w:bCs/>
          <w:iCs/>
          <w:sz w:val="24"/>
          <w:szCs w:val="24"/>
          <w:lang w:val="en-GB" w:eastAsia="en-US"/>
        </w:rPr>
        <w:t>Efficacy outcomes</w:t>
      </w:r>
    </w:p>
    <w:p w:rsidR="006C6399" w:rsidRDefault="006C6399" w:rsidP="00821917">
      <w:pPr>
        <w:pStyle w:val="ColorfulList-Accent11"/>
        <w:spacing w:after="0" w:line="480" w:lineRule="auto"/>
        <w:ind w:left="0" w:firstLine="720"/>
        <w:contextualSpacing w:val="0"/>
        <w:rPr>
          <w:rFonts w:ascii="Arial" w:hAnsi="Arial" w:cs="Arial"/>
          <w:sz w:val="24"/>
          <w:szCs w:val="24"/>
          <w:lang w:val="en-GB" w:eastAsia="en-US"/>
        </w:rPr>
      </w:pPr>
      <w:r w:rsidRPr="00933041">
        <w:rPr>
          <w:rFonts w:ascii="Arial" w:hAnsi="Arial" w:cs="Arial"/>
          <w:sz w:val="24"/>
          <w:szCs w:val="24"/>
          <w:lang w:val="en-GB"/>
        </w:rPr>
        <w:t>Investigator-assessed ORR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was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12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5% (95% CI</w:t>
      </w:r>
      <w:r w:rsidR="00BE5F04"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7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32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4</w:t>
      </w:r>
      <w:r w:rsidR="00A62581">
        <w:rPr>
          <w:rFonts w:ascii="Arial" w:hAnsi="Arial" w:cs="Arial"/>
          <w:sz w:val="24"/>
          <w:szCs w:val="24"/>
          <w:lang w:val="en-GB"/>
        </w:rPr>
        <w:t>) (</w:t>
      </w:r>
      <w:r w:rsidR="00BE5F04">
        <w:rPr>
          <w:rFonts w:ascii="Arial" w:hAnsi="Arial" w:cs="Arial"/>
          <w:sz w:val="24"/>
          <w:szCs w:val="24"/>
          <w:lang w:val="en-GB"/>
        </w:rPr>
        <w:t>Appendix Fi</w:t>
      </w:r>
      <w:r w:rsidR="00BE5F04" w:rsidRPr="00933041">
        <w:rPr>
          <w:rFonts w:ascii="Arial" w:hAnsi="Arial" w:cs="Arial"/>
          <w:sz w:val="24"/>
          <w:szCs w:val="24"/>
          <w:lang w:val="en-GB"/>
        </w:rPr>
        <w:t>g</w:t>
      </w:r>
      <w:r w:rsidR="00BE5F04">
        <w:rPr>
          <w:rFonts w:ascii="Arial" w:hAnsi="Arial" w:cs="Arial"/>
          <w:sz w:val="24"/>
          <w:szCs w:val="24"/>
          <w:lang w:val="en-GB"/>
        </w:rPr>
        <w:t>ure</w:t>
      </w:r>
      <w:r w:rsidR="00BE5F04" w:rsidRPr="00933041">
        <w:rPr>
          <w:rFonts w:ascii="Arial" w:hAnsi="Arial" w:cs="Arial"/>
          <w:sz w:val="24"/>
          <w:szCs w:val="24"/>
          <w:lang w:val="en-GB"/>
        </w:rPr>
        <w:t xml:space="preserve"> </w:t>
      </w:r>
      <w:r w:rsidR="00C61D1D">
        <w:rPr>
          <w:rFonts w:ascii="Arial" w:hAnsi="Arial" w:cs="Arial"/>
          <w:sz w:val="24"/>
          <w:szCs w:val="24"/>
          <w:lang w:val="en-GB"/>
        </w:rPr>
        <w:t>1</w:t>
      </w:r>
      <w:r w:rsidR="00D10E5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and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</w:t>
      </w:r>
      <w:r w:rsidR="00BE5F04">
        <w:rPr>
          <w:rFonts w:ascii="Arial" w:hAnsi="Arial" w:cs="Arial"/>
          <w:sz w:val="24"/>
          <w:szCs w:val="24"/>
          <w:lang w:val="en-GB"/>
        </w:rPr>
        <w:t>Appendix T</w:t>
      </w:r>
      <w:r w:rsidR="00BE5F04" w:rsidRPr="00933041">
        <w:rPr>
          <w:rFonts w:ascii="Arial" w:hAnsi="Arial" w:cs="Arial"/>
          <w:sz w:val="24"/>
          <w:szCs w:val="24"/>
          <w:lang w:val="en-GB"/>
        </w:rPr>
        <w:t xml:space="preserve">able </w:t>
      </w:r>
      <w:r w:rsidR="008D3F27" w:rsidRPr="008D3F27">
        <w:rPr>
          <w:rFonts w:ascii="Arial" w:hAnsi="Arial" w:cs="Arial"/>
          <w:sz w:val="24"/>
          <w:szCs w:val="24"/>
          <w:lang w:val="en-GB"/>
        </w:rPr>
        <w:t>2</w:t>
      </w:r>
      <w:r w:rsidRPr="00933041">
        <w:rPr>
          <w:rFonts w:ascii="Arial" w:hAnsi="Arial" w:cs="Arial"/>
          <w:sz w:val="24"/>
          <w:szCs w:val="24"/>
          <w:lang w:val="en-GB"/>
        </w:rPr>
        <w:t>). Response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rate of brain metastases was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20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8% (95% CI</w:t>
      </w:r>
      <w:r w:rsidR="00BE5F04"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7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1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42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2);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response rate of extracranial lesions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was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12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5% (2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7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32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4)</w:t>
      </w:r>
      <w:r w:rsidR="009021F7">
        <w:rPr>
          <w:rFonts w:ascii="Arial" w:hAnsi="Arial" w:cs="Arial"/>
          <w:sz w:val="24"/>
          <w:szCs w:val="24"/>
          <w:lang w:val="en-GB"/>
        </w:rPr>
        <w:t xml:space="preserve"> (</w:t>
      </w:r>
      <w:r w:rsidR="00BE5F04">
        <w:rPr>
          <w:rFonts w:ascii="Arial" w:hAnsi="Arial" w:cs="Arial"/>
          <w:sz w:val="24"/>
          <w:szCs w:val="24"/>
          <w:lang w:val="en-GB"/>
        </w:rPr>
        <w:t xml:space="preserve">Appendix Figure </w:t>
      </w:r>
      <w:r w:rsidR="009021F7">
        <w:rPr>
          <w:rFonts w:ascii="Arial" w:hAnsi="Arial" w:cs="Arial"/>
          <w:sz w:val="24"/>
          <w:szCs w:val="24"/>
          <w:lang w:val="en-GB"/>
        </w:rPr>
        <w:t>2)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. </w:t>
      </w:r>
      <w:r w:rsidRPr="00933041">
        <w:rPr>
          <w:rFonts w:ascii="Arial" w:hAnsi="Arial" w:cs="Arial"/>
          <w:sz w:val="24"/>
          <w:szCs w:val="24"/>
        </w:rPr>
        <w:t>The median duration of brain metastases response in patients with measurable brain disease (</w:t>
      </w:r>
      <w:r w:rsidRPr="00821917">
        <w:rPr>
          <w:rFonts w:ascii="Arial" w:hAnsi="Arial" w:cs="Arial"/>
          <w:i/>
          <w:sz w:val="24"/>
          <w:szCs w:val="24"/>
        </w:rPr>
        <w:t>n</w:t>
      </w:r>
      <w:r w:rsidR="00BE5F04">
        <w:rPr>
          <w:rFonts w:ascii="Arial" w:hAnsi="Arial" w:cs="Arial"/>
          <w:i/>
          <w:sz w:val="24"/>
          <w:szCs w:val="24"/>
        </w:rPr>
        <w:t xml:space="preserve"> </w:t>
      </w:r>
      <w:r w:rsidRPr="00821917">
        <w:rPr>
          <w:rFonts w:ascii="Arial" w:hAnsi="Arial" w:cs="Arial"/>
          <w:i/>
          <w:sz w:val="24"/>
          <w:szCs w:val="24"/>
        </w:rPr>
        <w:t>=</w:t>
      </w:r>
      <w:r w:rsidR="00BE5F04">
        <w:rPr>
          <w:rFonts w:ascii="Arial" w:hAnsi="Arial" w:cs="Arial"/>
          <w:i/>
          <w:sz w:val="24"/>
          <w:szCs w:val="24"/>
        </w:rPr>
        <w:t xml:space="preserve"> </w:t>
      </w:r>
      <w:r w:rsidRPr="00821917">
        <w:rPr>
          <w:rFonts w:ascii="Arial" w:hAnsi="Arial" w:cs="Arial"/>
          <w:i/>
          <w:sz w:val="24"/>
          <w:szCs w:val="24"/>
        </w:rPr>
        <w:t>3</w:t>
      </w:r>
      <w:r w:rsidRPr="00933041">
        <w:rPr>
          <w:rFonts w:ascii="Arial" w:hAnsi="Arial" w:cs="Arial"/>
          <w:sz w:val="24"/>
          <w:szCs w:val="24"/>
        </w:rPr>
        <w:t>) was 8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</w:rPr>
        <w:t>6 months (95% CI</w:t>
      </w:r>
      <w:r w:rsidR="00BE5F04">
        <w:rPr>
          <w:rFonts w:ascii="Arial" w:hAnsi="Arial" w:cs="Arial"/>
          <w:sz w:val="24"/>
          <w:szCs w:val="24"/>
        </w:rPr>
        <w:t>,</w:t>
      </w:r>
      <w:r w:rsidRPr="00933041">
        <w:rPr>
          <w:rFonts w:ascii="Arial" w:hAnsi="Arial" w:cs="Arial"/>
          <w:sz w:val="24"/>
          <w:szCs w:val="24"/>
        </w:rPr>
        <w:t xml:space="preserve"> 6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</w:rPr>
        <w:t>1</w:t>
      </w:r>
      <w:r w:rsidR="00664DB3">
        <w:rPr>
          <w:rFonts w:ascii="Arial" w:hAnsi="Arial" w:cs="Arial"/>
          <w:sz w:val="24"/>
          <w:szCs w:val="24"/>
        </w:rPr>
        <w:t>–</w:t>
      </w:r>
      <w:r w:rsidRPr="00933041">
        <w:rPr>
          <w:rFonts w:ascii="Arial" w:hAnsi="Arial" w:cs="Arial"/>
          <w:sz w:val="24"/>
          <w:szCs w:val="24"/>
        </w:rPr>
        <w:t xml:space="preserve">not reached). </w:t>
      </w:r>
      <w:r w:rsidRPr="00933041">
        <w:rPr>
          <w:rFonts w:ascii="Arial" w:hAnsi="Arial" w:cs="Arial"/>
          <w:sz w:val="24"/>
          <w:szCs w:val="24"/>
          <w:lang w:val="en-GB" w:eastAsia="en-US"/>
        </w:rPr>
        <w:t>Bevacizumab withdrawal due to intracranial progression occurred in 16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 w:eastAsia="en-US"/>
        </w:rPr>
        <w:t>7</w:t>
      </w:r>
      <w:r w:rsidR="00A62581" w:rsidRPr="00933041">
        <w:rPr>
          <w:rFonts w:ascii="Arial" w:hAnsi="Arial" w:cs="Arial"/>
          <w:sz w:val="24"/>
          <w:szCs w:val="24"/>
          <w:lang w:val="en-GB" w:eastAsia="en-US"/>
        </w:rPr>
        <w:t>%</w:t>
      </w:r>
      <w:r w:rsidR="00A62581">
        <w:rPr>
          <w:rFonts w:ascii="Arial" w:hAnsi="Arial" w:cs="Arial"/>
          <w:sz w:val="24"/>
          <w:szCs w:val="24"/>
          <w:lang w:val="en-GB" w:eastAsia="en-US"/>
        </w:rPr>
        <w:t xml:space="preserve"> and</w:t>
      </w:r>
      <w:r w:rsidR="00A62581" w:rsidRPr="00933041"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 w:eastAsia="en-US"/>
        </w:rPr>
        <w:t>extracranial progression in 54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 w:eastAsia="en-US"/>
        </w:rPr>
        <w:t>2% of patients, with both reported in 4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 w:eastAsia="en-US"/>
        </w:rPr>
        <w:t>2%.</w:t>
      </w:r>
    </w:p>
    <w:p w:rsidR="006C6399" w:rsidRDefault="006C6399" w:rsidP="00821917">
      <w:pPr>
        <w:pStyle w:val="ColorfulList-Accent11"/>
        <w:spacing w:after="0" w:line="480" w:lineRule="auto"/>
        <w:ind w:left="0" w:firstLine="720"/>
        <w:rPr>
          <w:rFonts w:ascii="Arial" w:hAnsi="Arial" w:cs="Arial"/>
          <w:sz w:val="24"/>
          <w:szCs w:val="24"/>
          <w:lang w:val="en-GB"/>
        </w:rPr>
      </w:pPr>
      <w:r w:rsidRPr="00933041">
        <w:rPr>
          <w:rFonts w:ascii="Arial" w:hAnsi="Arial" w:cs="Arial"/>
          <w:sz w:val="24"/>
          <w:szCs w:val="24"/>
          <w:lang w:val="en-GB"/>
        </w:rPr>
        <w:t>The 6-month PFS rate was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57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2% (95% CI</w:t>
      </w:r>
      <w:r w:rsidR="00BE5F04"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37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0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76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3), with median PFS of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6</w:t>
      </w:r>
      <w:r w:rsidR="00D10E50">
        <w:rPr>
          <w:rFonts w:ascii="Arial" w:hAnsi="Arial" w:cs="Arial"/>
          <w:sz w:val="24"/>
          <w:szCs w:val="24"/>
        </w:rPr>
        <w:t>.</w:t>
      </w:r>
      <w:r w:rsidR="00A62581" w:rsidRPr="00933041">
        <w:rPr>
          <w:rFonts w:ascii="Arial" w:hAnsi="Arial" w:cs="Arial"/>
          <w:sz w:val="24"/>
          <w:szCs w:val="24"/>
          <w:lang w:val="en-GB"/>
        </w:rPr>
        <w:t>3</w:t>
      </w:r>
      <w:r w:rsidR="00A62581">
        <w:rPr>
          <w:rFonts w:ascii="Arial" w:hAnsi="Arial" w:cs="Arial"/>
          <w:sz w:val="24"/>
          <w:szCs w:val="24"/>
          <w:lang w:val="en-GB"/>
        </w:rPr>
        <w:t> </w:t>
      </w:r>
      <w:r w:rsidRPr="00933041">
        <w:rPr>
          <w:rFonts w:ascii="Arial" w:hAnsi="Arial" w:cs="Arial"/>
          <w:sz w:val="24"/>
          <w:szCs w:val="24"/>
          <w:lang w:val="en-GB"/>
        </w:rPr>
        <w:t>months (3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0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8</w:t>
      </w:r>
      <w:r w:rsidR="00D10E50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4</w:t>
      </w:r>
      <w:r w:rsidR="00A62581">
        <w:rPr>
          <w:rFonts w:ascii="Arial" w:hAnsi="Arial" w:cs="Arial"/>
          <w:sz w:val="24"/>
          <w:szCs w:val="24"/>
          <w:lang w:val="en-GB"/>
        </w:rPr>
        <w:t>) (</w:t>
      </w:r>
      <w:r w:rsidR="00BE5F04">
        <w:rPr>
          <w:rFonts w:ascii="Arial" w:hAnsi="Arial" w:cs="Arial"/>
          <w:sz w:val="24"/>
          <w:szCs w:val="24"/>
          <w:lang w:val="en-GB"/>
        </w:rPr>
        <w:t xml:space="preserve">Appendix </w:t>
      </w:r>
      <w:r w:rsidR="000C46B0">
        <w:rPr>
          <w:rFonts w:ascii="Arial" w:hAnsi="Arial" w:cs="Arial"/>
          <w:sz w:val="24"/>
          <w:szCs w:val="24"/>
          <w:lang w:val="en-GB"/>
        </w:rPr>
        <w:t>F</w:t>
      </w:r>
      <w:r w:rsidR="000C46B0" w:rsidRPr="00933041">
        <w:rPr>
          <w:rFonts w:ascii="Arial" w:hAnsi="Arial" w:cs="Arial"/>
          <w:sz w:val="24"/>
          <w:szCs w:val="24"/>
          <w:lang w:val="en-GB"/>
        </w:rPr>
        <w:t>ig</w:t>
      </w:r>
      <w:r w:rsidR="000C46B0">
        <w:rPr>
          <w:rFonts w:ascii="Arial" w:hAnsi="Arial" w:cs="Arial"/>
          <w:sz w:val="24"/>
          <w:szCs w:val="24"/>
          <w:lang w:val="en-GB"/>
        </w:rPr>
        <w:t>ure</w:t>
      </w:r>
      <w:r w:rsidR="000C46B0" w:rsidRPr="00933041">
        <w:rPr>
          <w:rFonts w:ascii="Arial" w:hAnsi="Arial" w:cs="Arial"/>
          <w:sz w:val="24"/>
          <w:szCs w:val="24"/>
          <w:lang w:val="en-GB"/>
        </w:rPr>
        <w:t xml:space="preserve"> </w:t>
      </w:r>
      <w:r w:rsidR="008D3F27">
        <w:rPr>
          <w:rFonts w:ascii="Arial" w:hAnsi="Arial" w:cs="Arial"/>
          <w:sz w:val="24"/>
          <w:szCs w:val="24"/>
          <w:lang w:val="en-GB"/>
        </w:rPr>
        <w:t>3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). </w:t>
      </w:r>
      <w:r w:rsidR="00A62581">
        <w:rPr>
          <w:rFonts w:ascii="Arial" w:hAnsi="Arial" w:cs="Arial"/>
          <w:sz w:val="24"/>
          <w:szCs w:val="24"/>
          <w:lang w:val="en-GB"/>
        </w:rPr>
        <w:t>Because of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the</w:t>
      </w:r>
      <w:r w:rsidRPr="00933041">
        <w:rPr>
          <w:rFonts w:ascii="Arial" w:hAnsi="Arial" w:cs="Arial"/>
          <w:noProof/>
          <w:sz w:val="24"/>
          <w:szCs w:val="24"/>
          <w:lang w:val="en-GB" w:eastAsia="en-GB"/>
        </w:rPr>
        <w:t xml:space="preserve"> low number of patients enrolled, the primary efficacy analysis was of a descriptive nature only for the second-line </w:t>
      </w:r>
      <w:r w:rsidR="00A62581">
        <w:rPr>
          <w:rFonts w:ascii="Arial" w:hAnsi="Arial" w:cs="Arial"/>
          <w:noProof/>
          <w:sz w:val="24"/>
          <w:szCs w:val="24"/>
          <w:lang w:val="en-GB" w:eastAsia="en-GB"/>
        </w:rPr>
        <w:t>cohort</w:t>
      </w:r>
      <w:r w:rsidRPr="00933041">
        <w:rPr>
          <w:rFonts w:ascii="Arial" w:hAnsi="Arial" w:cs="Arial"/>
          <w:noProof/>
          <w:sz w:val="24"/>
          <w:szCs w:val="24"/>
          <w:lang w:val="en-GB" w:eastAsia="en-GB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Median OS was 12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0 months (95% CI</w:t>
      </w:r>
      <w:r w:rsidR="000C46B0"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8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9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20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2</w:t>
      </w:r>
      <w:r w:rsidR="00A62581">
        <w:rPr>
          <w:rFonts w:ascii="Arial" w:hAnsi="Arial" w:cs="Arial"/>
          <w:sz w:val="24"/>
          <w:szCs w:val="24"/>
          <w:lang w:val="en-GB"/>
        </w:rPr>
        <w:t>) (</w:t>
      </w:r>
      <w:r w:rsidR="000C46B0">
        <w:rPr>
          <w:rFonts w:ascii="Arial" w:hAnsi="Arial" w:cs="Arial"/>
          <w:sz w:val="24"/>
          <w:szCs w:val="24"/>
          <w:lang w:val="en-GB"/>
        </w:rPr>
        <w:t>Appendix F</w:t>
      </w:r>
      <w:r w:rsidR="000C46B0" w:rsidRPr="00933041">
        <w:rPr>
          <w:rFonts w:ascii="Arial" w:hAnsi="Arial" w:cs="Arial"/>
          <w:sz w:val="24"/>
          <w:szCs w:val="24"/>
          <w:lang w:val="en-GB"/>
        </w:rPr>
        <w:t>ig</w:t>
      </w:r>
      <w:r w:rsidR="000C46B0">
        <w:rPr>
          <w:rFonts w:ascii="Arial" w:hAnsi="Arial" w:cs="Arial"/>
          <w:sz w:val="24"/>
          <w:szCs w:val="24"/>
          <w:lang w:val="en-GB"/>
        </w:rPr>
        <w:t>ure </w:t>
      </w:r>
      <w:r w:rsidR="008D3F27">
        <w:rPr>
          <w:rFonts w:ascii="Arial" w:hAnsi="Arial" w:cs="Arial"/>
          <w:sz w:val="24"/>
          <w:szCs w:val="24"/>
          <w:lang w:val="en-GB"/>
        </w:rPr>
        <w:t>3)</w:t>
      </w:r>
      <w:r w:rsidRPr="00933041"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the 12-month survival rate was 50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0% (30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5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69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5)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 and the 18-month survival rate was 41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7% (23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1</w:t>
      </w:r>
      <w:r w:rsidR="00664DB3">
        <w:rPr>
          <w:rFonts w:ascii="Arial" w:hAnsi="Arial" w:cs="Arial"/>
          <w:sz w:val="24"/>
          <w:szCs w:val="24"/>
          <w:lang w:val="en-GB"/>
        </w:rPr>
        <w:t>–</w:t>
      </w:r>
      <w:r w:rsidRPr="00933041">
        <w:rPr>
          <w:rFonts w:ascii="Arial" w:hAnsi="Arial" w:cs="Arial"/>
          <w:sz w:val="24"/>
          <w:szCs w:val="24"/>
          <w:lang w:val="en-GB"/>
        </w:rPr>
        <w:t>61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5).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D3F27" w:rsidRPr="008D3F27">
        <w:rPr>
          <w:rFonts w:ascii="Arial" w:hAnsi="Arial" w:cs="Arial"/>
          <w:sz w:val="24"/>
          <w:szCs w:val="24"/>
          <w:lang w:val="en-GB"/>
        </w:rPr>
        <w:t xml:space="preserve">Results by </w:t>
      </w:r>
      <w:r w:rsidR="008D3F27" w:rsidRPr="008D3F27">
        <w:rPr>
          <w:rFonts w:ascii="Arial" w:hAnsi="Arial" w:cs="Arial"/>
          <w:i/>
          <w:sz w:val="24"/>
          <w:szCs w:val="24"/>
          <w:lang w:val="en-GB"/>
        </w:rPr>
        <w:t>EGFR</w:t>
      </w:r>
      <w:r w:rsidR="008D3F27" w:rsidRPr="008D3F27">
        <w:rPr>
          <w:rFonts w:ascii="Arial" w:hAnsi="Arial" w:cs="Arial"/>
          <w:sz w:val="24"/>
          <w:szCs w:val="24"/>
          <w:lang w:val="en-GB"/>
        </w:rPr>
        <w:t xml:space="preserve"> mutation are shown in </w:t>
      </w:r>
      <w:r w:rsidR="000C46B0">
        <w:rPr>
          <w:rFonts w:ascii="Arial" w:hAnsi="Arial" w:cs="Arial"/>
          <w:sz w:val="24"/>
          <w:szCs w:val="24"/>
          <w:lang w:val="en-GB"/>
        </w:rPr>
        <w:t>Appendix T</w:t>
      </w:r>
      <w:r w:rsidR="000C46B0" w:rsidRPr="008D3F27">
        <w:rPr>
          <w:rFonts w:ascii="Arial" w:hAnsi="Arial" w:cs="Arial"/>
          <w:sz w:val="24"/>
          <w:szCs w:val="24"/>
          <w:lang w:val="en-GB"/>
        </w:rPr>
        <w:t xml:space="preserve">able </w:t>
      </w:r>
      <w:r w:rsidR="008D3F27">
        <w:rPr>
          <w:rFonts w:ascii="Arial" w:hAnsi="Arial" w:cs="Arial"/>
          <w:sz w:val="24"/>
          <w:szCs w:val="24"/>
          <w:lang w:val="en-GB"/>
        </w:rPr>
        <w:t>3</w:t>
      </w:r>
      <w:r w:rsidR="008D3F27" w:rsidRPr="008D3F27">
        <w:rPr>
          <w:rFonts w:ascii="Arial" w:hAnsi="Arial" w:cs="Arial"/>
          <w:sz w:val="24"/>
          <w:szCs w:val="24"/>
          <w:lang w:val="en-GB"/>
        </w:rPr>
        <w:t>.</w:t>
      </w:r>
    </w:p>
    <w:p w:rsidR="006C6399" w:rsidRDefault="006C6399" w:rsidP="00821917">
      <w:pPr>
        <w:pStyle w:val="ColorfulList-Accent11"/>
        <w:spacing w:after="0" w:line="48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</w:p>
    <w:p w:rsidR="00A62581" w:rsidRPr="00A62581" w:rsidRDefault="00D27FE8" w:rsidP="00821917">
      <w:pPr>
        <w:pStyle w:val="ColorfulList-Accent11"/>
        <w:spacing w:after="0" w:line="48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D27FE8">
        <w:rPr>
          <w:rFonts w:ascii="Arial" w:hAnsi="Arial" w:cs="Arial"/>
          <w:b/>
          <w:sz w:val="24"/>
          <w:szCs w:val="24"/>
          <w:lang w:val="en-GB"/>
        </w:rPr>
        <w:t>Post-study therapy</w:t>
      </w:r>
    </w:p>
    <w:p w:rsidR="006C6399" w:rsidRDefault="006C6399" w:rsidP="00821917">
      <w:pPr>
        <w:pStyle w:val="ColorfulList-Accent11"/>
        <w:spacing w:after="0" w:line="480" w:lineRule="auto"/>
        <w:ind w:left="0" w:firstLine="720"/>
        <w:rPr>
          <w:rFonts w:ascii="Arial" w:hAnsi="Arial" w:cs="Arial"/>
          <w:bCs/>
          <w:iCs/>
          <w:sz w:val="24"/>
          <w:szCs w:val="24"/>
          <w:lang w:val="en-GB" w:eastAsia="en-US"/>
        </w:rPr>
      </w:pP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Post-study therapy was given in 79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2% of B+E patients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>: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 xml:space="preserve"> 75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0% received at least one systemic cancer treatment (most common treatments were pemetrexed 50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0% and docetaxel 25</w:t>
      </w:r>
      <w:r w:rsidR="009345B5">
        <w:rPr>
          <w:rFonts w:ascii="Arial" w:hAnsi="Arial" w:cs="Arial"/>
          <w:sz w:val="24"/>
          <w:szCs w:val="24"/>
        </w:rPr>
        <w:t>.</w:t>
      </w:r>
      <w:r w:rsidR="0044782D">
        <w:rPr>
          <w:rFonts w:ascii="Arial" w:hAnsi="Arial" w:cs="Arial"/>
          <w:sz w:val="24"/>
          <w:szCs w:val="24"/>
        </w:rPr>
        <w:t>0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%)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>;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 xml:space="preserve"> 29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2% received radiotherapy for NSCLC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>;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 xml:space="preserve"> 8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eastAsia="en-US"/>
        </w:rPr>
        <w:t>3% underwent surgery.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 xml:space="preserve"> A total of eight patients received WBRT for their brain 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lastRenderedPageBreak/>
        <w:t>metastases, and the median time to WBRT was 6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>6 months (range</w:t>
      </w:r>
      <w:r w:rsidR="000C46B0">
        <w:rPr>
          <w:rFonts w:ascii="Arial" w:hAnsi="Arial" w:cs="Arial"/>
          <w:bCs/>
          <w:iCs/>
          <w:sz w:val="24"/>
          <w:szCs w:val="24"/>
          <w:lang w:val="en-GB" w:eastAsia="en-US"/>
        </w:rPr>
        <w:t>: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 xml:space="preserve"> 2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>5</w:t>
      </w:r>
      <w:r w:rsidR="000C46B0">
        <w:rPr>
          <w:rFonts w:ascii="Arial" w:hAnsi="Arial" w:cs="Arial"/>
          <w:bCs/>
          <w:iCs/>
          <w:sz w:val="24"/>
          <w:szCs w:val="24"/>
          <w:lang w:val="en-GB" w:eastAsia="en-US"/>
        </w:rPr>
        <w:t xml:space="preserve"> to 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>21</w:t>
      </w:r>
      <w:r w:rsidR="009345B5">
        <w:rPr>
          <w:rFonts w:ascii="Arial" w:hAnsi="Arial" w:cs="Arial"/>
          <w:sz w:val="24"/>
          <w:szCs w:val="24"/>
        </w:rPr>
        <w:t>.</w:t>
      </w:r>
      <w:r w:rsidR="00A62581"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>9</w:t>
      </w:r>
      <w:r w:rsidR="00A62581">
        <w:rPr>
          <w:rFonts w:ascii="Arial" w:hAnsi="Arial" w:cs="Arial"/>
          <w:bCs/>
          <w:iCs/>
          <w:sz w:val="24"/>
          <w:szCs w:val="24"/>
          <w:lang w:val="en-GB" w:eastAsia="en-US"/>
        </w:rPr>
        <w:t> </w:t>
      </w:r>
      <w:r w:rsidRPr="00933041">
        <w:rPr>
          <w:rFonts w:ascii="Arial" w:hAnsi="Arial" w:cs="Arial"/>
          <w:bCs/>
          <w:iCs/>
          <w:sz w:val="24"/>
          <w:szCs w:val="24"/>
          <w:lang w:val="en-GB" w:eastAsia="en-US"/>
        </w:rPr>
        <w:t xml:space="preserve">months). </w:t>
      </w:r>
    </w:p>
    <w:p w:rsidR="00976577" w:rsidRDefault="00976577" w:rsidP="00821917">
      <w:pPr>
        <w:pStyle w:val="ColorfulList-Accent11"/>
        <w:spacing w:after="0" w:line="480" w:lineRule="auto"/>
        <w:ind w:left="0"/>
        <w:rPr>
          <w:rFonts w:ascii="Arial" w:hAnsi="Arial" w:cs="Arial"/>
          <w:b/>
          <w:i/>
          <w:sz w:val="24"/>
          <w:szCs w:val="24"/>
          <w:lang w:val="en-GB" w:eastAsia="en-US"/>
        </w:rPr>
      </w:pPr>
    </w:p>
    <w:p w:rsidR="006C6399" w:rsidRDefault="005B382F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</w:t>
      </w:r>
    </w:p>
    <w:p w:rsidR="005B382F" w:rsidRDefault="005B382F" w:rsidP="00821917">
      <w:pPr>
        <w:pStyle w:val="ColorfulList-Accent11"/>
        <w:spacing w:after="0" w:line="480" w:lineRule="auto"/>
        <w:ind w:left="0" w:firstLine="720"/>
        <w:rPr>
          <w:rFonts w:ascii="Arial" w:hAnsi="Arial" w:cs="Arial"/>
          <w:sz w:val="24"/>
          <w:szCs w:val="24"/>
          <w:lang w:val="en-GB"/>
        </w:rPr>
      </w:pPr>
      <w:r w:rsidRPr="00933041">
        <w:rPr>
          <w:rFonts w:ascii="Arial" w:hAnsi="Arial" w:cs="Arial"/>
          <w:sz w:val="24"/>
          <w:szCs w:val="24"/>
          <w:lang w:val="en-GB"/>
        </w:rPr>
        <w:t xml:space="preserve">No </w:t>
      </w:r>
      <w:r w:rsidR="00A62581">
        <w:rPr>
          <w:rFonts w:ascii="Arial" w:hAnsi="Arial" w:cs="Arial"/>
          <w:sz w:val="24"/>
          <w:szCs w:val="24"/>
          <w:lang w:val="en-GB"/>
        </w:rPr>
        <w:t>intracranial hemorrhage</w:t>
      </w:r>
      <w:r w:rsidR="00A62581" w:rsidRPr="00933041">
        <w:rPr>
          <w:rFonts w:ascii="Arial" w:hAnsi="Arial" w:cs="Arial"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events were reported.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There was one grade ≥3 bleeding event (grade 3 post-procedural hematoma, extracranial site). There were two serious AEs leading to death (one case of possible hypertensive encephalopathy and one case of isch</w:t>
      </w:r>
      <w:r w:rsidR="00A62581">
        <w:rPr>
          <w:rFonts w:ascii="Arial" w:hAnsi="Arial" w:cs="Arial"/>
          <w:sz w:val="24"/>
          <w:szCs w:val="24"/>
          <w:lang w:val="en-GB"/>
        </w:rPr>
        <w:t>a</w:t>
      </w:r>
      <w:r w:rsidRPr="00933041">
        <w:rPr>
          <w:rFonts w:ascii="Arial" w:hAnsi="Arial" w:cs="Arial"/>
          <w:sz w:val="24"/>
          <w:szCs w:val="24"/>
          <w:lang w:val="en-GB"/>
        </w:rPr>
        <w:t>emic stroke, both considered related to bevacizumab). Grade ≥3 AEs occurred in 54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2% of patients (</w:t>
      </w:r>
      <w:r w:rsidR="000C46B0">
        <w:rPr>
          <w:rFonts w:ascii="Arial" w:hAnsi="Arial" w:cs="Arial"/>
          <w:sz w:val="24"/>
          <w:szCs w:val="24"/>
          <w:lang w:val="en-GB"/>
        </w:rPr>
        <w:t>Appendix T</w:t>
      </w:r>
      <w:r w:rsidR="000C46B0" w:rsidRPr="00933041">
        <w:rPr>
          <w:rFonts w:ascii="Arial" w:hAnsi="Arial" w:cs="Arial"/>
          <w:sz w:val="24"/>
          <w:szCs w:val="24"/>
          <w:lang w:val="en-GB"/>
        </w:rPr>
        <w:t xml:space="preserve">able </w:t>
      </w:r>
      <w:r w:rsidR="008D3F27">
        <w:rPr>
          <w:rFonts w:ascii="Arial" w:hAnsi="Arial" w:cs="Arial"/>
          <w:sz w:val="24"/>
          <w:szCs w:val="24"/>
          <w:lang w:val="en-GB"/>
        </w:rPr>
        <w:t>4</w:t>
      </w:r>
      <w:r w:rsidRPr="00933041">
        <w:rPr>
          <w:rFonts w:ascii="Arial" w:hAnsi="Arial" w:cs="Arial"/>
          <w:sz w:val="24"/>
          <w:szCs w:val="24"/>
          <w:lang w:val="en-GB"/>
        </w:rPr>
        <w:t>) and</w:t>
      </w:r>
      <w:r w:rsidRPr="0093304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 xml:space="preserve">grade ≥3 </w:t>
      </w:r>
      <w:r w:rsidR="00A62581" w:rsidRPr="00933041">
        <w:rPr>
          <w:rFonts w:ascii="Arial" w:hAnsi="Arial" w:cs="Arial"/>
          <w:sz w:val="24"/>
          <w:szCs w:val="24"/>
          <w:lang w:val="en-GB"/>
        </w:rPr>
        <w:t>AE</w:t>
      </w:r>
      <w:r w:rsidR="00A62581">
        <w:rPr>
          <w:rFonts w:ascii="Arial" w:hAnsi="Arial" w:cs="Arial"/>
          <w:sz w:val="24"/>
          <w:szCs w:val="24"/>
          <w:lang w:val="en-GB"/>
        </w:rPr>
        <w:t>s of special interest</w:t>
      </w:r>
      <w:r w:rsidR="00A62581" w:rsidRPr="00933041">
        <w:rPr>
          <w:rFonts w:ascii="Arial" w:hAnsi="Arial" w:cs="Arial"/>
          <w:sz w:val="24"/>
          <w:szCs w:val="24"/>
          <w:lang w:val="en-GB"/>
        </w:rPr>
        <w:t xml:space="preserve"> </w:t>
      </w:r>
      <w:r w:rsidRPr="00933041">
        <w:rPr>
          <w:rFonts w:ascii="Arial" w:hAnsi="Arial" w:cs="Arial"/>
          <w:sz w:val="24"/>
          <w:szCs w:val="24"/>
          <w:lang w:val="en-GB"/>
        </w:rPr>
        <w:t>occurred in 25</w:t>
      </w:r>
      <w:r w:rsidR="009345B5">
        <w:rPr>
          <w:rFonts w:ascii="Arial" w:hAnsi="Arial" w:cs="Arial"/>
          <w:sz w:val="24"/>
          <w:szCs w:val="24"/>
        </w:rPr>
        <w:t>.</w:t>
      </w:r>
      <w:r w:rsidRPr="00933041">
        <w:rPr>
          <w:rFonts w:ascii="Arial" w:hAnsi="Arial" w:cs="Arial"/>
          <w:sz w:val="24"/>
          <w:szCs w:val="24"/>
          <w:lang w:val="en-GB"/>
        </w:rPr>
        <w:t>5% of patients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5B382F" w:rsidRDefault="005B382F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B382F" w:rsidRDefault="005B382F" w:rsidP="008219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382F" w:rsidRDefault="005B382F" w:rsidP="0082191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B382F" w:rsidRDefault="000C46B0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r w:rsidR="005B382F" w:rsidRPr="005B382F">
        <w:rPr>
          <w:rFonts w:ascii="Arial" w:hAnsi="Arial" w:cs="Arial"/>
          <w:b/>
          <w:sz w:val="24"/>
          <w:szCs w:val="24"/>
        </w:rPr>
        <w:t>Tables</w:t>
      </w:r>
    </w:p>
    <w:p w:rsidR="005B382F" w:rsidRPr="000C46B0" w:rsidRDefault="00D27FE8" w:rsidP="0082191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21917">
        <w:rPr>
          <w:rFonts w:ascii="Arial" w:hAnsi="Arial" w:cs="Arial"/>
          <w:b/>
          <w:sz w:val="24"/>
          <w:szCs w:val="24"/>
        </w:rPr>
        <w:t>Appendix Table 1:</w:t>
      </w:r>
      <w:r w:rsidR="00A62581">
        <w:rPr>
          <w:rFonts w:ascii="Arial" w:hAnsi="Arial" w:cs="Arial"/>
          <w:b/>
          <w:sz w:val="24"/>
          <w:szCs w:val="24"/>
        </w:rPr>
        <w:t xml:space="preserve"> </w:t>
      </w:r>
      <w:r w:rsidR="00C75743" w:rsidRPr="00821917">
        <w:rPr>
          <w:rFonts w:ascii="Arial" w:hAnsi="Arial" w:cs="Arial"/>
          <w:sz w:val="24"/>
          <w:szCs w:val="24"/>
        </w:rPr>
        <w:t>C</w:t>
      </w:r>
      <w:r w:rsidRPr="00821917">
        <w:rPr>
          <w:rFonts w:ascii="Arial" w:hAnsi="Arial" w:cs="Arial"/>
          <w:sz w:val="24"/>
          <w:szCs w:val="24"/>
        </w:rPr>
        <w:t xml:space="preserve">haracteristics </w:t>
      </w:r>
      <w:r w:rsidR="00C75743" w:rsidRPr="00821917">
        <w:rPr>
          <w:rFonts w:ascii="Arial" w:hAnsi="Arial" w:cs="Arial"/>
          <w:sz w:val="24"/>
          <w:szCs w:val="24"/>
        </w:rPr>
        <w:t>of patients at baseline</w:t>
      </w:r>
    </w:p>
    <w:tbl>
      <w:tblPr>
        <w:tblW w:w="836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096"/>
        <w:gridCol w:w="2268"/>
      </w:tblGrid>
      <w:tr w:rsidR="005B382F" w:rsidRPr="00821917" w:rsidTr="005B382F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C75743" w:rsidP="00BE5F0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vertAlign w:val="superscript"/>
                <w:lang w:val="en-US" w:eastAsia="zh-TW"/>
              </w:rPr>
            </w:pPr>
            <w:r w:rsidRPr="00821917">
              <w:rPr>
                <w:rFonts w:ascii="Arial" w:hAnsi="Arial" w:cs="Arial"/>
                <w:b/>
                <w:sz w:val="20"/>
              </w:rPr>
              <w:t>Bevacizumab plus erlotinib</w:t>
            </w:r>
            <w:r w:rsidR="005B382F" w:rsidRPr="00821917">
              <w:rPr>
                <w:rFonts w:ascii="Arial" w:hAnsi="Arial" w:cs="Arial"/>
                <w:b/>
                <w:sz w:val="20"/>
              </w:rPr>
              <w:t xml:space="preserve"> (</w:t>
            </w:r>
            <w:r w:rsidR="005B382F" w:rsidRPr="00821917">
              <w:rPr>
                <w:rFonts w:ascii="Arial" w:hAnsi="Arial" w:cs="Arial"/>
                <w:b/>
                <w:i/>
                <w:sz w:val="20"/>
              </w:rPr>
              <w:t>n</w:t>
            </w:r>
            <w:r w:rsidR="000C46B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B382F" w:rsidRPr="00821917">
              <w:rPr>
                <w:rFonts w:ascii="Arial" w:hAnsi="Arial" w:cs="Arial"/>
                <w:b/>
                <w:i/>
                <w:sz w:val="20"/>
              </w:rPr>
              <w:t>=</w:t>
            </w:r>
            <w:r w:rsidR="000C46B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B382F" w:rsidRPr="00821917">
              <w:rPr>
                <w:rFonts w:ascii="Arial" w:hAnsi="Arial" w:cs="Arial"/>
                <w:b/>
                <w:i/>
                <w:sz w:val="20"/>
              </w:rPr>
              <w:t>24</w:t>
            </w:r>
            <w:r w:rsidR="005B382F" w:rsidRPr="00821917">
              <w:rPr>
                <w:rFonts w:ascii="Arial" w:hAnsi="Arial" w:cs="Arial"/>
                <w:b/>
                <w:sz w:val="20"/>
              </w:rPr>
              <w:t>)</w:t>
            </w:r>
            <w:r w:rsidR="00C56362">
              <w:rPr>
                <w:rFonts w:ascii="Arial" w:hAnsi="Arial" w:cs="Arial"/>
                <w:b/>
                <w:sz w:val="20"/>
                <w:vertAlign w:val="superscript"/>
              </w:rPr>
              <w:t>a</w:t>
            </w:r>
          </w:p>
        </w:tc>
      </w:tr>
      <w:tr w:rsidR="005B382F" w:rsidRPr="006D3C32" w:rsidTr="005B382F">
        <w:trPr>
          <w:trHeight w:val="459"/>
        </w:trPr>
        <w:tc>
          <w:tcPr>
            <w:tcW w:w="6096" w:type="dxa"/>
            <w:tcBorders>
              <w:top w:val="single" w:sz="4" w:space="0" w:color="auto"/>
            </w:tcBorders>
          </w:tcPr>
          <w:p w:rsidR="005B382F" w:rsidRDefault="00C75743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11 (4</w:t>
            </w:r>
            <w:r w:rsidR="00C75743">
              <w:rPr>
                <w:rFonts w:ascii="Arial" w:hAnsi="Arial" w:cs="Arial"/>
                <w:sz w:val="20"/>
              </w:rPr>
              <w:t>6%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 xml:space="preserve">Female 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13 (54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DE43F5" w:rsidRDefault="00C75743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5B382F" w:rsidRPr="006D3C32">
              <w:rPr>
                <w:rFonts w:ascii="Arial" w:hAnsi="Arial" w:cs="Arial"/>
                <w:sz w:val="20"/>
              </w:rPr>
              <w:t>ge, years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54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6D3C32">
              <w:rPr>
                <w:rFonts w:ascii="Arial" w:hAnsi="Arial" w:cs="Arial"/>
                <w:sz w:val="20"/>
              </w:rPr>
              <w:t>0 (34–70)</w:t>
            </w:r>
          </w:p>
        </w:tc>
      </w:tr>
      <w:tr w:rsidR="005B382F" w:rsidRPr="006D3C32" w:rsidTr="005B382F">
        <w:trPr>
          <w:trHeight w:val="453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 xml:space="preserve">ECOG </w:t>
            </w:r>
            <w:r w:rsidR="00C75743">
              <w:rPr>
                <w:rFonts w:ascii="Arial" w:hAnsi="Arial" w:cs="Arial"/>
                <w:sz w:val="20"/>
              </w:rPr>
              <w:t>performance status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13 (54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C32">
              <w:rPr>
                <w:rFonts w:ascii="Arial" w:hAnsi="Arial" w:cs="Arial"/>
                <w:sz w:val="20"/>
              </w:rPr>
              <w:t>11 (4</w:t>
            </w:r>
            <w:r w:rsidR="00C75743">
              <w:rPr>
                <w:rFonts w:ascii="Arial" w:hAnsi="Arial" w:cs="Arial"/>
                <w:sz w:val="20"/>
              </w:rPr>
              <w:t>6%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500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D3C32">
              <w:rPr>
                <w:rFonts w:ascii="Arial" w:hAnsi="Arial" w:cs="Arial"/>
                <w:sz w:val="20"/>
              </w:rPr>
              <w:t>Histology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Pr="006D3C32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Adenocarcinoma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23 (9</w:t>
            </w:r>
            <w:r w:rsidR="00C75743">
              <w:rPr>
                <w:rFonts w:ascii="Arial" w:hAnsi="Arial" w:cs="Arial"/>
                <w:sz w:val="20"/>
              </w:rPr>
              <w:t>6%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Pr="006D3C32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Large cell carcinoma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 (4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493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 xml:space="preserve">Recurrence of previous lung cancer 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1D4C0D">
              <w:rPr>
                <w:rFonts w:ascii="Arial" w:hAnsi="Arial" w:cs="Arial"/>
                <w:sz w:val="20"/>
              </w:rPr>
              <w:t>NA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1D4C0D">
              <w:rPr>
                <w:rFonts w:ascii="Arial" w:hAnsi="Arial" w:cs="Arial"/>
                <w:sz w:val="20"/>
              </w:rPr>
              <w:t>NA</w:t>
            </w:r>
          </w:p>
        </w:tc>
      </w:tr>
      <w:tr w:rsidR="005B382F" w:rsidRPr="006D3C32" w:rsidTr="005B382F">
        <w:trPr>
          <w:trHeight w:val="512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m</w:t>
            </w:r>
            <w:r w:rsidRPr="006D3C32">
              <w:rPr>
                <w:rFonts w:ascii="Arial" w:hAnsi="Arial" w:cs="Arial"/>
                <w:sz w:val="20"/>
              </w:rPr>
              <w:t>etastatic sites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Lymph nodes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13 (54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Liver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5 (2</w:t>
            </w:r>
            <w:r w:rsidR="00C75743">
              <w:rPr>
                <w:rFonts w:ascii="Arial" w:hAnsi="Arial" w:cs="Arial"/>
                <w:sz w:val="20"/>
              </w:rPr>
              <w:t>1%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Adrenal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9 (3</w:t>
            </w:r>
            <w:r w:rsidR="00C75743">
              <w:rPr>
                <w:rFonts w:ascii="Arial" w:hAnsi="Arial" w:cs="Arial"/>
                <w:sz w:val="20"/>
              </w:rPr>
              <w:t>8%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Pleura</w:t>
            </w:r>
          </w:p>
        </w:tc>
        <w:tc>
          <w:tcPr>
            <w:tcW w:w="2268" w:type="dxa"/>
          </w:tcPr>
          <w:p w:rsidR="005B382F" w:rsidRDefault="00C75743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Bone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8 (33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4 (1</w:t>
            </w:r>
            <w:r w:rsidR="00C75743">
              <w:rPr>
                <w:rFonts w:ascii="Arial" w:hAnsi="Arial" w:cs="Arial"/>
                <w:sz w:val="20"/>
              </w:rPr>
              <w:t>7%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  <w:lang w:val="it-IT"/>
              </w:rPr>
            </w:pPr>
            <w:r w:rsidRPr="00E232E9">
              <w:rPr>
                <w:rFonts w:ascii="Arial" w:hAnsi="Arial" w:cs="Arial"/>
                <w:sz w:val="20"/>
                <w:lang w:val="it-IT"/>
              </w:rPr>
              <w:t>Median diameter per lesion</w:t>
            </w:r>
            <w:r w:rsidR="00C75743">
              <w:rPr>
                <w:rFonts w:ascii="Arial" w:hAnsi="Arial" w:cs="Arial"/>
                <w:sz w:val="20"/>
                <w:lang w:val="it-IT"/>
              </w:rPr>
              <w:t>,</w:t>
            </w:r>
            <w:r w:rsidRPr="00E232E9">
              <w:rPr>
                <w:rFonts w:ascii="Arial" w:hAnsi="Arial" w:cs="Arial"/>
                <w:sz w:val="20"/>
                <w:lang w:val="it-IT"/>
              </w:rPr>
              <w:t xml:space="preserve"> mm</w:t>
            </w:r>
          </w:p>
        </w:tc>
        <w:tc>
          <w:tcPr>
            <w:tcW w:w="2268" w:type="dxa"/>
          </w:tcPr>
          <w:p w:rsidR="00DE43F5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C5636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5B382F" w:rsidRPr="006D3C32" w:rsidTr="005B382F">
        <w:trPr>
          <w:trHeight w:val="568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 number of target brain lesions at baseline</w:t>
            </w:r>
            <w:r w:rsidR="00D27FE8" w:rsidRPr="00D27FE8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(2</w:t>
            </w:r>
            <w:r w:rsidR="00C75743">
              <w:rPr>
                <w:rFonts w:ascii="Arial" w:hAnsi="Arial" w:cs="Arial"/>
                <w:sz w:val="20"/>
              </w:rPr>
              <w:t>1%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(54</w:t>
            </w:r>
            <w:r w:rsidR="00C75743"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(25</w:t>
            </w:r>
            <w:r w:rsidR="00C75743"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466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Smoking status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Past smoker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17 (7</w:t>
            </w:r>
            <w:r w:rsidR="00C75743">
              <w:rPr>
                <w:rFonts w:ascii="Arial" w:hAnsi="Arial" w:cs="Arial"/>
                <w:sz w:val="20"/>
              </w:rPr>
              <w:t>1%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Current smoker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4 (1</w:t>
            </w:r>
            <w:r w:rsidR="00C75743">
              <w:rPr>
                <w:rFonts w:ascii="Arial" w:hAnsi="Arial" w:cs="Arial"/>
                <w:sz w:val="20"/>
              </w:rPr>
              <w:t>7%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Never smoker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3 (12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c>
          <w:tcPr>
            <w:tcW w:w="6096" w:type="dxa"/>
          </w:tcPr>
          <w:p w:rsidR="00DE43F5" w:rsidRDefault="00C75743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C75743">
              <w:rPr>
                <w:rFonts w:ascii="Arial" w:hAnsi="Arial" w:cs="Arial"/>
                <w:sz w:val="20"/>
              </w:rPr>
              <w:t xml:space="preserve">Recursive partitioning analysis </w:t>
            </w:r>
            <w:r>
              <w:rPr>
                <w:rFonts w:ascii="Arial" w:hAnsi="Arial" w:cs="Arial"/>
                <w:sz w:val="20"/>
              </w:rPr>
              <w:t>c</w:t>
            </w:r>
            <w:r w:rsidR="005B382F" w:rsidRPr="006D3C32">
              <w:rPr>
                <w:rFonts w:ascii="Arial" w:hAnsi="Arial" w:cs="Arial"/>
                <w:sz w:val="20"/>
              </w:rPr>
              <w:t>lass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rPr>
          <w:trHeight w:val="428"/>
        </w:trPr>
        <w:tc>
          <w:tcPr>
            <w:tcW w:w="6096" w:type="dxa"/>
          </w:tcPr>
          <w:p w:rsidR="005B382F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24 (100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428"/>
        </w:trPr>
        <w:tc>
          <w:tcPr>
            <w:tcW w:w="6096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i/>
                <w:sz w:val="20"/>
              </w:rPr>
              <w:t>EGFR</w:t>
            </w:r>
            <w:r>
              <w:rPr>
                <w:rFonts w:ascii="Arial" w:hAnsi="Arial" w:cs="Arial"/>
                <w:sz w:val="20"/>
              </w:rPr>
              <w:t xml:space="preserve"> mutation status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</w:tcPr>
          <w:p w:rsidR="005B382F" w:rsidRPr="00E232E9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E232E9">
              <w:rPr>
                <w:rFonts w:ascii="Arial" w:hAnsi="Arial" w:cs="Arial"/>
                <w:sz w:val="20"/>
              </w:rPr>
              <w:t>Tested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(50</w:t>
            </w:r>
            <w:r w:rsidR="00C75743"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</w:tcPr>
          <w:p w:rsidR="005B382F" w:rsidRPr="00E232E9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E232E9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0</w:t>
            </w: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</w:tcPr>
          <w:p w:rsidR="005B382F" w:rsidRPr="00E232E9" w:rsidRDefault="005B382F" w:rsidP="00E7370F">
            <w:pPr>
              <w:spacing w:after="0" w:line="480" w:lineRule="auto"/>
              <w:ind w:firstLine="602"/>
              <w:rPr>
                <w:rFonts w:ascii="Arial" w:hAnsi="Arial" w:cs="Arial"/>
                <w:sz w:val="20"/>
              </w:rPr>
            </w:pPr>
            <w:r w:rsidRPr="00E232E9">
              <w:rPr>
                <w:rFonts w:ascii="Arial" w:hAnsi="Arial" w:cs="Arial"/>
                <w:sz w:val="20"/>
              </w:rPr>
              <w:t>Exon 19 mutations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0</w:t>
            </w: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</w:tcPr>
          <w:p w:rsidR="005B382F" w:rsidRPr="00E232E9" w:rsidRDefault="005B382F" w:rsidP="00E7370F">
            <w:pPr>
              <w:spacing w:after="0" w:line="480" w:lineRule="auto"/>
              <w:ind w:firstLine="602"/>
              <w:rPr>
                <w:rFonts w:ascii="Arial" w:hAnsi="Arial" w:cs="Arial"/>
                <w:sz w:val="20"/>
              </w:rPr>
            </w:pPr>
            <w:r w:rsidRPr="00E232E9">
              <w:rPr>
                <w:rFonts w:ascii="Arial" w:hAnsi="Arial" w:cs="Arial"/>
                <w:sz w:val="20"/>
              </w:rPr>
              <w:t>Exon 21 mutations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0</w:t>
            </w: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</w:tcPr>
          <w:p w:rsidR="005B382F" w:rsidRPr="00E232E9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2268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10 (8</w:t>
            </w:r>
            <w:r w:rsidR="00C75743">
              <w:rPr>
                <w:rFonts w:ascii="Arial" w:hAnsi="Arial" w:cs="Arial"/>
                <w:sz w:val="20"/>
              </w:rPr>
              <w:t>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</w:tcPr>
          <w:p w:rsidR="005B382F" w:rsidRPr="00E232E9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Sample not </w:t>
            </w:r>
            <w:r w:rsidRPr="006D3C32">
              <w:rPr>
                <w:rFonts w:ascii="Arial" w:hAnsi="Arial" w:cs="Arial"/>
                <w:sz w:val="20"/>
              </w:rPr>
              <w:t>evaluable</w:t>
            </w:r>
          </w:p>
        </w:tc>
        <w:tc>
          <w:tcPr>
            <w:tcW w:w="2268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2 (1</w:t>
            </w:r>
            <w:r w:rsidR="00C75743">
              <w:rPr>
                <w:rFonts w:ascii="Arial" w:hAnsi="Arial" w:cs="Arial"/>
                <w:sz w:val="20"/>
              </w:rPr>
              <w:t>7%</w:t>
            </w:r>
            <w:r w:rsidRPr="006D3C32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6D3C32" w:rsidTr="005B382F">
        <w:trPr>
          <w:trHeight w:val="403"/>
        </w:trPr>
        <w:tc>
          <w:tcPr>
            <w:tcW w:w="6096" w:type="dxa"/>
            <w:tcBorders>
              <w:bottom w:val="single" w:sz="4" w:space="0" w:color="auto"/>
            </w:tcBorders>
          </w:tcPr>
          <w:p w:rsidR="005B382F" w:rsidRPr="00E232E9" w:rsidRDefault="005B382F" w:rsidP="00E7370F">
            <w:pPr>
              <w:spacing w:after="0" w:line="480" w:lineRule="auto"/>
              <w:ind w:firstLine="318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No data available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6D3C32"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C56362" w:rsidRDefault="00C56362" w:rsidP="00821917">
      <w:pPr>
        <w:spacing w:line="480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NA = not applicable</w:t>
      </w:r>
    </w:p>
    <w:p w:rsidR="00C75743" w:rsidRPr="00C75743" w:rsidRDefault="00C56362" w:rsidP="00821917">
      <w:pPr>
        <w:spacing w:line="480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  <w:vertAlign w:val="superscript"/>
        </w:rPr>
        <w:t>a</w:t>
      </w:r>
      <w:r w:rsidR="00D27FE8" w:rsidRPr="00D27FE8">
        <w:rPr>
          <w:rFonts w:ascii="Arial" w:hAnsi="Arial" w:cs="Arial"/>
          <w:noProof/>
          <w:szCs w:val="24"/>
        </w:rPr>
        <w:t xml:space="preserve">Data are </w:t>
      </w:r>
      <w:r w:rsidR="00D27FE8" w:rsidRPr="00821917">
        <w:rPr>
          <w:rFonts w:ascii="Arial" w:hAnsi="Arial" w:cs="Arial"/>
          <w:i/>
          <w:noProof/>
          <w:szCs w:val="24"/>
        </w:rPr>
        <w:t>n</w:t>
      </w:r>
      <w:r w:rsidR="00D27FE8" w:rsidRPr="00D27FE8">
        <w:rPr>
          <w:rFonts w:ascii="Arial" w:hAnsi="Arial" w:cs="Arial"/>
          <w:noProof/>
          <w:szCs w:val="24"/>
        </w:rPr>
        <w:t xml:space="preserve"> (%) or median (range). </w:t>
      </w:r>
    </w:p>
    <w:p w:rsidR="005B382F" w:rsidRPr="00C75743" w:rsidRDefault="00C56362" w:rsidP="00E7370F">
      <w:pPr>
        <w:spacing w:after="0"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vertAlign w:val="superscript"/>
        </w:rPr>
        <w:t>b</w:t>
      </w:r>
      <w:r w:rsidR="00D27FE8" w:rsidRPr="00D27FE8">
        <w:rPr>
          <w:rFonts w:ascii="Arial" w:hAnsi="Arial" w:cs="Arial"/>
          <w:noProof/>
          <w:szCs w:val="24"/>
        </w:rPr>
        <w:t xml:space="preserve">All patients in the study had brain lesions </w:t>
      </w:r>
      <w:r>
        <w:rPr>
          <w:rFonts w:ascii="Arial" w:hAnsi="Arial" w:cs="Arial"/>
          <w:noProof/>
          <w:szCs w:val="24"/>
        </w:rPr>
        <w:t>[</w:t>
      </w:r>
      <w:r w:rsidR="00D27FE8" w:rsidRPr="00D27FE8">
        <w:rPr>
          <w:rFonts w:ascii="Arial" w:hAnsi="Arial" w:cs="Arial"/>
          <w:noProof/>
          <w:szCs w:val="24"/>
        </w:rPr>
        <w:t xml:space="preserve">target </w:t>
      </w:r>
      <w:r>
        <w:rPr>
          <w:rFonts w:ascii="Arial" w:hAnsi="Arial" w:cs="Arial"/>
          <w:noProof/>
          <w:szCs w:val="24"/>
        </w:rPr>
        <w:t>(</w:t>
      </w:r>
      <w:r w:rsidR="00D27FE8" w:rsidRPr="00D27FE8">
        <w:rPr>
          <w:rFonts w:ascii="Arial" w:hAnsi="Arial" w:cs="Arial"/>
          <w:noProof/>
          <w:szCs w:val="24"/>
        </w:rPr>
        <w:t>i.e. measurable</w:t>
      </w:r>
      <w:r>
        <w:rPr>
          <w:rFonts w:ascii="Arial" w:hAnsi="Arial" w:cs="Arial"/>
          <w:noProof/>
          <w:szCs w:val="24"/>
        </w:rPr>
        <w:t>)</w:t>
      </w:r>
      <w:r w:rsidRPr="00D27FE8">
        <w:rPr>
          <w:rFonts w:ascii="Arial" w:hAnsi="Arial" w:cs="Arial"/>
          <w:noProof/>
          <w:szCs w:val="24"/>
        </w:rPr>
        <w:t xml:space="preserve"> </w:t>
      </w:r>
      <w:r w:rsidR="00D27FE8" w:rsidRPr="00D27FE8">
        <w:rPr>
          <w:rFonts w:ascii="Arial" w:hAnsi="Arial" w:cs="Arial"/>
          <w:noProof/>
          <w:szCs w:val="24"/>
        </w:rPr>
        <w:t>or non-target</w:t>
      </w:r>
      <w:r>
        <w:rPr>
          <w:rFonts w:ascii="Arial" w:hAnsi="Arial" w:cs="Arial"/>
          <w:noProof/>
          <w:szCs w:val="24"/>
        </w:rPr>
        <w:t>]</w:t>
      </w:r>
      <w:r w:rsidRPr="00D27FE8">
        <w:rPr>
          <w:rFonts w:ascii="Arial" w:hAnsi="Arial" w:cs="Arial"/>
          <w:noProof/>
          <w:szCs w:val="24"/>
        </w:rPr>
        <w:t>.</w:t>
      </w:r>
    </w:p>
    <w:p w:rsidR="00C75743" w:rsidRDefault="00C75743" w:rsidP="0082191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5B382F" w:rsidRDefault="005B382F" w:rsidP="0082191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382F" w:rsidRDefault="005B382F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  <w:sectPr w:rsidR="005B382F" w:rsidSect="00B731DD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3F27" w:rsidRPr="00871FCB" w:rsidRDefault="00D27FE8" w:rsidP="0082191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21917">
        <w:rPr>
          <w:rFonts w:ascii="Arial" w:hAnsi="Arial" w:cs="Arial"/>
          <w:b/>
          <w:sz w:val="24"/>
          <w:szCs w:val="24"/>
        </w:rPr>
        <w:lastRenderedPageBreak/>
        <w:t>Appendix Table 2:</w:t>
      </w:r>
      <w:r w:rsidRPr="00C56362">
        <w:rPr>
          <w:rFonts w:ascii="Arial" w:hAnsi="Arial" w:cs="Arial"/>
          <w:b/>
          <w:sz w:val="24"/>
          <w:szCs w:val="24"/>
        </w:rPr>
        <w:t xml:space="preserve"> </w:t>
      </w:r>
      <w:r w:rsidRPr="00821917">
        <w:rPr>
          <w:rFonts w:ascii="Arial" w:hAnsi="Arial" w:cs="Arial"/>
          <w:sz w:val="24"/>
          <w:szCs w:val="24"/>
        </w:rPr>
        <w:t>Best response rates for primary tumors and metastases in 24 patients treated with second-line bevacizumab plus erlotinib</w:t>
      </w:r>
    </w:p>
    <w:tbl>
      <w:tblPr>
        <w:tblW w:w="1304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2552"/>
        <w:gridCol w:w="3543"/>
        <w:gridCol w:w="3544"/>
      </w:tblGrid>
      <w:tr w:rsidR="008D3F27" w:rsidRPr="00B85B93" w:rsidTr="00871FCB">
        <w:trPr>
          <w:trHeight w:val="7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8D3F27" w:rsidRDefault="008D3F27" w:rsidP="00821917">
            <w:pPr>
              <w:spacing w:after="0"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1917">
              <w:rPr>
                <w:rFonts w:ascii="Arial" w:hAnsi="Arial" w:cs="Arial"/>
                <w:b/>
                <w:sz w:val="20"/>
              </w:rPr>
              <w:t xml:space="preserve">Best </w:t>
            </w:r>
            <w:r w:rsidR="00871FCB" w:rsidRPr="00821917">
              <w:rPr>
                <w:rFonts w:ascii="Arial" w:hAnsi="Arial" w:cs="Arial"/>
                <w:b/>
                <w:sz w:val="20"/>
              </w:rPr>
              <w:t>overall response</w:t>
            </w:r>
            <w:r w:rsidR="00C56362" w:rsidRPr="00821917">
              <w:rPr>
                <w:rFonts w:ascii="Arial" w:hAnsi="Arial" w:cs="Arial"/>
                <w:b/>
                <w:szCs w:val="24"/>
                <w:vertAlign w:val="superscript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1917">
              <w:rPr>
                <w:rFonts w:ascii="Arial" w:hAnsi="Arial" w:cs="Arial"/>
                <w:b/>
                <w:sz w:val="20"/>
              </w:rPr>
              <w:t xml:space="preserve">Intracranial </w:t>
            </w:r>
            <w:r w:rsidR="00871FCB" w:rsidRPr="00821917">
              <w:rPr>
                <w:rFonts w:ascii="Arial" w:hAnsi="Arial" w:cs="Arial"/>
                <w:b/>
                <w:sz w:val="20"/>
              </w:rPr>
              <w:t>metastases response</w:t>
            </w:r>
            <w:r w:rsidR="00C56362" w:rsidRPr="00821917">
              <w:rPr>
                <w:rFonts w:ascii="Arial" w:hAnsi="Arial" w:cs="Arial"/>
                <w:b/>
                <w:szCs w:val="24"/>
                <w:vertAlign w:val="superscript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1917">
              <w:rPr>
                <w:rFonts w:ascii="Arial" w:hAnsi="Arial" w:cs="Arial"/>
                <w:b/>
                <w:sz w:val="20"/>
              </w:rPr>
              <w:t xml:space="preserve">Extracranial </w:t>
            </w:r>
            <w:r w:rsidR="00871FCB" w:rsidRPr="00821917">
              <w:rPr>
                <w:rFonts w:ascii="Arial" w:hAnsi="Arial" w:cs="Arial"/>
                <w:b/>
                <w:sz w:val="20"/>
              </w:rPr>
              <w:t>metastases response</w:t>
            </w:r>
            <w:r w:rsidR="00C56362" w:rsidRPr="00821917">
              <w:rPr>
                <w:rFonts w:ascii="Arial" w:hAnsi="Arial" w:cs="Arial"/>
                <w:b/>
                <w:szCs w:val="24"/>
                <w:vertAlign w:val="superscript"/>
              </w:rPr>
              <w:t>a</w:t>
            </w:r>
          </w:p>
        </w:tc>
      </w:tr>
      <w:tr w:rsidR="008D3F27" w:rsidRPr="00B85B93" w:rsidTr="00871FCB">
        <w:tc>
          <w:tcPr>
            <w:tcW w:w="3403" w:type="dxa"/>
            <w:tcBorders>
              <w:top w:val="single" w:sz="4" w:space="0" w:color="auto"/>
            </w:tcBorders>
          </w:tcPr>
          <w:p w:rsidR="008D3F27" w:rsidRDefault="008D3F27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Responders</w:t>
            </w:r>
            <w:r w:rsidR="00871FCB">
              <w:rPr>
                <w:rFonts w:ascii="Arial" w:hAnsi="Arial" w:cs="Arial"/>
                <w:sz w:val="20"/>
              </w:rPr>
              <w:t xml:space="preserve"> (95% CI)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43F5" w:rsidRDefault="008D3F27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12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43F5" w:rsidRDefault="008D3F27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2</w:t>
            </w:r>
            <w:r w:rsidR="00871FCB">
              <w:rPr>
                <w:rFonts w:ascii="Arial" w:hAnsi="Arial" w:cs="Arial"/>
                <w:sz w:val="20"/>
              </w:rPr>
              <w:t>1%</w:t>
            </w:r>
            <w:r w:rsidRPr="00B85B93">
              <w:rPr>
                <w:rFonts w:ascii="Arial" w:hAnsi="Arial" w:cs="Arial"/>
                <w:sz w:val="20"/>
              </w:rPr>
              <w:t xml:space="preserve"> (7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1–42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D3F2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12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</w:tr>
      <w:tr w:rsidR="008D3F27" w:rsidRPr="00B85B93" w:rsidTr="00871FCB">
        <w:tc>
          <w:tcPr>
            <w:tcW w:w="3403" w:type="dxa"/>
          </w:tcPr>
          <w:p w:rsidR="008D3F27" w:rsidRDefault="008D3F27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Complete response</w:t>
            </w:r>
            <w:r w:rsidR="00871FCB">
              <w:rPr>
                <w:rFonts w:ascii="Arial" w:hAnsi="Arial" w:cs="Arial"/>
                <w:sz w:val="20"/>
              </w:rPr>
              <w:t xml:space="preserve"> (95% CI)</w:t>
            </w:r>
          </w:p>
        </w:tc>
        <w:tc>
          <w:tcPr>
            <w:tcW w:w="2552" w:type="dxa"/>
          </w:tcPr>
          <w:p w:rsidR="008D3F27" w:rsidRDefault="008D3F27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543" w:type="dxa"/>
          </w:tcPr>
          <w:p w:rsidR="008D3F27" w:rsidRDefault="008D3F27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4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(0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1–21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44" w:type="dxa"/>
          </w:tcPr>
          <w:p w:rsidR="008D3F2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0</w:t>
            </w:r>
          </w:p>
        </w:tc>
      </w:tr>
      <w:tr w:rsidR="008D3F27" w:rsidRPr="00B85B93" w:rsidTr="00871FCB">
        <w:tc>
          <w:tcPr>
            <w:tcW w:w="3403" w:type="dxa"/>
          </w:tcPr>
          <w:p w:rsidR="008D3F27" w:rsidRDefault="008D3F27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Partial response</w:t>
            </w:r>
            <w:r w:rsidR="00871FCB">
              <w:rPr>
                <w:rFonts w:ascii="Arial" w:hAnsi="Arial" w:cs="Arial"/>
                <w:sz w:val="20"/>
              </w:rPr>
              <w:t xml:space="preserve"> (95% CI)</w:t>
            </w:r>
          </w:p>
        </w:tc>
        <w:tc>
          <w:tcPr>
            <w:tcW w:w="2552" w:type="dxa"/>
          </w:tcPr>
          <w:p w:rsidR="00DE43F5" w:rsidRDefault="008D3F27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12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3543" w:type="dxa"/>
          </w:tcPr>
          <w:p w:rsidR="00DE43F5" w:rsidRDefault="008D3F27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</w:t>
            </w:r>
            <w:r w:rsidR="00871FCB">
              <w:rPr>
                <w:rFonts w:ascii="Arial" w:hAnsi="Arial" w:cs="Arial"/>
                <w:sz w:val="20"/>
              </w:rPr>
              <w:t>7%</w:t>
            </w:r>
            <w:r w:rsidRPr="00B85B93">
              <w:rPr>
                <w:rFonts w:ascii="Arial" w:hAnsi="Arial" w:cs="Arial"/>
                <w:sz w:val="20"/>
              </w:rPr>
              <w:t xml:space="preserve"> (4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7–37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3544" w:type="dxa"/>
          </w:tcPr>
          <w:p w:rsidR="008D3F2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12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</w:tr>
      <w:tr w:rsidR="008D3F27" w:rsidRPr="00B85B93" w:rsidTr="00871FCB">
        <w:tc>
          <w:tcPr>
            <w:tcW w:w="3403" w:type="dxa"/>
          </w:tcPr>
          <w:p w:rsidR="008D3F27" w:rsidRDefault="008D3F27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Stable disease</w:t>
            </w:r>
            <w:r w:rsidR="00871FCB">
              <w:rPr>
                <w:rFonts w:ascii="Arial" w:hAnsi="Arial" w:cs="Arial"/>
                <w:sz w:val="20"/>
              </w:rPr>
              <w:t xml:space="preserve"> (95% CI)</w:t>
            </w:r>
          </w:p>
        </w:tc>
        <w:tc>
          <w:tcPr>
            <w:tcW w:w="2552" w:type="dxa"/>
          </w:tcPr>
          <w:p w:rsidR="008D3F27" w:rsidRDefault="008D3F27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62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(40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6–81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43" w:type="dxa"/>
          </w:tcPr>
          <w:p w:rsidR="00DE43F5" w:rsidRDefault="008D3F27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50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(29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1–70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3544" w:type="dxa"/>
          </w:tcPr>
          <w:p w:rsidR="00DE43F5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6</w:t>
            </w:r>
            <w:r w:rsidR="00871FCB">
              <w:rPr>
                <w:rFonts w:ascii="Arial" w:hAnsi="Arial" w:cs="Arial"/>
                <w:sz w:val="20"/>
              </w:rPr>
              <w:t>7</w:t>
            </w:r>
            <w:r w:rsidRPr="00B85B93">
              <w:rPr>
                <w:rFonts w:ascii="Arial" w:hAnsi="Arial" w:cs="Arial"/>
                <w:sz w:val="20"/>
              </w:rPr>
              <w:t xml:space="preserve"> (44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7–84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</w:tr>
      <w:tr w:rsidR="008D3F27" w:rsidRPr="00B85B93" w:rsidTr="00871FCB">
        <w:tc>
          <w:tcPr>
            <w:tcW w:w="3403" w:type="dxa"/>
          </w:tcPr>
          <w:p w:rsidR="008D3F27" w:rsidRDefault="008D3F27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Progressive disease</w:t>
            </w:r>
            <w:r w:rsidR="00871FCB">
              <w:rPr>
                <w:rFonts w:ascii="Arial" w:hAnsi="Arial" w:cs="Arial"/>
                <w:sz w:val="20"/>
              </w:rPr>
              <w:t xml:space="preserve"> (95% CI)</w:t>
            </w:r>
          </w:p>
        </w:tc>
        <w:tc>
          <w:tcPr>
            <w:tcW w:w="2552" w:type="dxa"/>
          </w:tcPr>
          <w:p w:rsidR="00DE43F5" w:rsidRDefault="008D3F27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</w:t>
            </w:r>
            <w:r w:rsidR="00871FCB">
              <w:rPr>
                <w:rFonts w:ascii="Arial" w:hAnsi="Arial" w:cs="Arial"/>
                <w:sz w:val="20"/>
              </w:rPr>
              <w:t>7%</w:t>
            </w:r>
            <w:r w:rsidRPr="00B85B93">
              <w:rPr>
                <w:rFonts w:ascii="Arial" w:hAnsi="Arial" w:cs="Arial"/>
                <w:sz w:val="20"/>
              </w:rPr>
              <w:t xml:space="preserve"> (4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7–37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3543" w:type="dxa"/>
          </w:tcPr>
          <w:p w:rsidR="00DE43F5" w:rsidRDefault="008D3F27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</w:t>
            </w:r>
            <w:r w:rsidR="00871FCB">
              <w:rPr>
                <w:rFonts w:ascii="Arial" w:hAnsi="Arial" w:cs="Arial"/>
                <w:sz w:val="20"/>
              </w:rPr>
              <w:t>7%</w:t>
            </w:r>
            <w:r w:rsidRPr="00B85B93">
              <w:rPr>
                <w:rFonts w:ascii="Arial" w:hAnsi="Arial" w:cs="Arial"/>
                <w:sz w:val="20"/>
              </w:rPr>
              <w:t xml:space="preserve"> (4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7–37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3544" w:type="dxa"/>
          </w:tcPr>
          <w:p w:rsidR="00DE43F5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12</w:t>
            </w:r>
            <w:r w:rsidR="00871FCB">
              <w:rPr>
                <w:rFonts w:ascii="Arial" w:hAnsi="Arial" w:cs="Arial"/>
                <w:sz w:val="20"/>
              </w:rPr>
              <w:t>%</w:t>
            </w:r>
            <w:r w:rsidRPr="00B85B93">
              <w:rPr>
                <w:rFonts w:ascii="Arial" w:hAnsi="Arial" w:cs="Arial"/>
                <w:sz w:val="20"/>
              </w:rPr>
              <w:t xml:space="preserve"> (2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7–32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4)</w:t>
            </w:r>
          </w:p>
        </w:tc>
      </w:tr>
      <w:tr w:rsidR="008D3F27" w:rsidRPr="00B85B93" w:rsidTr="00871FCB">
        <w:tc>
          <w:tcPr>
            <w:tcW w:w="3403" w:type="dxa"/>
            <w:tcBorders>
              <w:bottom w:val="single" w:sz="4" w:space="0" w:color="auto"/>
            </w:tcBorders>
          </w:tcPr>
          <w:p w:rsidR="008D3F27" w:rsidRDefault="008D3F27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Missing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3F27" w:rsidRDefault="008D3F27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8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D3F27" w:rsidRDefault="008D3F27" w:rsidP="00C56362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12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D3F27" w:rsidRDefault="008D3F27" w:rsidP="00821917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B85B93">
              <w:rPr>
                <w:rFonts w:ascii="Arial" w:hAnsi="Arial" w:cs="Arial"/>
                <w:sz w:val="20"/>
              </w:rPr>
              <w:t>8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B85B93"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871FCB" w:rsidRPr="00871FCB" w:rsidRDefault="00C56362" w:rsidP="008219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  <w:vertAlign w:val="superscript"/>
        </w:rPr>
        <w:t>a</w:t>
      </w:r>
      <w:r w:rsidRPr="00D27FE8">
        <w:rPr>
          <w:rFonts w:ascii="Arial" w:hAnsi="Arial" w:cs="Arial"/>
          <w:szCs w:val="24"/>
        </w:rPr>
        <w:t xml:space="preserve">Data are % (95% CI) or </w:t>
      </w:r>
      <w:r w:rsidRPr="008420A0">
        <w:rPr>
          <w:rFonts w:ascii="Arial" w:hAnsi="Arial" w:cs="Arial"/>
          <w:i/>
          <w:szCs w:val="24"/>
        </w:rPr>
        <w:t>n</w:t>
      </w:r>
      <w:r w:rsidRPr="00D27FE8">
        <w:rPr>
          <w:rFonts w:ascii="Arial" w:hAnsi="Arial" w:cs="Arial"/>
          <w:szCs w:val="24"/>
        </w:rPr>
        <w:t xml:space="preserve"> (%).</w:t>
      </w:r>
      <w:r w:rsidR="00D27FE8" w:rsidRPr="00D27FE8">
        <w:rPr>
          <w:rFonts w:ascii="Arial" w:hAnsi="Arial" w:cs="Arial"/>
          <w:sz w:val="24"/>
          <w:szCs w:val="24"/>
        </w:rPr>
        <w:br w:type="page"/>
      </w:r>
    </w:p>
    <w:p w:rsidR="005B382F" w:rsidRPr="00871FCB" w:rsidRDefault="00D27FE8" w:rsidP="00E7370F">
      <w:pPr>
        <w:spacing w:after="0" w:line="480" w:lineRule="auto"/>
        <w:rPr>
          <w:rFonts w:ascii="Arial" w:hAnsi="Arial" w:cs="Arial"/>
          <w:b/>
          <w:sz w:val="18"/>
          <w:szCs w:val="20"/>
        </w:rPr>
      </w:pPr>
      <w:r w:rsidRPr="00821917">
        <w:rPr>
          <w:rFonts w:ascii="Arial" w:hAnsi="Arial" w:cs="Arial"/>
          <w:b/>
          <w:sz w:val="24"/>
          <w:szCs w:val="24"/>
        </w:rPr>
        <w:lastRenderedPageBreak/>
        <w:t>Appendix Table 3:</w:t>
      </w:r>
      <w:r w:rsidRPr="00D27FE8">
        <w:rPr>
          <w:rFonts w:ascii="Arial" w:hAnsi="Arial" w:cs="Arial"/>
          <w:b/>
          <w:i/>
          <w:sz w:val="24"/>
          <w:szCs w:val="24"/>
        </w:rPr>
        <w:t xml:space="preserve"> </w:t>
      </w:r>
      <w:r w:rsidRPr="00821917">
        <w:rPr>
          <w:rFonts w:ascii="Arial" w:hAnsi="Arial" w:cs="Arial"/>
          <w:sz w:val="24"/>
          <w:szCs w:val="24"/>
        </w:rPr>
        <w:t xml:space="preserve">PFS, OS, and response rates according to </w:t>
      </w:r>
      <w:r w:rsidRPr="00821917">
        <w:rPr>
          <w:rFonts w:ascii="Arial" w:hAnsi="Arial" w:cs="Arial"/>
          <w:i/>
          <w:sz w:val="24"/>
          <w:szCs w:val="24"/>
        </w:rPr>
        <w:t>EGFR</w:t>
      </w:r>
      <w:r w:rsidRPr="00821917">
        <w:rPr>
          <w:rFonts w:ascii="Arial" w:hAnsi="Arial" w:cs="Arial"/>
          <w:sz w:val="24"/>
          <w:szCs w:val="24"/>
        </w:rPr>
        <w:t xml:space="preserve"> mutation status in 24 patients treated with second-line bevacizumab plus erlotinib</w:t>
      </w:r>
    </w:p>
    <w:tbl>
      <w:tblPr>
        <w:tblW w:w="1304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3213"/>
        <w:gridCol w:w="3213"/>
        <w:gridCol w:w="3213"/>
      </w:tblGrid>
      <w:tr w:rsidR="005B382F" w:rsidRPr="002B1229" w:rsidTr="00871FCB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B382F" w:rsidRDefault="005B382F" w:rsidP="00BE5F04">
            <w:pPr>
              <w:spacing w:after="0" w:line="480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perscript"/>
              </w:rPr>
            </w:pP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EGFR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  <w:r w:rsidR="00871FCB"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mutation positive 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n</w:t>
            </w:r>
            <w:r w:rsidR="00C5636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=</w:t>
            </w:r>
            <w:r w:rsidR="00C5636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0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  <w:r w:rsidR="00C56362"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perscript"/>
              </w:rPr>
            </w:pP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EGFR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  <w:r w:rsidR="00871FCB"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wild type 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n</w:t>
            </w:r>
            <w:r w:rsidR="00C5636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=</w:t>
            </w:r>
            <w:r w:rsidR="00C5636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10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  <w:r w:rsidR="00C56362"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DE43F5" w:rsidRPr="00821917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perscript"/>
              </w:rPr>
            </w:pP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Non-</w:t>
            </w:r>
            <w:r w:rsidR="00871FCB"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evaluable 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n</w:t>
            </w:r>
            <w:r w:rsidR="00C5636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=</w:t>
            </w:r>
            <w:r w:rsidR="00C56362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14</w:t>
            </w:r>
            <w:r w:rsidRPr="0082191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  <w:r w:rsidR="00C56362"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perscript"/>
              </w:rPr>
              <w:t>a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  <w:tcBorders>
              <w:top w:val="single" w:sz="4" w:space="0" w:color="auto"/>
            </w:tcBorders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6-month PFS (95% CI)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5B382F" w:rsidRDefault="00871FCB" w:rsidP="00BE5F04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–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60</w:t>
            </w:r>
            <w:r w:rsidR="00871FCB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(25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3–82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7)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55</w:t>
            </w:r>
            <w:r w:rsidR="00871FCB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(25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8–76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8)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Median PFS (95% CI)</w:t>
            </w:r>
            <w:r w:rsidR="00871FCB"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, months</w:t>
            </w:r>
          </w:p>
        </w:tc>
        <w:tc>
          <w:tcPr>
            <w:tcW w:w="3213" w:type="dxa"/>
          </w:tcPr>
          <w:p w:rsidR="005B382F" w:rsidRDefault="00871FCB" w:rsidP="00BE5F04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8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4 (1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2–16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8)</w:t>
            </w:r>
          </w:p>
        </w:tc>
        <w:tc>
          <w:tcPr>
            <w:tcW w:w="3213" w:type="dxa"/>
          </w:tcPr>
          <w:p w:rsidR="005B382F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6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3 (2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5–7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5)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Median OS (95% CI)</w:t>
            </w:r>
            <w:r w:rsidR="002E74FB"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, months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1 (16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1–28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1)</w:t>
            </w:r>
          </w:p>
        </w:tc>
        <w:tc>
          <w:tcPr>
            <w:tcW w:w="3213" w:type="dxa"/>
          </w:tcPr>
          <w:p w:rsidR="005B382F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9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2 (6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3–13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6)</w:t>
            </w:r>
          </w:p>
        </w:tc>
      </w:tr>
      <w:tr w:rsidR="005B382F" w:rsidRPr="002B1229" w:rsidTr="00871FCB">
        <w:trPr>
          <w:trHeight w:val="511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 xml:space="preserve">12-month survival rate 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(95% CI)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DE43F5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80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 xml:space="preserve"> (51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2–97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7)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2</w:t>
            </w:r>
            <w:r w:rsidR="002E74FB">
              <w:rPr>
                <w:rFonts w:ascii="Arial" w:hAnsi="Arial" w:cs="Arial"/>
                <w:sz w:val="18"/>
                <w:szCs w:val="20"/>
              </w:rPr>
              <w:t>9%</w:t>
            </w:r>
            <w:r w:rsidRPr="00882C20">
              <w:rPr>
                <w:rFonts w:ascii="Arial" w:hAnsi="Arial" w:cs="Arial"/>
                <w:sz w:val="18"/>
                <w:szCs w:val="20"/>
              </w:rPr>
              <w:t xml:space="preserve"> (8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8–54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0)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 xml:space="preserve">18-month survival rate </w:t>
            </w:r>
            <w:r w:rsidRPr="00882C20">
              <w:rPr>
                <w:rFonts w:ascii="Arial" w:hAnsi="Arial" w:cs="Arial"/>
                <w:bCs/>
                <w:iCs/>
                <w:sz w:val="18"/>
                <w:szCs w:val="20"/>
              </w:rPr>
              <w:t>(95% CI)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DE43F5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70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 xml:space="preserve"> (39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7–92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9)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21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 xml:space="preserve"> (4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7–45</w:t>
            </w:r>
            <w:r w:rsidR="009345B5">
              <w:rPr>
                <w:rFonts w:ascii="Arial" w:hAnsi="Arial" w:cs="Arial"/>
                <w:sz w:val="20"/>
              </w:rPr>
              <w:t>.</w:t>
            </w:r>
            <w:r w:rsidRPr="00882C20">
              <w:rPr>
                <w:rFonts w:ascii="Arial" w:hAnsi="Arial" w:cs="Arial"/>
                <w:sz w:val="18"/>
                <w:szCs w:val="20"/>
              </w:rPr>
              <w:t>8)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Responders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1 (10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2 (14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Complete response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DE43F5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5B382F" w:rsidRPr="002B1229" w:rsidTr="00871FCB">
        <w:trPr>
          <w:trHeight w:val="511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Partial response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1 (10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2 (14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Stable disease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6 (60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9 (64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B382F" w:rsidRPr="002B1229" w:rsidTr="00871FCB">
        <w:trPr>
          <w:trHeight w:val="510"/>
        </w:trPr>
        <w:tc>
          <w:tcPr>
            <w:tcW w:w="3403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Progressive disease</w:t>
            </w:r>
          </w:p>
        </w:tc>
        <w:tc>
          <w:tcPr>
            <w:tcW w:w="3213" w:type="dxa"/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3213" w:type="dxa"/>
          </w:tcPr>
          <w:p w:rsidR="005B382F" w:rsidRDefault="005B382F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3 (30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213" w:type="dxa"/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1 (7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B382F" w:rsidRPr="002B1229" w:rsidTr="00871FCB">
        <w:trPr>
          <w:trHeight w:val="511"/>
        </w:trPr>
        <w:tc>
          <w:tcPr>
            <w:tcW w:w="3403" w:type="dxa"/>
            <w:tcBorders>
              <w:bottom w:val="single" w:sz="4" w:space="0" w:color="auto"/>
            </w:tcBorders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Missing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5B382F" w:rsidRDefault="002E74FB" w:rsidP="00BE5F0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5B382F" w:rsidRDefault="002E74FB" w:rsidP="00C56362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DE43F5" w:rsidRDefault="005B382F" w:rsidP="008219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C20">
              <w:rPr>
                <w:rFonts w:ascii="Arial" w:hAnsi="Arial" w:cs="Arial"/>
                <w:sz w:val="18"/>
                <w:szCs w:val="20"/>
              </w:rPr>
              <w:t>2 (14</w:t>
            </w:r>
            <w:r w:rsidR="002E74FB">
              <w:rPr>
                <w:rFonts w:ascii="Arial" w:hAnsi="Arial" w:cs="Arial"/>
                <w:sz w:val="18"/>
                <w:szCs w:val="20"/>
              </w:rPr>
              <w:t>%</w:t>
            </w:r>
            <w:r w:rsidRPr="00882C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5B382F" w:rsidRPr="002E74FB" w:rsidRDefault="00C56362" w:rsidP="0082191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a</w:t>
      </w:r>
      <w:r w:rsidR="00D27FE8" w:rsidRPr="00D27FE8">
        <w:rPr>
          <w:rFonts w:ascii="Arial" w:hAnsi="Arial" w:cs="Arial"/>
          <w:szCs w:val="24"/>
        </w:rPr>
        <w:t xml:space="preserve">Data are % (95% CI) or </w:t>
      </w:r>
      <w:r w:rsidR="00D27FE8" w:rsidRPr="00821917">
        <w:rPr>
          <w:rFonts w:ascii="Arial" w:hAnsi="Arial" w:cs="Arial"/>
          <w:i/>
          <w:szCs w:val="24"/>
        </w:rPr>
        <w:t>n</w:t>
      </w:r>
      <w:r w:rsidR="00D27FE8" w:rsidRPr="00D27FE8">
        <w:rPr>
          <w:rFonts w:ascii="Arial" w:hAnsi="Arial" w:cs="Arial"/>
          <w:szCs w:val="24"/>
        </w:rPr>
        <w:t xml:space="preserve"> (%). </w:t>
      </w:r>
    </w:p>
    <w:p w:rsidR="002E74FB" w:rsidRDefault="002E74FB" w:rsidP="00821917">
      <w:pPr>
        <w:spacing w:line="480" w:lineRule="auto"/>
        <w:rPr>
          <w:rFonts w:ascii="Arial" w:hAnsi="Arial" w:cs="Arial"/>
          <w:sz w:val="24"/>
          <w:szCs w:val="24"/>
        </w:rPr>
      </w:pPr>
    </w:p>
    <w:p w:rsidR="002E74FB" w:rsidRDefault="002E74FB" w:rsidP="00821917">
      <w:pPr>
        <w:spacing w:line="480" w:lineRule="auto"/>
        <w:rPr>
          <w:rFonts w:ascii="Arial" w:hAnsi="Arial" w:cs="Arial"/>
          <w:sz w:val="24"/>
          <w:szCs w:val="24"/>
        </w:rPr>
        <w:sectPr w:rsidR="002E74FB" w:rsidSect="005B38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43F5" w:rsidRDefault="00D27FE8" w:rsidP="00E7370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21917">
        <w:rPr>
          <w:rFonts w:ascii="Arial" w:hAnsi="Arial" w:cs="Arial"/>
          <w:b/>
          <w:sz w:val="24"/>
          <w:szCs w:val="24"/>
        </w:rPr>
        <w:lastRenderedPageBreak/>
        <w:t>Appendix Table 4:</w:t>
      </w:r>
      <w:r w:rsidRPr="00C56362">
        <w:rPr>
          <w:rFonts w:ascii="Arial" w:hAnsi="Arial" w:cs="Arial"/>
          <w:b/>
          <w:sz w:val="24"/>
          <w:szCs w:val="24"/>
        </w:rPr>
        <w:t xml:space="preserve"> </w:t>
      </w:r>
      <w:r w:rsidRPr="00821917">
        <w:rPr>
          <w:rFonts w:ascii="Arial" w:hAnsi="Arial" w:cs="Arial"/>
          <w:sz w:val="24"/>
          <w:szCs w:val="24"/>
        </w:rPr>
        <w:t xml:space="preserve">Overview of </w:t>
      </w:r>
      <w:r w:rsidR="002E74FB" w:rsidRPr="00821917">
        <w:rPr>
          <w:rFonts w:ascii="Arial" w:hAnsi="Arial" w:cs="Arial"/>
          <w:sz w:val="24"/>
          <w:szCs w:val="24"/>
        </w:rPr>
        <w:t>AE</w:t>
      </w:r>
      <w:r w:rsidRPr="00821917">
        <w:rPr>
          <w:rFonts w:ascii="Arial" w:hAnsi="Arial" w:cs="Arial"/>
          <w:sz w:val="24"/>
          <w:szCs w:val="24"/>
        </w:rPr>
        <w:t xml:space="preserve">s in </w:t>
      </w:r>
      <w:r w:rsidR="002E74FB" w:rsidRPr="00821917">
        <w:rPr>
          <w:rFonts w:ascii="Arial" w:hAnsi="Arial" w:cs="Arial"/>
          <w:sz w:val="24"/>
          <w:szCs w:val="24"/>
        </w:rPr>
        <w:t>24 patients treated with second-line bevacizumab plus erlotinib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25"/>
        <w:gridCol w:w="1801"/>
      </w:tblGrid>
      <w:tr w:rsidR="005B382F" w:rsidRPr="003538F5" w:rsidTr="002E74FB">
        <w:trPr>
          <w:trHeight w:val="494"/>
        </w:trPr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56362" w:rsidRDefault="002E74FB" w:rsidP="00C56362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1917">
              <w:rPr>
                <w:rFonts w:ascii="Arial" w:hAnsi="Arial" w:cs="Arial"/>
                <w:b/>
                <w:sz w:val="20"/>
              </w:rPr>
              <w:t>Bevacizumab plus erlotinib</w:t>
            </w:r>
            <w:r w:rsidR="005B382F" w:rsidRPr="0082191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E43F5" w:rsidRPr="00821917" w:rsidRDefault="005B382F" w:rsidP="00C5636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lang w:val="en-US" w:eastAsia="zh-TW"/>
              </w:rPr>
            </w:pPr>
            <w:r w:rsidRPr="00821917">
              <w:rPr>
                <w:rFonts w:ascii="Arial" w:hAnsi="Arial" w:cs="Arial"/>
                <w:b/>
                <w:sz w:val="20"/>
              </w:rPr>
              <w:t>(</w:t>
            </w:r>
            <w:r w:rsidRPr="00821917">
              <w:rPr>
                <w:rFonts w:ascii="Arial" w:hAnsi="Arial" w:cs="Arial"/>
                <w:b/>
                <w:i/>
                <w:sz w:val="20"/>
              </w:rPr>
              <w:t>n</w:t>
            </w:r>
            <w:r w:rsidR="00C5636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i/>
                <w:sz w:val="20"/>
              </w:rPr>
              <w:t>=</w:t>
            </w:r>
            <w:r w:rsidR="00C5636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821917">
              <w:rPr>
                <w:rFonts w:ascii="Arial" w:hAnsi="Arial" w:cs="Arial"/>
                <w:b/>
                <w:i/>
                <w:sz w:val="20"/>
              </w:rPr>
              <w:t>24</w:t>
            </w:r>
            <w:r w:rsidRPr="00821917">
              <w:rPr>
                <w:rFonts w:ascii="Arial" w:hAnsi="Arial" w:cs="Arial"/>
                <w:b/>
                <w:sz w:val="20"/>
              </w:rPr>
              <w:t>)</w:t>
            </w:r>
            <w:r w:rsidR="00C56362" w:rsidRPr="00821917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</w:rPr>
              <w:t>a</w:t>
            </w:r>
          </w:p>
        </w:tc>
      </w:tr>
      <w:tr w:rsidR="005B382F" w:rsidRPr="00724D71" w:rsidTr="002E74FB">
        <w:tc>
          <w:tcPr>
            <w:tcW w:w="5725" w:type="dxa"/>
            <w:tcBorders>
              <w:top w:val="single" w:sz="4" w:space="0" w:color="auto"/>
            </w:tcBorders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 xml:space="preserve">Any </w:t>
            </w:r>
            <w:r w:rsidR="002E74FB">
              <w:rPr>
                <w:rFonts w:ascii="Arial" w:hAnsi="Arial" w:cs="Arial"/>
                <w:sz w:val="20"/>
              </w:rPr>
              <w:t>AE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>24 (100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724D71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724D71" w:rsidTr="002E74FB">
        <w:tc>
          <w:tcPr>
            <w:tcW w:w="5725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 xml:space="preserve">Serious </w:t>
            </w:r>
            <w:r w:rsidR="002E74FB">
              <w:rPr>
                <w:rFonts w:ascii="Arial" w:hAnsi="Arial" w:cs="Arial"/>
                <w:sz w:val="20"/>
              </w:rPr>
              <w:t>AEs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724D71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29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724D71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724D71" w:rsidTr="002E74FB">
        <w:tc>
          <w:tcPr>
            <w:tcW w:w="5725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 xml:space="preserve">Grade 3–5 </w:t>
            </w:r>
            <w:r w:rsidR="002E74FB">
              <w:rPr>
                <w:rFonts w:ascii="Arial" w:hAnsi="Arial" w:cs="Arial"/>
                <w:sz w:val="20"/>
              </w:rPr>
              <w:t>AE</w:t>
            </w:r>
            <w:r w:rsidRPr="00724D71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724D71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54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724D71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724D71" w:rsidTr="002E74FB">
        <w:tc>
          <w:tcPr>
            <w:tcW w:w="5725" w:type="dxa"/>
          </w:tcPr>
          <w:p w:rsidR="00DE43F5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 xml:space="preserve">Grade 5 </w:t>
            </w:r>
            <w:r w:rsidR="002E74FB">
              <w:rPr>
                <w:rFonts w:ascii="Arial" w:hAnsi="Arial" w:cs="Arial"/>
                <w:sz w:val="20"/>
              </w:rPr>
              <w:t>AE</w:t>
            </w:r>
            <w:r w:rsidRPr="00724D71">
              <w:rPr>
                <w:rFonts w:ascii="Arial" w:hAnsi="Arial" w:cs="Arial"/>
                <w:sz w:val="20"/>
              </w:rPr>
              <w:t>s (leading to death)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>2 (8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724D71">
              <w:rPr>
                <w:rFonts w:ascii="Arial" w:hAnsi="Arial" w:cs="Arial"/>
                <w:sz w:val="20"/>
              </w:rPr>
              <w:t>)</w:t>
            </w:r>
            <w:r w:rsidR="00C5636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5B382F" w:rsidRPr="00724D71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>Patients who discontinued bevacizumab treatment due to AE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724D71">
              <w:rPr>
                <w:rFonts w:ascii="Arial" w:hAnsi="Arial" w:cs="Arial"/>
                <w:sz w:val="20"/>
              </w:rPr>
              <w:t>5 (</w:t>
            </w:r>
            <w:r>
              <w:rPr>
                <w:rFonts w:ascii="Arial" w:hAnsi="Arial" w:cs="Arial"/>
                <w:sz w:val="20"/>
              </w:rPr>
              <w:t>2</w:t>
            </w:r>
            <w:r w:rsidR="002E74FB">
              <w:rPr>
                <w:rFonts w:ascii="Arial" w:hAnsi="Arial" w:cs="Arial"/>
                <w:sz w:val="20"/>
              </w:rPr>
              <w:t>1%</w:t>
            </w:r>
            <w:r w:rsidRPr="00724D71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724D71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933041">
              <w:rPr>
                <w:rFonts w:ascii="Arial" w:hAnsi="Arial" w:cs="Arial"/>
                <w:sz w:val="20"/>
              </w:rPr>
              <w:t>Grade 3–5 AESIs</w:t>
            </w:r>
          </w:p>
        </w:tc>
        <w:tc>
          <w:tcPr>
            <w:tcW w:w="1801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C56362">
            <w:pPr>
              <w:spacing w:after="0" w:line="480" w:lineRule="auto"/>
              <w:ind w:firstLine="284"/>
              <w:rPr>
                <w:rFonts w:ascii="Arial" w:hAnsi="Arial" w:cs="Arial"/>
                <w:sz w:val="20"/>
              </w:rPr>
            </w:pPr>
            <w:r w:rsidRPr="009C7466">
              <w:rPr>
                <w:rFonts w:ascii="Arial" w:hAnsi="Arial" w:cs="Arial"/>
                <w:sz w:val="20"/>
              </w:rPr>
              <w:t>Total patients with at least one grade 3–5 AESI</w:t>
            </w:r>
            <w:r w:rsidR="00C56362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6 (2</w:t>
            </w:r>
            <w:r w:rsidR="002E74FB">
              <w:rPr>
                <w:rFonts w:ascii="Arial" w:hAnsi="Arial" w:cs="Arial"/>
                <w:sz w:val="20"/>
              </w:rPr>
              <w:t>6%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933041">
              <w:rPr>
                <w:rFonts w:ascii="Arial" w:hAnsi="Arial" w:cs="Arial"/>
                <w:sz w:val="20"/>
              </w:rPr>
              <w:t>Bevacizumab-related AESI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801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 xml:space="preserve">     Thromboembolic events (venous)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1 (4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 xml:space="preserve">     Hypertension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2 (8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 xml:space="preserve">     Proteinuria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2 (8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2C20">
              <w:rPr>
                <w:rFonts w:ascii="Arial" w:hAnsi="Arial" w:cs="Arial"/>
                <w:sz w:val="20"/>
              </w:rPr>
              <w:t>Thromboembolic events (arterial)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1 (4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  <w:lang w:val="nl-NL"/>
              </w:rPr>
            </w:pPr>
            <w:r w:rsidRPr="00E232E9">
              <w:rPr>
                <w:rFonts w:ascii="Arial" w:hAnsi="Arial" w:cs="Arial"/>
                <w:sz w:val="20"/>
                <w:lang w:val="nl-NL"/>
              </w:rPr>
              <w:t xml:space="preserve">     Bleeding event (post-procedural hematoma)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1 (4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933041">
              <w:rPr>
                <w:rFonts w:ascii="Arial" w:hAnsi="Arial" w:cs="Arial"/>
                <w:sz w:val="20"/>
              </w:rPr>
              <w:t>Erlotinib-related AESI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801" w:type="dxa"/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382F" w:rsidRPr="00882C20" w:rsidTr="002E74FB">
        <w:tc>
          <w:tcPr>
            <w:tcW w:w="5725" w:type="dxa"/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 xml:space="preserve">     Diarrhea </w:t>
            </w:r>
          </w:p>
        </w:tc>
        <w:tc>
          <w:tcPr>
            <w:tcW w:w="1801" w:type="dxa"/>
          </w:tcPr>
          <w:p w:rsidR="00DE43F5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882C20">
              <w:rPr>
                <w:rFonts w:ascii="Arial" w:hAnsi="Arial" w:cs="Arial"/>
                <w:sz w:val="20"/>
              </w:rPr>
              <w:t>1 (4</w:t>
            </w:r>
            <w:r w:rsidR="002E74FB">
              <w:rPr>
                <w:rFonts w:ascii="Arial" w:hAnsi="Arial" w:cs="Arial"/>
                <w:sz w:val="20"/>
              </w:rPr>
              <w:t>%</w:t>
            </w:r>
            <w:r w:rsidRPr="00882C20">
              <w:rPr>
                <w:rFonts w:ascii="Arial" w:hAnsi="Arial" w:cs="Arial"/>
                <w:sz w:val="20"/>
              </w:rPr>
              <w:t>)</w:t>
            </w:r>
          </w:p>
        </w:tc>
      </w:tr>
      <w:tr w:rsidR="005B382F" w:rsidRPr="00882C20" w:rsidTr="002E74FB">
        <w:tc>
          <w:tcPr>
            <w:tcW w:w="5725" w:type="dxa"/>
            <w:tcBorders>
              <w:bottom w:val="single" w:sz="4" w:space="0" w:color="auto"/>
            </w:tcBorders>
          </w:tcPr>
          <w:p w:rsidR="005B382F" w:rsidRDefault="005B382F" w:rsidP="00E7370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Rash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382F" w:rsidRDefault="005B382F" w:rsidP="00BE5F04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821917" w:rsidRDefault="00C56362" w:rsidP="00821917">
      <w:pPr>
        <w:spacing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>a</w:t>
      </w:r>
      <w:r w:rsidR="002E74FB" w:rsidRPr="002E74FB">
        <w:rPr>
          <w:rFonts w:ascii="Arial" w:hAnsi="Arial" w:cs="Arial"/>
          <w:noProof/>
          <w:sz w:val="24"/>
          <w:szCs w:val="24"/>
        </w:rPr>
        <w:t xml:space="preserve">All data are </w:t>
      </w:r>
      <w:r w:rsidR="002E74FB" w:rsidRPr="00821917">
        <w:rPr>
          <w:rFonts w:ascii="Arial" w:hAnsi="Arial" w:cs="Arial"/>
          <w:i/>
          <w:noProof/>
          <w:sz w:val="24"/>
          <w:szCs w:val="24"/>
        </w:rPr>
        <w:t>n</w:t>
      </w:r>
      <w:r w:rsidR="002E74FB" w:rsidRPr="002E74FB">
        <w:rPr>
          <w:rFonts w:ascii="Arial" w:hAnsi="Arial" w:cs="Arial"/>
          <w:noProof/>
          <w:sz w:val="24"/>
          <w:szCs w:val="24"/>
        </w:rPr>
        <w:t xml:space="preserve"> (%).</w:t>
      </w:r>
    </w:p>
    <w:p w:rsidR="002E74FB" w:rsidRPr="002E74FB" w:rsidRDefault="00C56362" w:rsidP="00821917">
      <w:pPr>
        <w:spacing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>b</w:t>
      </w:r>
      <w:r w:rsidR="00B579B8" w:rsidRPr="00933041">
        <w:rPr>
          <w:rFonts w:ascii="Arial" w:hAnsi="Arial" w:cs="Arial"/>
          <w:noProof/>
          <w:sz w:val="24"/>
          <w:szCs w:val="24"/>
        </w:rPr>
        <w:t>One case of possible hypertensive encephalopathy and one case of ischemic stroke</w:t>
      </w:r>
      <w:r w:rsidR="00B579B8">
        <w:rPr>
          <w:rFonts w:ascii="Arial" w:hAnsi="Arial" w:cs="Arial"/>
          <w:noProof/>
          <w:sz w:val="24"/>
          <w:szCs w:val="24"/>
        </w:rPr>
        <w:t>.</w:t>
      </w:r>
    </w:p>
    <w:p w:rsidR="005B382F" w:rsidRDefault="00C56362" w:rsidP="00E7370F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>c</w:t>
      </w:r>
      <w:r w:rsidR="002E74FB" w:rsidRPr="002E74FB">
        <w:rPr>
          <w:rFonts w:ascii="Arial" w:hAnsi="Arial" w:cs="Arial"/>
          <w:noProof/>
          <w:sz w:val="24"/>
          <w:szCs w:val="24"/>
        </w:rPr>
        <w:t>Patients may have had more than one AESI.</w:t>
      </w:r>
    </w:p>
    <w:p w:rsidR="005B382F" w:rsidRDefault="005B382F" w:rsidP="00821917">
      <w:pPr>
        <w:spacing w:line="480" w:lineRule="auto"/>
        <w:rPr>
          <w:rFonts w:ascii="Arial" w:hAnsi="Arial" w:cs="Arial"/>
          <w:sz w:val="24"/>
          <w:szCs w:val="24"/>
        </w:rPr>
      </w:pPr>
    </w:p>
    <w:p w:rsidR="00B579B8" w:rsidRDefault="00B579B8" w:rsidP="0082191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227E2" w:rsidRDefault="00C56362" w:rsidP="0082191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5B382F" w:rsidRPr="005B382F">
        <w:rPr>
          <w:rFonts w:ascii="Arial" w:hAnsi="Arial" w:cs="Arial"/>
          <w:b/>
          <w:sz w:val="24"/>
          <w:szCs w:val="24"/>
        </w:rPr>
        <w:t>Figures</w:t>
      </w:r>
    </w:p>
    <w:p w:rsidR="00B579B8" w:rsidRDefault="00230598" w:rsidP="00821917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5pt;margin-top:.2pt;width:227.25pt;height:276.75pt;z-index:251659264" wrapcoords="-71 0 -71 21541 21600 21541 21600 0 -71 0">
            <v:imagedata r:id="rId10" o:title=""/>
            <w10:wrap type="tight"/>
          </v:shape>
          <o:OLEObject Type="Embed" ProgID="Acrobat.Document.11" ShapeID="_x0000_s1026" DrawAspect="Content" ObjectID="_1476603126" r:id="rId11"/>
        </w:pict>
      </w: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B579B8" w:rsidRPr="00B579B8" w:rsidRDefault="00B579B8" w:rsidP="00821917">
      <w:pPr>
        <w:spacing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Appendix </w:t>
      </w:r>
      <w:r w:rsidR="007227E2" w:rsidRPr="00F021F2">
        <w:rPr>
          <w:rFonts w:ascii="Arial" w:hAnsi="Arial" w:cs="Arial"/>
          <w:b/>
          <w:noProof/>
          <w:sz w:val="24"/>
          <w:szCs w:val="24"/>
        </w:rPr>
        <w:t>Fig</w:t>
      </w:r>
      <w:r>
        <w:rPr>
          <w:rFonts w:ascii="Arial" w:hAnsi="Arial" w:cs="Arial"/>
          <w:b/>
          <w:noProof/>
          <w:sz w:val="24"/>
          <w:szCs w:val="24"/>
        </w:rPr>
        <w:t>ure</w:t>
      </w:r>
      <w:r w:rsidR="007227E2" w:rsidRPr="00F021F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227E2">
        <w:rPr>
          <w:rFonts w:ascii="Arial" w:hAnsi="Arial" w:cs="Arial"/>
          <w:b/>
          <w:noProof/>
          <w:sz w:val="24"/>
          <w:szCs w:val="24"/>
        </w:rPr>
        <w:t>1</w:t>
      </w:r>
      <w:r w:rsidR="00C076E0">
        <w:rPr>
          <w:rFonts w:ascii="Arial" w:hAnsi="Arial" w:cs="Arial"/>
          <w:b/>
          <w:noProof/>
          <w:sz w:val="24"/>
          <w:szCs w:val="24"/>
        </w:rPr>
        <w:t>.</w:t>
      </w:r>
      <w:r w:rsidR="00C076E0" w:rsidRPr="00F021F2">
        <w:rPr>
          <w:rFonts w:ascii="Arial" w:hAnsi="Arial" w:cs="Arial"/>
          <w:noProof/>
          <w:sz w:val="24"/>
          <w:szCs w:val="24"/>
        </w:rPr>
        <w:t xml:space="preserve"> </w:t>
      </w:r>
      <w:r w:rsidR="00D27FE8" w:rsidRPr="00821917">
        <w:rPr>
          <w:rFonts w:ascii="Arial" w:hAnsi="Arial" w:cs="Arial"/>
          <w:noProof/>
          <w:sz w:val="24"/>
          <w:szCs w:val="24"/>
        </w:rPr>
        <w:t>Response rates for patients treated with second-line bevacizumab plus erlotinib</w:t>
      </w:r>
      <w:r w:rsidR="00C076E0">
        <w:rPr>
          <w:rFonts w:ascii="Arial" w:hAnsi="Arial" w:cs="Arial"/>
          <w:noProof/>
          <w:sz w:val="24"/>
          <w:szCs w:val="24"/>
        </w:rPr>
        <w:t xml:space="preserve">. </w:t>
      </w:r>
      <w:r w:rsidRPr="00B579B8">
        <w:rPr>
          <w:rFonts w:ascii="Arial" w:hAnsi="Arial" w:cs="Arial"/>
          <w:noProof/>
          <w:sz w:val="24"/>
          <w:szCs w:val="24"/>
        </w:rPr>
        <w:t>(A) Response rates for primary tumors and metastases, (B) best overall response for primary tumors in individual patients.</w:t>
      </w:r>
    </w:p>
    <w:p w:rsidR="005B382F" w:rsidRDefault="00B579B8" w:rsidP="00821917">
      <w:pPr>
        <w:spacing w:line="480" w:lineRule="auto"/>
        <w:rPr>
          <w:rFonts w:ascii="Arial" w:hAnsi="Arial" w:cs="Arial"/>
          <w:sz w:val="24"/>
          <w:szCs w:val="24"/>
        </w:rPr>
      </w:pPr>
      <w:r w:rsidRPr="00B579B8">
        <w:rPr>
          <w:rFonts w:ascii="Arial" w:hAnsi="Arial" w:cs="Arial"/>
          <w:noProof/>
          <w:sz w:val="24"/>
          <w:szCs w:val="24"/>
        </w:rPr>
        <w:t>*Th</w:t>
      </w:r>
      <w:r>
        <w:rPr>
          <w:rFonts w:ascii="Arial" w:hAnsi="Arial" w:cs="Arial"/>
          <w:noProof/>
          <w:sz w:val="24"/>
          <w:szCs w:val="24"/>
        </w:rPr>
        <w:t>is patient</w:t>
      </w:r>
      <w:r w:rsidRPr="00B579B8">
        <w:rPr>
          <w:rFonts w:ascii="Arial" w:hAnsi="Arial" w:cs="Arial"/>
          <w:noProof/>
          <w:sz w:val="24"/>
          <w:szCs w:val="24"/>
        </w:rPr>
        <w:t xml:space="preserve"> had new lesions despite having a reduction in the primary lesion so </w:t>
      </w:r>
      <w:r>
        <w:rPr>
          <w:rFonts w:ascii="Arial" w:hAnsi="Arial" w:cs="Arial"/>
          <w:noProof/>
          <w:sz w:val="24"/>
          <w:szCs w:val="24"/>
        </w:rPr>
        <w:t>was</w:t>
      </w:r>
      <w:r w:rsidRPr="00B579B8">
        <w:rPr>
          <w:rFonts w:ascii="Arial" w:hAnsi="Arial" w:cs="Arial"/>
          <w:noProof/>
          <w:sz w:val="24"/>
          <w:szCs w:val="24"/>
        </w:rPr>
        <w:t xml:space="preserve"> classed as having a best overall response of progressive disease.</w:t>
      </w:r>
    </w:p>
    <w:p w:rsidR="007227E2" w:rsidRDefault="007227E2" w:rsidP="00821917">
      <w:pPr>
        <w:spacing w:line="480" w:lineRule="auto"/>
        <w:rPr>
          <w:rFonts w:ascii="Arial" w:hAnsi="Arial" w:cs="Arial"/>
          <w:sz w:val="24"/>
          <w:szCs w:val="24"/>
        </w:rPr>
      </w:pPr>
    </w:p>
    <w:p w:rsidR="00B579B8" w:rsidRDefault="00B579B8" w:rsidP="00821917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B579B8" w:rsidRDefault="00230598" w:rsidP="00821917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27" type="#_x0000_t75" style="position:absolute;margin-left:6pt;margin-top:7.8pt;width:227.25pt;height:252pt;z-index:251661312" wrapcoords="-71 0 -71 21471 21600 21471 21600 0 -71 0">
            <v:imagedata r:id="rId12" o:title=""/>
            <w10:wrap type="tight"/>
          </v:shape>
          <o:OLEObject Type="Embed" ProgID="Acrobat.Document.11" ShapeID="_x0000_s1027" DrawAspect="Content" ObjectID="_1476603127" r:id="rId13"/>
        </w:pict>
      </w: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B579B8" w:rsidRPr="00C076E0" w:rsidRDefault="00C076E0" w:rsidP="00C076E0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Appendix Figure 2.</w:t>
      </w:r>
      <w:r w:rsidR="00D27FE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27FE8" w:rsidRPr="00C076E0">
        <w:rPr>
          <w:rFonts w:ascii="Arial" w:hAnsi="Arial" w:cs="Arial"/>
          <w:sz w:val="24"/>
          <w:szCs w:val="24"/>
        </w:rPr>
        <w:t xml:space="preserve">Waterfall plots of best overall response </w:t>
      </w:r>
      <w:r w:rsidR="00D27FE8" w:rsidRPr="00C076E0">
        <w:rPr>
          <w:rFonts w:ascii="Arial" w:hAnsi="Arial" w:cs="Arial"/>
          <w:noProof/>
          <w:sz w:val="24"/>
          <w:szCs w:val="24"/>
        </w:rPr>
        <w:t>for patients treated with second-line bevacizumab plus erlotinib</w:t>
      </w:r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579B8" w:rsidRPr="00B579B8">
        <w:rPr>
          <w:rFonts w:ascii="Arial" w:eastAsia="Times New Roman" w:hAnsi="Arial" w:cs="Arial"/>
          <w:sz w:val="24"/>
          <w:szCs w:val="24"/>
        </w:rPr>
        <w:t>(A) For brain lesions</w:t>
      </w:r>
      <w:r>
        <w:rPr>
          <w:rFonts w:ascii="Arial" w:eastAsia="Times New Roman" w:hAnsi="Arial" w:cs="Arial"/>
          <w:sz w:val="24"/>
          <w:szCs w:val="24"/>
        </w:rPr>
        <w:t>,</w:t>
      </w:r>
      <w:r w:rsidR="00B579B8" w:rsidRPr="00B579B8">
        <w:rPr>
          <w:rFonts w:ascii="Arial" w:eastAsia="Times New Roman" w:hAnsi="Arial" w:cs="Arial"/>
          <w:sz w:val="24"/>
          <w:szCs w:val="24"/>
        </w:rPr>
        <w:t xml:space="preserve"> (B) for extracranial lesions</w:t>
      </w:r>
    </w:p>
    <w:p w:rsidR="00B579B8" w:rsidRPr="00B579B8" w:rsidRDefault="00B579B8" w:rsidP="00BE5F0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B579B8">
        <w:rPr>
          <w:rFonts w:ascii="Arial" w:eastAsia="Times New Roman" w:hAnsi="Arial" w:cs="Arial"/>
          <w:sz w:val="24"/>
          <w:szCs w:val="24"/>
        </w:rPr>
        <w:t>*This patient had new lesions despite having a reduction in the primary lesion so was classed as having a best overall response of progressive disease.</w:t>
      </w:r>
    </w:p>
    <w:p w:rsidR="00B579B8" w:rsidRPr="00B579B8" w:rsidRDefault="00B579B8" w:rsidP="00821917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8D3F27" w:rsidRDefault="008D3F27" w:rsidP="00E7370F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B579B8" w:rsidRDefault="00B579B8" w:rsidP="00821917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B579B8" w:rsidRDefault="00230598" w:rsidP="00E7370F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28" type="#_x0000_t75" style="position:absolute;margin-left:12pt;margin-top:25.2pt;width:227.25pt;height:255pt;z-index:251663360" wrapcoords="-71 0 -71 21536 21600 21536 21600 0 -71 0">
            <v:imagedata r:id="rId14" o:title=""/>
            <w10:wrap type="tight"/>
          </v:shape>
          <o:OLEObject Type="Embed" ProgID="Acrobat.Document.11" ShapeID="_x0000_s1028" DrawAspect="Content" ObjectID="_1476603128" r:id="rId15"/>
        </w:pict>
      </w: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C076E0" w:rsidRDefault="00C076E0" w:rsidP="00BE5F04">
      <w:pPr>
        <w:spacing w:after="0" w:line="480" w:lineRule="auto"/>
        <w:rPr>
          <w:rFonts w:ascii="Arial" w:hAnsi="Arial" w:cs="Arial"/>
          <w:b/>
          <w:noProof/>
          <w:sz w:val="24"/>
          <w:szCs w:val="24"/>
        </w:rPr>
      </w:pPr>
    </w:p>
    <w:p w:rsidR="007227E2" w:rsidRPr="00C076E0" w:rsidRDefault="00B579B8" w:rsidP="00C56362">
      <w:pPr>
        <w:spacing w:after="0"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Appendix </w:t>
      </w:r>
      <w:r w:rsidR="007227E2" w:rsidRPr="00933041">
        <w:rPr>
          <w:rFonts w:ascii="Arial" w:hAnsi="Arial" w:cs="Arial"/>
          <w:b/>
          <w:noProof/>
          <w:sz w:val="24"/>
          <w:szCs w:val="24"/>
        </w:rPr>
        <w:t>Fig</w:t>
      </w:r>
      <w:r>
        <w:rPr>
          <w:rFonts w:ascii="Arial" w:hAnsi="Arial" w:cs="Arial"/>
          <w:b/>
          <w:noProof/>
          <w:sz w:val="24"/>
          <w:szCs w:val="24"/>
        </w:rPr>
        <w:t>ure</w:t>
      </w:r>
      <w:r w:rsidR="007227E2" w:rsidRPr="0093304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D3F27">
        <w:rPr>
          <w:rFonts w:ascii="Arial" w:hAnsi="Arial" w:cs="Arial"/>
          <w:b/>
          <w:noProof/>
          <w:sz w:val="24"/>
          <w:szCs w:val="24"/>
        </w:rPr>
        <w:t>3</w:t>
      </w:r>
      <w:r w:rsidR="00C076E0">
        <w:rPr>
          <w:rFonts w:ascii="Arial" w:hAnsi="Arial" w:cs="Arial"/>
          <w:b/>
          <w:noProof/>
          <w:sz w:val="24"/>
          <w:szCs w:val="24"/>
        </w:rPr>
        <w:t>.</w:t>
      </w:r>
      <w:r w:rsidR="00D27FE8" w:rsidRPr="00D27FE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C076E0">
        <w:rPr>
          <w:rFonts w:ascii="Arial" w:hAnsi="Arial" w:cs="Arial"/>
          <w:sz w:val="24"/>
          <w:szCs w:val="24"/>
        </w:rPr>
        <w:t>Kaplan–Meier curves for second-line treatment with bevacizumab plus erlotinib</w:t>
      </w:r>
      <w:r w:rsidR="00C076E0">
        <w:rPr>
          <w:rFonts w:ascii="Arial" w:hAnsi="Arial" w:cs="Arial"/>
          <w:sz w:val="24"/>
          <w:szCs w:val="24"/>
        </w:rPr>
        <w:t>.</w:t>
      </w:r>
      <w:r w:rsidR="00C076E0">
        <w:rPr>
          <w:rFonts w:ascii="Arial" w:hAnsi="Arial" w:cs="Arial"/>
          <w:noProof/>
        </w:rPr>
        <w:t xml:space="preserve"> </w:t>
      </w:r>
      <w:r w:rsidR="00C076E0">
        <w:rPr>
          <w:rFonts w:ascii="Arial" w:hAnsi="Arial" w:cs="Arial"/>
          <w:noProof/>
          <w:sz w:val="24"/>
          <w:szCs w:val="24"/>
        </w:rPr>
        <w:t xml:space="preserve">(A) Progression-free survival, </w:t>
      </w:r>
      <w:r w:rsidRPr="00B579B8">
        <w:rPr>
          <w:rFonts w:ascii="Arial" w:hAnsi="Arial" w:cs="Arial"/>
          <w:noProof/>
          <w:sz w:val="24"/>
          <w:szCs w:val="24"/>
        </w:rPr>
        <w:t>(B) overall survival.</w:t>
      </w:r>
    </w:p>
    <w:sectPr w:rsidR="007227E2" w:rsidRPr="00C076E0" w:rsidSect="005B3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98" w:rsidRDefault="00230598" w:rsidP="00B579B8">
      <w:pPr>
        <w:spacing w:after="0" w:line="240" w:lineRule="auto"/>
      </w:pPr>
      <w:r>
        <w:separator/>
      </w:r>
    </w:p>
  </w:endnote>
  <w:endnote w:type="continuationSeparator" w:id="0">
    <w:p w:rsidR="00230598" w:rsidRDefault="00230598" w:rsidP="00B5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05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662DC" w:rsidRPr="00B579B8" w:rsidRDefault="00621DA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27FE8">
          <w:rPr>
            <w:rFonts w:ascii="Arial" w:hAnsi="Arial" w:cs="Arial"/>
            <w:sz w:val="20"/>
            <w:szCs w:val="20"/>
          </w:rPr>
          <w:fldChar w:fldCharType="begin"/>
        </w:r>
        <w:r w:rsidR="000662DC" w:rsidRPr="00D27FE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27FE8">
          <w:rPr>
            <w:rFonts w:ascii="Arial" w:hAnsi="Arial" w:cs="Arial"/>
            <w:sz w:val="20"/>
            <w:szCs w:val="20"/>
          </w:rPr>
          <w:fldChar w:fldCharType="separate"/>
        </w:r>
        <w:r w:rsidR="00D72C7D">
          <w:rPr>
            <w:rFonts w:ascii="Arial" w:hAnsi="Arial" w:cs="Arial"/>
            <w:noProof/>
            <w:sz w:val="20"/>
            <w:szCs w:val="20"/>
          </w:rPr>
          <w:t>1</w:t>
        </w:r>
        <w:r w:rsidRPr="00D27FE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662DC" w:rsidRDefault="00066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98" w:rsidRDefault="00230598" w:rsidP="00B579B8">
      <w:pPr>
        <w:spacing w:after="0" w:line="240" w:lineRule="auto"/>
      </w:pPr>
      <w:r>
        <w:separator/>
      </w:r>
    </w:p>
  </w:footnote>
  <w:footnote w:type="continuationSeparator" w:id="0">
    <w:p w:rsidR="00230598" w:rsidRDefault="00230598" w:rsidP="00B5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03CC"/>
    <w:multiLevelType w:val="hybridMultilevel"/>
    <w:tmpl w:val="269EE944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pStyle w:val="TextPuce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6C8"/>
    <w:rsid w:val="0003279B"/>
    <w:rsid w:val="000662DC"/>
    <w:rsid w:val="000A5EA2"/>
    <w:rsid w:val="000C46B0"/>
    <w:rsid w:val="00194537"/>
    <w:rsid w:val="00205509"/>
    <w:rsid w:val="00230598"/>
    <w:rsid w:val="002E74FB"/>
    <w:rsid w:val="002F3B5A"/>
    <w:rsid w:val="00347558"/>
    <w:rsid w:val="003A2894"/>
    <w:rsid w:val="003A3856"/>
    <w:rsid w:val="003D1A45"/>
    <w:rsid w:val="0044782D"/>
    <w:rsid w:val="005353CD"/>
    <w:rsid w:val="00553515"/>
    <w:rsid w:val="00565615"/>
    <w:rsid w:val="00593E8E"/>
    <w:rsid w:val="00595236"/>
    <w:rsid w:val="005B382F"/>
    <w:rsid w:val="005D6D8E"/>
    <w:rsid w:val="00621DA3"/>
    <w:rsid w:val="00664DB3"/>
    <w:rsid w:val="006766C8"/>
    <w:rsid w:val="00692E8B"/>
    <w:rsid w:val="006A3BCD"/>
    <w:rsid w:val="006C6178"/>
    <w:rsid w:val="006C6399"/>
    <w:rsid w:val="007227E2"/>
    <w:rsid w:val="007A41C5"/>
    <w:rsid w:val="007D36B0"/>
    <w:rsid w:val="00821917"/>
    <w:rsid w:val="00871FCB"/>
    <w:rsid w:val="00892D1A"/>
    <w:rsid w:val="008A5328"/>
    <w:rsid w:val="008D2C0B"/>
    <w:rsid w:val="008D3F27"/>
    <w:rsid w:val="009021F7"/>
    <w:rsid w:val="00907E1F"/>
    <w:rsid w:val="009345B5"/>
    <w:rsid w:val="00976577"/>
    <w:rsid w:val="009B4B97"/>
    <w:rsid w:val="009F3027"/>
    <w:rsid w:val="00A00532"/>
    <w:rsid w:val="00A57909"/>
    <w:rsid w:val="00A62581"/>
    <w:rsid w:val="00B17D63"/>
    <w:rsid w:val="00B227AF"/>
    <w:rsid w:val="00B41A6E"/>
    <w:rsid w:val="00B579B8"/>
    <w:rsid w:val="00B731DD"/>
    <w:rsid w:val="00B770D2"/>
    <w:rsid w:val="00BD00CC"/>
    <w:rsid w:val="00BE5F04"/>
    <w:rsid w:val="00C076E0"/>
    <w:rsid w:val="00C56362"/>
    <w:rsid w:val="00C61D1D"/>
    <w:rsid w:val="00C75743"/>
    <w:rsid w:val="00CD409E"/>
    <w:rsid w:val="00D10E50"/>
    <w:rsid w:val="00D27FE8"/>
    <w:rsid w:val="00D428CC"/>
    <w:rsid w:val="00D72C7D"/>
    <w:rsid w:val="00D77A43"/>
    <w:rsid w:val="00DE43F5"/>
    <w:rsid w:val="00E0393A"/>
    <w:rsid w:val="00E47284"/>
    <w:rsid w:val="00E7370F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Ti12">
    <w:name w:val="Text:Ti12"/>
    <w:basedOn w:val="Normal"/>
    <w:link w:val="TextTi12Car"/>
    <w:rsid w:val="008D2C0B"/>
    <w:pPr>
      <w:spacing w:before="60" w:after="6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character" w:customStyle="1" w:styleId="TextTi12Car">
    <w:name w:val="Text:Ti12 Car"/>
    <w:link w:val="TextTi12"/>
    <w:rsid w:val="008D2C0B"/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paragraph" w:customStyle="1" w:styleId="TextPuce2">
    <w:name w:val="Text:Puce 2"/>
    <w:basedOn w:val="Normal"/>
    <w:rsid w:val="008D2C0B"/>
    <w:pPr>
      <w:numPr>
        <w:ilvl w:val="1"/>
        <w:numId w:val="1"/>
      </w:numPr>
      <w:spacing w:after="60" w:line="280" w:lineRule="atLeast"/>
    </w:pPr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paragraph" w:customStyle="1" w:styleId="ColorfulList-Accent11">
    <w:name w:val="Colorful List - Accent 11"/>
    <w:basedOn w:val="Normal"/>
    <w:uiPriority w:val="99"/>
    <w:rsid w:val="008D2C0B"/>
    <w:pPr>
      <w:ind w:left="720"/>
      <w:contextualSpacing/>
    </w:pPr>
    <w:rPr>
      <w:rFonts w:ascii="Calibri" w:eastAsia="Times New Roman" w:hAnsi="Calibri" w:cs="Times New Roman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B8"/>
  </w:style>
  <w:style w:type="paragraph" w:styleId="Footer">
    <w:name w:val="footer"/>
    <w:basedOn w:val="Normal"/>
    <w:link w:val="FooterChar"/>
    <w:uiPriority w:val="99"/>
    <w:unhideWhenUsed/>
    <w:rsid w:val="00B5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B8"/>
  </w:style>
  <w:style w:type="character" w:styleId="CommentReference">
    <w:name w:val="annotation reference"/>
    <w:basedOn w:val="DefaultParagraphFont"/>
    <w:uiPriority w:val="99"/>
    <w:semiHidden/>
    <w:unhideWhenUsed/>
    <w:rsid w:val="0020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5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Ti12">
    <w:name w:val="Text:Ti12"/>
    <w:basedOn w:val="Normal"/>
    <w:link w:val="TextTi12Car"/>
    <w:rsid w:val="008D2C0B"/>
    <w:pPr>
      <w:spacing w:before="60" w:after="6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character" w:customStyle="1" w:styleId="TextTi12Car">
    <w:name w:val="Text:Ti12 Car"/>
    <w:link w:val="TextTi12"/>
    <w:rsid w:val="008D2C0B"/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paragraph" w:customStyle="1" w:styleId="TextPuce2">
    <w:name w:val="Text:Puce 2"/>
    <w:basedOn w:val="Normal"/>
    <w:rsid w:val="008D2C0B"/>
    <w:pPr>
      <w:numPr>
        <w:ilvl w:val="1"/>
        <w:numId w:val="1"/>
      </w:numPr>
      <w:spacing w:after="60" w:line="280" w:lineRule="atLeast"/>
    </w:pPr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paragraph" w:customStyle="1" w:styleId="ColorfulList-Accent11">
    <w:name w:val="Colorful List - Accent 11"/>
    <w:basedOn w:val="Normal"/>
    <w:uiPriority w:val="99"/>
    <w:rsid w:val="008D2C0B"/>
    <w:pPr>
      <w:ind w:left="720"/>
      <w:contextualSpacing/>
    </w:pPr>
    <w:rPr>
      <w:rFonts w:ascii="Calibri" w:eastAsia="Times New Roman" w:hAnsi="Calibri" w:cs="Times New Roman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B8"/>
  </w:style>
  <w:style w:type="paragraph" w:styleId="Footer">
    <w:name w:val="footer"/>
    <w:basedOn w:val="Normal"/>
    <w:link w:val="FooterChar"/>
    <w:uiPriority w:val="99"/>
    <w:unhideWhenUsed/>
    <w:rsid w:val="00B5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B8"/>
  </w:style>
  <w:style w:type="character" w:styleId="CommentReference">
    <w:name w:val="annotation reference"/>
    <w:basedOn w:val="DefaultParagraphFont"/>
    <w:uiPriority w:val="99"/>
    <w:semiHidden/>
    <w:unhideWhenUsed/>
    <w:rsid w:val="0020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1132-585D-4045-9D43-8B6AA6D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KnowledgePoint360 Group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salter_j</dc:creator>
  <cp:lastModifiedBy>Miller, Helen</cp:lastModifiedBy>
  <cp:revision>2</cp:revision>
  <cp:lastPrinted>2014-02-18T10:19:00Z</cp:lastPrinted>
  <dcterms:created xsi:type="dcterms:W3CDTF">2014-11-04T10:46:00Z</dcterms:created>
  <dcterms:modified xsi:type="dcterms:W3CDTF">2014-11-04T10:46:00Z</dcterms:modified>
</cp:coreProperties>
</file>