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E" w:rsidRPr="00A66356" w:rsidRDefault="009B269E" w:rsidP="009B269E">
      <w:pPr>
        <w:rPr>
          <w:b/>
        </w:rPr>
      </w:pPr>
      <w:r w:rsidRPr="00A66356">
        <w:rPr>
          <w:b/>
        </w:rPr>
        <w:t>Figure legend</w:t>
      </w:r>
    </w:p>
    <w:p w:rsidR="009B269E" w:rsidRDefault="009B269E" w:rsidP="009B269E"/>
    <w:p w:rsidR="009B269E" w:rsidRDefault="009B269E" w:rsidP="009B269E"/>
    <w:p w:rsidR="00C54BE8" w:rsidRDefault="00C54BE8" w:rsidP="009B269E">
      <w:pPr>
        <w:spacing w:line="480" w:lineRule="auto"/>
        <w:rPr>
          <w:rFonts w:eastAsia="MS Gothic"/>
        </w:rPr>
      </w:pPr>
      <w:proofErr w:type="gramStart"/>
      <w:r>
        <w:t>Supplemental f</w:t>
      </w:r>
      <w:r w:rsidR="009B269E">
        <w:t>igure 1.</w:t>
      </w:r>
      <w:proofErr w:type="gramEnd"/>
      <w:r w:rsidR="009B269E">
        <w:t xml:space="preserve"> </w:t>
      </w:r>
      <w:proofErr w:type="gramStart"/>
      <w:r w:rsidR="009B269E">
        <w:rPr>
          <w:rFonts w:eastAsia="MS Gothic"/>
        </w:rPr>
        <w:t>Pharmacodynamic effects of CUDC-101 in tumor, skin and PBMCs.</w:t>
      </w:r>
      <w:proofErr w:type="gramEnd"/>
      <w:r w:rsidR="009B269E">
        <w:rPr>
          <w:rFonts w:eastAsia="MS Gothic"/>
        </w:rPr>
        <w:t xml:space="preserve"> </w:t>
      </w:r>
      <w:bookmarkStart w:id="0" w:name="_GoBack"/>
      <w:r w:rsidR="009B269E">
        <w:rPr>
          <w:rFonts w:eastAsia="MS Gothic"/>
        </w:rPr>
        <w:t xml:space="preserve">A: IHC staining of pEGFR Y1068 (brown) and hematoxylin (blue) in tumor biopsies pre- and post-treatment from 2 patients </w:t>
      </w:r>
      <w:r w:rsidR="009B269E" w:rsidRPr="00A66356">
        <w:rPr>
          <w:rFonts w:eastAsia="MS Gothic"/>
        </w:rPr>
        <w:t>who</w:t>
      </w:r>
      <w:r w:rsidR="009B269E">
        <w:rPr>
          <w:rFonts w:eastAsia="MS Gothic"/>
        </w:rPr>
        <w:t xml:space="preserve"> received 275 mg/m</w:t>
      </w:r>
      <w:r w:rsidR="009B269E" w:rsidRPr="00A66356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of CUDC-101. B: IHC staining and H-score of Ac-H3 (brown) in tumor biopsies pre- and post-treatment from 1 patient </w:t>
      </w:r>
      <w:r w:rsidR="009B269E" w:rsidRPr="004D064E">
        <w:rPr>
          <w:rFonts w:eastAsia="MS Gothic"/>
        </w:rPr>
        <w:t>who</w:t>
      </w:r>
      <w:r w:rsidR="009B269E">
        <w:rPr>
          <w:rFonts w:eastAsia="MS Gothic"/>
        </w:rPr>
        <w:t xml:space="preserve"> received 225 mg/m</w:t>
      </w:r>
      <w:r w:rsidR="009B269E" w:rsidRPr="004D064E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(pt 100-104) and 2 patients </w:t>
      </w:r>
      <w:r w:rsidR="009B269E" w:rsidRPr="004D064E">
        <w:rPr>
          <w:rFonts w:eastAsia="MS Gothic"/>
        </w:rPr>
        <w:t>who</w:t>
      </w:r>
      <w:r w:rsidR="009B269E">
        <w:rPr>
          <w:rFonts w:eastAsia="MS Gothic"/>
        </w:rPr>
        <w:t xml:space="preserve"> received 275 mg/m</w:t>
      </w:r>
      <w:r w:rsidR="009B269E" w:rsidRPr="00A812A1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of CUDC-101 (pt 100-202 &amp; 600-203). C: IHC analysis of Ac-H3 (brown) in skin biopsies prior to </w:t>
      </w:r>
      <w:r w:rsidR="009B269E" w:rsidRPr="004D064E">
        <w:rPr>
          <w:rFonts w:eastAsia="MS Gothic"/>
        </w:rPr>
        <w:t>and</w:t>
      </w:r>
      <w:r w:rsidR="009B269E">
        <w:rPr>
          <w:rFonts w:eastAsia="MS Gothic"/>
        </w:rPr>
        <w:t xml:space="preserve"> post the 1</w:t>
      </w:r>
      <w:r w:rsidR="009B269E" w:rsidRPr="004D064E">
        <w:rPr>
          <w:rFonts w:eastAsia="MS Gothic"/>
          <w:vertAlign w:val="superscript"/>
        </w:rPr>
        <w:t>st</w:t>
      </w:r>
      <w:r w:rsidR="009B269E">
        <w:rPr>
          <w:rFonts w:eastAsia="MS Gothic"/>
        </w:rPr>
        <w:t>, 3</w:t>
      </w:r>
      <w:r w:rsidR="009B269E" w:rsidRPr="004D064E">
        <w:rPr>
          <w:rFonts w:eastAsia="MS Gothic"/>
          <w:vertAlign w:val="superscript"/>
        </w:rPr>
        <w:t>rd</w:t>
      </w:r>
      <w:r w:rsidR="009B269E">
        <w:rPr>
          <w:rFonts w:eastAsia="MS Gothic"/>
        </w:rPr>
        <w:t xml:space="preserve"> and 24</w:t>
      </w:r>
      <w:r w:rsidR="009B269E" w:rsidRPr="004D064E">
        <w:rPr>
          <w:rFonts w:eastAsia="MS Gothic"/>
          <w:vertAlign w:val="superscript"/>
        </w:rPr>
        <w:t>th</w:t>
      </w:r>
      <w:r w:rsidR="009B269E">
        <w:rPr>
          <w:rFonts w:eastAsia="MS Gothic"/>
        </w:rPr>
        <w:t xml:space="preserve"> </w:t>
      </w:r>
      <w:r w:rsidR="009B269E" w:rsidRPr="004D064E">
        <w:rPr>
          <w:rFonts w:eastAsia="MS Gothic"/>
        </w:rPr>
        <w:t>dose</w:t>
      </w:r>
      <w:r w:rsidR="009B269E">
        <w:rPr>
          <w:rFonts w:eastAsia="MS Gothic"/>
        </w:rPr>
        <w:t xml:space="preserve"> of CUDC-101. Representative IHC staining is </w:t>
      </w:r>
      <w:r w:rsidR="009B269E" w:rsidRPr="004D064E">
        <w:rPr>
          <w:rFonts w:eastAsia="MS Gothic"/>
        </w:rPr>
        <w:t>shown</w:t>
      </w:r>
      <w:r w:rsidR="009B269E">
        <w:rPr>
          <w:rFonts w:eastAsia="MS Gothic"/>
        </w:rPr>
        <w:t xml:space="preserve"> on the left and H-score of all 8 patients on the right. All samples are from patients </w:t>
      </w:r>
      <w:r w:rsidR="009B269E" w:rsidRPr="004D064E">
        <w:rPr>
          <w:rFonts w:eastAsia="MS Gothic"/>
        </w:rPr>
        <w:t>who</w:t>
      </w:r>
      <w:r w:rsidR="009B269E">
        <w:rPr>
          <w:rFonts w:eastAsia="MS Gothic"/>
        </w:rPr>
        <w:t xml:space="preserve"> received 275 mg/m</w:t>
      </w:r>
      <w:r w:rsidR="009B269E" w:rsidRPr="00A812A1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CUDC-101. D: Western blot analysis of histone H3 acetylation in PBMCs prior to </w:t>
      </w:r>
      <w:r w:rsidR="009B269E" w:rsidRPr="004D064E">
        <w:rPr>
          <w:rFonts w:eastAsia="MS Gothic"/>
        </w:rPr>
        <w:t>and</w:t>
      </w:r>
      <w:r w:rsidR="009B269E">
        <w:rPr>
          <w:rFonts w:eastAsia="MS Gothic"/>
        </w:rPr>
        <w:t xml:space="preserve"> post the 1</w:t>
      </w:r>
      <w:r w:rsidR="009B269E" w:rsidRPr="00A812A1">
        <w:rPr>
          <w:rFonts w:eastAsia="MS Gothic"/>
          <w:vertAlign w:val="superscript"/>
        </w:rPr>
        <w:t>st</w:t>
      </w:r>
      <w:r w:rsidR="009B269E">
        <w:rPr>
          <w:rFonts w:eastAsia="MS Gothic"/>
        </w:rPr>
        <w:t>, 3</w:t>
      </w:r>
      <w:r w:rsidR="009B269E" w:rsidRPr="00A812A1">
        <w:rPr>
          <w:rFonts w:eastAsia="MS Gothic"/>
          <w:vertAlign w:val="superscript"/>
        </w:rPr>
        <w:t>rd</w:t>
      </w:r>
      <w:r w:rsidR="009B269E">
        <w:rPr>
          <w:rFonts w:eastAsia="MS Gothic"/>
        </w:rPr>
        <w:t xml:space="preserve"> and 24</w:t>
      </w:r>
      <w:r w:rsidR="009B269E" w:rsidRPr="00A812A1">
        <w:rPr>
          <w:rFonts w:eastAsia="MS Gothic"/>
          <w:vertAlign w:val="superscript"/>
        </w:rPr>
        <w:t>th</w:t>
      </w:r>
      <w:r w:rsidR="009B269E">
        <w:rPr>
          <w:rFonts w:eastAsia="MS Gothic"/>
        </w:rPr>
        <w:t xml:space="preserve"> doses of CUDC-101. Representative image is </w:t>
      </w:r>
      <w:r w:rsidR="009B269E" w:rsidRPr="004D064E">
        <w:rPr>
          <w:rFonts w:eastAsia="MS Gothic"/>
        </w:rPr>
        <w:t>shown</w:t>
      </w:r>
      <w:r w:rsidR="009B269E">
        <w:rPr>
          <w:rFonts w:eastAsia="MS Gothic"/>
        </w:rPr>
        <w:t xml:space="preserve"> on the left and quantification of all 7 patients on the right. All samples are from patients </w:t>
      </w:r>
      <w:r w:rsidR="009B269E" w:rsidRPr="004D064E">
        <w:rPr>
          <w:rFonts w:eastAsia="MS Gothic"/>
        </w:rPr>
        <w:t>who</w:t>
      </w:r>
      <w:r w:rsidR="009B269E">
        <w:rPr>
          <w:rFonts w:eastAsia="MS Gothic"/>
        </w:rPr>
        <w:t xml:space="preserve"> received 275 mg/m</w:t>
      </w:r>
      <w:r w:rsidR="009B269E" w:rsidRPr="00A812A1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of CUDC-101. The Ac-H3 to total H3 ratio is normalized to the baseline level of each patient prior to any CUDC-101 treatment. </w:t>
      </w:r>
    </w:p>
    <w:bookmarkEnd w:id="0"/>
    <w:p w:rsidR="00C54BE8" w:rsidRDefault="00C54BE8" w:rsidP="009B269E">
      <w:pPr>
        <w:spacing w:line="480" w:lineRule="auto"/>
        <w:rPr>
          <w:rFonts w:eastAsia="MS Gothic"/>
        </w:rPr>
      </w:pPr>
    </w:p>
    <w:p w:rsidR="009B269E" w:rsidRDefault="00C54BE8" w:rsidP="009B269E">
      <w:pPr>
        <w:spacing w:line="480" w:lineRule="auto"/>
      </w:pPr>
      <w:proofErr w:type="gramStart"/>
      <w:r>
        <w:rPr>
          <w:rFonts w:eastAsia="MS Gothic"/>
        </w:rPr>
        <w:t>Supplemental figure 2</w:t>
      </w:r>
      <w:r w:rsidR="009B269E">
        <w:rPr>
          <w:rFonts w:eastAsia="MS Gothic"/>
        </w:rPr>
        <w:t>.</w:t>
      </w:r>
      <w:proofErr w:type="gramEnd"/>
      <w:r w:rsidR="009B269E">
        <w:rPr>
          <w:rFonts w:eastAsia="MS Gothic"/>
        </w:rPr>
        <w:t xml:space="preserve"> </w:t>
      </w:r>
      <w:proofErr w:type="gramStart"/>
      <w:r w:rsidR="009B269E">
        <w:rPr>
          <w:rFonts w:eastAsia="MS Gothic"/>
        </w:rPr>
        <w:t xml:space="preserve">FISH analysis of </w:t>
      </w:r>
      <w:r w:rsidR="009B269E" w:rsidRPr="004D064E">
        <w:rPr>
          <w:rFonts w:eastAsia="MS Gothic"/>
          <w:i/>
        </w:rPr>
        <w:t>EGFR</w:t>
      </w:r>
      <w:r w:rsidR="009B269E">
        <w:rPr>
          <w:rFonts w:eastAsia="MS Gothic"/>
        </w:rPr>
        <w:t xml:space="preserve"> and </w:t>
      </w:r>
      <w:r w:rsidR="009B269E" w:rsidRPr="004D064E">
        <w:rPr>
          <w:rFonts w:eastAsia="MS Gothic"/>
          <w:i/>
        </w:rPr>
        <w:t>HER2</w:t>
      </w:r>
      <w:r w:rsidR="009B269E">
        <w:rPr>
          <w:rFonts w:eastAsia="MS Gothic"/>
        </w:rPr>
        <w:t xml:space="preserve"> gene amplification in the archival tumor biopsies from 2 patients </w:t>
      </w:r>
      <w:r w:rsidR="009B269E" w:rsidRPr="004D064E">
        <w:rPr>
          <w:rFonts w:eastAsia="MS Gothic"/>
        </w:rPr>
        <w:t>who</w:t>
      </w:r>
      <w:r w:rsidR="009B269E">
        <w:rPr>
          <w:rFonts w:eastAsia="MS Gothic"/>
        </w:rPr>
        <w:t xml:space="preserve"> received 275 mg/m</w:t>
      </w:r>
      <w:r w:rsidR="009B269E" w:rsidRPr="00A812A1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of CUDC-101.</w:t>
      </w:r>
      <w:proofErr w:type="gramEnd"/>
      <w:r w:rsidR="009B269E">
        <w:rPr>
          <w:rFonts w:eastAsia="MS Gothic"/>
        </w:rPr>
        <w:t xml:space="preserve">  </w:t>
      </w:r>
    </w:p>
    <w:p w:rsidR="00C54BE8" w:rsidRDefault="00C54BE8" w:rsidP="009B269E">
      <w:pPr>
        <w:spacing w:line="480" w:lineRule="auto"/>
        <w:rPr>
          <w:rFonts w:eastAsia="MS Gothic"/>
        </w:rPr>
      </w:pPr>
    </w:p>
    <w:p w:rsidR="009B269E" w:rsidRDefault="00C54BE8" w:rsidP="009B269E">
      <w:pPr>
        <w:spacing w:line="480" w:lineRule="auto"/>
      </w:pPr>
      <w:proofErr w:type="gramStart"/>
      <w:r>
        <w:rPr>
          <w:rFonts w:eastAsia="MS Gothic"/>
        </w:rPr>
        <w:t>Supplemental figure 3</w:t>
      </w:r>
      <w:r w:rsidR="009B269E">
        <w:rPr>
          <w:rFonts w:eastAsia="MS Gothic"/>
        </w:rPr>
        <w:t>.</w:t>
      </w:r>
      <w:proofErr w:type="gramEnd"/>
      <w:r w:rsidR="009B269E">
        <w:rPr>
          <w:rFonts w:eastAsia="MS Gothic"/>
        </w:rPr>
        <w:t xml:space="preserve"> </w:t>
      </w:r>
      <w:proofErr w:type="gramStart"/>
      <w:r w:rsidR="009B269E">
        <w:rPr>
          <w:rFonts w:eastAsia="MS Gothic"/>
        </w:rPr>
        <w:t xml:space="preserve">Ac-H3 induction in PBMCs from patients </w:t>
      </w:r>
      <w:r w:rsidR="009B269E" w:rsidRPr="004D064E">
        <w:rPr>
          <w:rFonts w:eastAsia="MS Gothic"/>
        </w:rPr>
        <w:t>with evaluable</w:t>
      </w:r>
      <w:r w:rsidR="009B269E">
        <w:rPr>
          <w:rFonts w:eastAsia="MS Gothic"/>
        </w:rPr>
        <w:t xml:space="preserve"> clinical response.</w:t>
      </w:r>
      <w:proofErr w:type="gramEnd"/>
      <w:r w:rsidR="009B269E">
        <w:rPr>
          <w:rFonts w:eastAsia="MS Gothic"/>
        </w:rPr>
        <w:t xml:space="preserve"> All patients with both evaluable tumor response and PBMC samples are included. The </w:t>
      </w:r>
      <w:r w:rsidR="009B269E" w:rsidRPr="004D064E">
        <w:rPr>
          <w:rFonts w:eastAsia="MS Gothic"/>
        </w:rPr>
        <w:t>greatest</w:t>
      </w:r>
      <w:r w:rsidR="009B269E">
        <w:rPr>
          <w:rFonts w:eastAsia="MS Gothic"/>
        </w:rPr>
        <w:t xml:space="preserve"> Ac-H3 induction after the 1</w:t>
      </w:r>
      <w:r w:rsidR="009B269E" w:rsidRPr="004D064E">
        <w:rPr>
          <w:rFonts w:eastAsia="MS Gothic"/>
          <w:vertAlign w:val="superscript"/>
        </w:rPr>
        <w:t>st</w:t>
      </w:r>
      <w:r w:rsidR="009B269E">
        <w:rPr>
          <w:rFonts w:eastAsia="MS Gothic"/>
        </w:rPr>
        <w:t>, 3</w:t>
      </w:r>
      <w:r w:rsidR="009B269E" w:rsidRPr="004D064E">
        <w:rPr>
          <w:rFonts w:eastAsia="MS Gothic"/>
          <w:vertAlign w:val="superscript"/>
        </w:rPr>
        <w:t>rd</w:t>
      </w:r>
      <w:r w:rsidR="009B269E">
        <w:rPr>
          <w:rFonts w:eastAsia="MS Gothic"/>
        </w:rPr>
        <w:t xml:space="preserve"> or 24</w:t>
      </w:r>
      <w:r w:rsidR="009B269E" w:rsidRPr="004D064E">
        <w:rPr>
          <w:rFonts w:eastAsia="MS Gothic"/>
          <w:vertAlign w:val="superscript"/>
        </w:rPr>
        <w:t>th</w:t>
      </w:r>
      <w:r w:rsidR="009B269E">
        <w:rPr>
          <w:rFonts w:eastAsia="MS Gothic"/>
        </w:rPr>
        <w:t xml:space="preserve"> </w:t>
      </w:r>
      <w:r w:rsidR="009B269E" w:rsidRPr="004D064E">
        <w:rPr>
          <w:rFonts w:eastAsia="MS Gothic"/>
        </w:rPr>
        <w:t>dose</w:t>
      </w:r>
      <w:r w:rsidR="009B269E">
        <w:rPr>
          <w:rFonts w:eastAsia="MS Gothic"/>
        </w:rPr>
        <w:t xml:space="preserve"> of CUDC-101 is included. All </w:t>
      </w:r>
      <w:proofErr w:type="gramStart"/>
      <w:r w:rsidR="009B269E">
        <w:rPr>
          <w:rFonts w:eastAsia="MS Gothic"/>
        </w:rPr>
        <w:t xml:space="preserve">patients </w:t>
      </w:r>
      <w:r w:rsidR="009B269E" w:rsidRPr="004D064E">
        <w:rPr>
          <w:rFonts w:eastAsia="MS Gothic"/>
        </w:rPr>
        <w:t>shown</w:t>
      </w:r>
      <w:proofErr w:type="gramEnd"/>
      <w:r w:rsidR="009B269E">
        <w:rPr>
          <w:rFonts w:eastAsia="MS Gothic"/>
        </w:rPr>
        <w:t xml:space="preserve"> received 275 mg/m</w:t>
      </w:r>
      <w:r w:rsidR="009B269E" w:rsidRPr="00A812A1">
        <w:rPr>
          <w:rFonts w:eastAsia="MS Gothic"/>
          <w:vertAlign w:val="superscript"/>
        </w:rPr>
        <w:t>2</w:t>
      </w:r>
      <w:r w:rsidR="009B269E">
        <w:rPr>
          <w:rFonts w:eastAsia="MS Gothic"/>
        </w:rPr>
        <w:t xml:space="preserve"> of CUDC-101. </w:t>
      </w:r>
    </w:p>
    <w:p w:rsidR="00180B33" w:rsidRDefault="00180B33"/>
    <w:sectPr w:rsidR="00180B33" w:rsidSect="0077760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BD7">
      <w:r>
        <w:separator/>
      </w:r>
    </w:p>
  </w:endnote>
  <w:endnote w:type="continuationSeparator" w:id="0">
    <w:p w:rsidR="00000000" w:rsidRDefault="00A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BD7">
      <w:r>
        <w:separator/>
      </w:r>
    </w:p>
  </w:footnote>
  <w:footnote w:type="continuationSeparator" w:id="0">
    <w:p w:rsidR="00000000" w:rsidRDefault="00A5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64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270" w:rsidRDefault="009B26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AF9" w:rsidRDefault="00A50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9E"/>
    <w:rsid w:val="00180B33"/>
    <w:rsid w:val="009B269E"/>
    <w:rsid w:val="00A50BD7"/>
    <w:rsid w:val="00C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9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9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Thomas</dc:creator>
  <cp:lastModifiedBy>Galloway, Thomas</cp:lastModifiedBy>
  <cp:revision>2</cp:revision>
  <dcterms:created xsi:type="dcterms:W3CDTF">2014-11-03T17:12:00Z</dcterms:created>
  <dcterms:modified xsi:type="dcterms:W3CDTF">2014-11-03T18:28:00Z</dcterms:modified>
</cp:coreProperties>
</file>