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37" w:rsidRPr="00A06F15" w:rsidRDefault="00186437" w:rsidP="0018643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06F15">
        <w:rPr>
          <w:rFonts w:ascii="Times New Roman" w:hAnsi="Times New Roman" w:cs="Times New Roman"/>
          <w:b/>
          <w:sz w:val="24"/>
          <w:szCs w:val="24"/>
          <w:lang w:val="en-US"/>
        </w:rPr>
        <w:t>Supplementary Figure 1.</w:t>
      </w:r>
      <w:proofErr w:type="gramEnd"/>
      <w:r w:rsidRPr="00A06F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6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Quantitative real-time PCR results for the 5'- and 3'-parts of</w:t>
      </w:r>
      <w:r w:rsidRPr="00A06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06F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PRDM10</w:t>
      </w:r>
      <w:r w:rsidRPr="00A06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06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a cohort of 80 soft tissue sarcomas. The</w:t>
      </w:r>
      <w:r w:rsidRPr="00A06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06F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TBP</w:t>
      </w:r>
      <w:r w:rsidRPr="00A06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06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gene was used as endogenous control, and case No. 73 was used as calibrator. The three gene fusion-positive cases of undifferentiated pleomorphic sarcoma (Cases 1, 2, and 27) showed differential expression of the two parts of</w:t>
      </w:r>
      <w:r w:rsidRPr="00A06F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06F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PRDM10</w:t>
      </w:r>
      <w:r w:rsidRPr="00A06F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</w:p>
    <w:p w:rsidR="00EE38CB" w:rsidRPr="00186437" w:rsidRDefault="00EE38CB">
      <w:pPr>
        <w:rPr>
          <w:lang w:val="en-US"/>
        </w:rPr>
      </w:pPr>
      <w:bookmarkStart w:id="0" w:name="_GoBack"/>
      <w:bookmarkEnd w:id="0"/>
    </w:p>
    <w:sectPr w:rsidR="00EE38CB" w:rsidRPr="0018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37"/>
    <w:rsid w:val="00186437"/>
    <w:rsid w:val="00780F85"/>
    <w:rsid w:val="00E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Hofvander</dc:creator>
  <cp:lastModifiedBy>Jakob Hofvander</cp:lastModifiedBy>
  <cp:revision>1</cp:revision>
  <dcterms:created xsi:type="dcterms:W3CDTF">2014-11-04T08:36:00Z</dcterms:created>
  <dcterms:modified xsi:type="dcterms:W3CDTF">2014-11-04T08:37:00Z</dcterms:modified>
</cp:coreProperties>
</file>