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eastAsia="Symbol" w:cs="Arial"/>
          <w:b/>
          <w:sz w:val="22"/>
          <w:szCs w:val="22"/>
        </w:rPr>
      </w:pPr>
      <w:r w:rsidRPr="00634C39">
        <w:rPr>
          <w:rFonts w:eastAsia="Symbol" w:cs="Arial"/>
          <w:b/>
          <w:sz w:val="22"/>
          <w:szCs w:val="22"/>
        </w:rPr>
        <w:t xml:space="preserve">Phase I Study of Intermittent Oral Dosing of the Insulin-Like Growth Factor-1 and Insulin Receptors Inhibitor OSI-906 in Patients With Advanced Solid Tumors 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 w:rsidRPr="00634C39">
        <w:rPr>
          <w:rFonts w:cs="Arial"/>
          <w:sz w:val="22"/>
          <w:szCs w:val="22"/>
        </w:rPr>
        <w:t>Robin L. Jones, Edward S. Kim, Pilar Nava-Parada, Salma Alam, Faye M. Johnson, Andrew W. Stephens, Ronit Simantov, Srinivasu Poondru, Rich Gedrich, Scott M. Lippman, Stan B. Kaye, and Craig P. Carden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b/>
          <w:sz w:val="22"/>
          <w:szCs w:val="22"/>
        </w:rPr>
      </w:pPr>
      <w:r w:rsidRPr="00634C39">
        <w:rPr>
          <w:rFonts w:cs="Arial"/>
          <w:b/>
          <w:sz w:val="22"/>
          <w:szCs w:val="22"/>
        </w:rPr>
        <w:t>Methods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b/>
          <w:sz w:val="22"/>
          <w:szCs w:val="22"/>
        </w:rPr>
      </w:pPr>
      <w:r w:rsidRPr="00634C39">
        <w:rPr>
          <w:rFonts w:cs="Arial"/>
          <w:b/>
          <w:sz w:val="22"/>
          <w:szCs w:val="22"/>
        </w:rPr>
        <w:t>Patients (additional details)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 w:rsidRPr="00634C39">
        <w:rPr>
          <w:rFonts w:cs="Arial"/>
          <w:sz w:val="22"/>
          <w:szCs w:val="22"/>
        </w:rPr>
        <w:t>Patients were not eligible for entry if they had a documented history of diabetes mellitus, significant cardiac disease (unless well controlled), cerebrovascular accident, active seizure disorder</w:t>
      </w:r>
      <w:r w:rsidR="00500178">
        <w:rPr>
          <w:rFonts w:cs="Arial"/>
          <w:sz w:val="22"/>
          <w:szCs w:val="22"/>
        </w:rPr>
        <w:t>,</w:t>
      </w:r>
      <w:r w:rsidRPr="00634C39">
        <w:rPr>
          <w:rFonts w:cs="Arial"/>
          <w:sz w:val="22"/>
          <w:szCs w:val="22"/>
        </w:rPr>
        <w:t xml:space="preserve"> or previously diagnosed brain metastases. 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 w:rsidRPr="00634C39">
        <w:rPr>
          <w:rFonts w:cs="Arial"/>
          <w:sz w:val="22"/>
          <w:szCs w:val="22"/>
        </w:rPr>
        <w:t xml:space="preserve">Drugs with the potential of causing QT interval prolongation and glucocorticoids (with the exception of hormone replacement therapy or inhalers) were discontinued within 14 days prior to </w:t>
      </w:r>
      <w:r w:rsidR="0050017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 xml:space="preserve">ay 1 dosing. Concurrent anticancer therapy was not permitted </w:t>
      </w:r>
      <w:r w:rsidR="00500178">
        <w:rPr>
          <w:rFonts w:cs="Arial"/>
          <w:sz w:val="22"/>
          <w:szCs w:val="22"/>
        </w:rPr>
        <w:t>except</w:t>
      </w:r>
      <w:r w:rsidRPr="00634C39">
        <w:rPr>
          <w:rFonts w:cs="Arial"/>
          <w:sz w:val="22"/>
          <w:szCs w:val="22"/>
        </w:rPr>
        <w:t xml:space="preserve"> for certain types of endocrine therapy in </w:t>
      </w:r>
      <w:r w:rsidR="00500178">
        <w:rPr>
          <w:rFonts w:cs="Arial"/>
          <w:sz w:val="22"/>
          <w:szCs w:val="22"/>
        </w:rPr>
        <w:t>males</w:t>
      </w:r>
      <w:r w:rsidRPr="00634C39">
        <w:rPr>
          <w:rFonts w:cs="Arial"/>
          <w:sz w:val="22"/>
          <w:szCs w:val="22"/>
        </w:rPr>
        <w:t xml:space="preserve"> with prostate cancer.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b/>
          <w:sz w:val="22"/>
          <w:szCs w:val="22"/>
        </w:rPr>
      </w:pPr>
      <w:r w:rsidRPr="00634C39">
        <w:rPr>
          <w:rFonts w:cs="Arial"/>
          <w:b/>
          <w:sz w:val="22"/>
          <w:szCs w:val="22"/>
        </w:rPr>
        <w:t>Pharmacodynamics (additional details)</w:t>
      </w:r>
    </w:p>
    <w:p w:rsidR="006336D0" w:rsidRPr="00500178" w:rsidRDefault="00634C39" w:rsidP="002478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cs="Arial"/>
          <w:sz w:val="22"/>
          <w:szCs w:val="22"/>
        </w:rPr>
      </w:pPr>
      <w:r w:rsidRPr="00634C39">
        <w:rPr>
          <w:rFonts w:cs="Arial"/>
          <w:sz w:val="22"/>
          <w:szCs w:val="22"/>
        </w:rPr>
        <w:t>For peripheral blood mononuclear cell (PBMC) isolation, 8</w:t>
      </w:r>
      <w:r w:rsidR="00500178">
        <w:rPr>
          <w:rFonts w:cs="Arial"/>
          <w:sz w:val="22"/>
          <w:szCs w:val="22"/>
        </w:rPr>
        <w:t>-</w:t>
      </w:r>
      <w:r w:rsidRPr="00634C39">
        <w:rPr>
          <w:rFonts w:cs="Arial"/>
          <w:sz w:val="22"/>
          <w:szCs w:val="22"/>
        </w:rPr>
        <w:t>mL samples were collected into CPT vacutainer tubes (Becton, Dickinson and Company</w:t>
      </w:r>
      <w:r w:rsidR="00500178">
        <w:rPr>
          <w:rFonts w:cs="Arial"/>
          <w:sz w:val="22"/>
          <w:szCs w:val="22"/>
        </w:rPr>
        <w:t xml:space="preserve">; </w:t>
      </w:r>
      <w:r w:rsidR="00C76DF9">
        <w:rPr>
          <w:rFonts w:cs="Arial"/>
          <w:sz w:val="22"/>
          <w:szCs w:val="22"/>
        </w:rPr>
        <w:t>Franklin Lakes, NJ</w:t>
      </w:r>
      <w:r w:rsidRPr="00634C39">
        <w:rPr>
          <w:rFonts w:cs="Arial"/>
          <w:sz w:val="22"/>
          <w:szCs w:val="22"/>
        </w:rPr>
        <w:t>) containing sodium heparin as an anticoagulant. PBMCs were isolated by centrifugation at 1500 </w:t>
      </w:r>
      <w:r w:rsidR="00C76DF9">
        <w:rPr>
          <w:rFonts w:cs="Arial"/>
          <w:sz w:val="22"/>
          <w:szCs w:val="22"/>
        </w:rPr>
        <w:t>×</w:t>
      </w:r>
      <w:r w:rsidRPr="00634C39">
        <w:rPr>
          <w:rFonts w:cs="Arial"/>
          <w:sz w:val="22"/>
          <w:szCs w:val="22"/>
        </w:rPr>
        <w:t xml:space="preserve"> g for 20 minutes at room temperature in a centrifuge with a swinging bucket rotor. The cell layer was resuspended in a final volume of 10 mL in phosphate-buffered saline containing 0.1% </w:t>
      </w:r>
      <w:r w:rsidR="006336D0" w:rsidRPr="0024789F">
        <w:rPr>
          <w:rFonts w:cs="Arial"/>
        </w:rPr>
        <w:t>BSA</w:t>
      </w:r>
      <w:r w:rsidRPr="00634C39">
        <w:rPr>
          <w:rFonts w:cs="Arial"/>
          <w:sz w:val="22"/>
          <w:szCs w:val="22"/>
        </w:rPr>
        <w:t xml:space="preserve"> 2 mM </w:t>
      </w:r>
      <w:r w:rsidR="00BB1ACA">
        <w:rPr>
          <w:rFonts w:cs="Arial"/>
          <w:sz w:val="22"/>
          <w:szCs w:val="22"/>
        </w:rPr>
        <w:t xml:space="preserve">EDTA </w:t>
      </w:r>
      <w:r w:rsidRPr="00634C39">
        <w:rPr>
          <w:rFonts w:cs="Arial"/>
          <w:sz w:val="22"/>
          <w:szCs w:val="22"/>
        </w:rPr>
        <w:t>and then centrifuged at 300 </w:t>
      </w:r>
      <w:r w:rsidR="00C76DF9">
        <w:rPr>
          <w:rFonts w:cs="Arial"/>
          <w:sz w:val="22"/>
          <w:szCs w:val="22"/>
        </w:rPr>
        <w:t>×</w:t>
      </w:r>
      <w:r w:rsidRPr="00634C39">
        <w:rPr>
          <w:rFonts w:cs="Arial"/>
          <w:sz w:val="22"/>
          <w:szCs w:val="22"/>
        </w:rPr>
        <w:t> g for 10 minutes at room temperature. The supernatant was removed</w:t>
      </w:r>
      <w:r w:rsidR="00C76DF9">
        <w:rPr>
          <w:rFonts w:cs="Arial"/>
          <w:sz w:val="22"/>
          <w:szCs w:val="22"/>
        </w:rPr>
        <w:t>,</w:t>
      </w:r>
      <w:r w:rsidRPr="00634C39">
        <w:rPr>
          <w:rFonts w:cs="Arial"/>
          <w:sz w:val="22"/>
          <w:szCs w:val="22"/>
        </w:rPr>
        <w:t xml:space="preserve"> and the cell pellets were stored at </w:t>
      </w:r>
      <w:r w:rsidR="00C76DF9" w:rsidRPr="00C76DF9">
        <w:rPr>
          <w:rFonts w:cs="Arial"/>
          <w:sz w:val="22"/>
          <w:szCs w:val="22"/>
        </w:rPr>
        <w:t>–</w:t>
      </w:r>
      <w:r w:rsidRPr="00634C39">
        <w:rPr>
          <w:rFonts w:cs="Arial"/>
          <w:sz w:val="22"/>
          <w:szCs w:val="22"/>
        </w:rPr>
        <w:t>80</w:t>
      </w:r>
      <w:r w:rsidRPr="00634C39">
        <w:rPr>
          <w:rFonts w:cs="Arial"/>
          <w:sz w:val="22"/>
          <w:szCs w:val="22"/>
          <w:vertAlign w:val="superscript"/>
        </w:rPr>
        <w:t>o</w:t>
      </w:r>
      <w:r w:rsidRPr="00634C39">
        <w:rPr>
          <w:rFonts w:cs="Arial"/>
          <w:sz w:val="22"/>
          <w:szCs w:val="22"/>
        </w:rPr>
        <w:t xml:space="preserve">C until analysis. Cells were </w:t>
      </w:r>
      <w:bookmarkStart w:id="0" w:name="_GoBack"/>
      <w:bookmarkEnd w:id="0"/>
      <w:r w:rsidRPr="00634C39">
        <w:rPr>
          <w:rFonts w:cs="Arial"/>
          <w:sz w:val="22"/>
          <w:szCs w:val="22"/>
        </w:rPr>
        <w:t>lysed with RIPA Buffer (Upstate/Millipore</w:t>
      </w:r>
      <w:r w:rsidR="00C76DF9" w:rsidRPr="00C76DF9">
        <w:rPr>
          <w:rFonts w:cs="Arial"/>
          <w:sz w:val="22"/>
          <w:szCs w:val="22"/>
        </w:rPr>
        <w:t xml:space="preserve">, </w:t>
      </w:r>
      <w:r w:rsidRPr="00634C39">
        <w:rPr>
          <w:rStyle w:val="st"/>
          <w:sz w:val="22"/>
          <w:szCs w:val="22"/>
        </w:rPr>
        <w:t>Billerica, MA</w:t>
      </w:r>
      <w:r w:rsidRPr="00634C39">
        <w:rPr>
          <w:rFonts w:cs="Arial"/>
          <w:sz w:val="22"/>
          <w:szCs w:val="22"/>
        </w:rPr>
        <w:t>) plus protease and phosphatase inhibitors (diluted 1:100; Sigma) and 1</w:t>
      </w:r>
      <w:r w:rsidR="00C76DF9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 xml:space="preserve">mM </w:t>
      </w:r>
      <w:r w:rsidR="00C76DF9">
        <w:rPr>
          <w:rFonts w:cs="Arial"/>
          <w:sz w:val="22"/>
          <w:szCs w:val="22"/>
        </w:rPr>
        <w:t>v</w:t>
      </w:r>
      <w:r w:rsidRPr="00634C39">
        <w:rPr>
          <w:rFonts w:cs="Arial"/>
          <w:sz w:val="22"/>
          <w:szCs w:val="22"/>
        </w:rPr>
        <w:t>anadate. Insulin-like growth factor-</w:t>
      </w:r>
      <w:r w:rsidRPr="00634C39">
        <w:rPr>
          <w:rFonts w:cs="Arial"/>
          <w:sz w:val="22"/>
          <w:szCs w:val="22"/>
        </w:rPr>
        <w:lastRenderedPageBreak/>
        <w:t>1 receptor (IGF-1R) and insulin receptor (IR) phosphorylation were measured using the Proteome Profiler Human Phospho-RTK Array Kit (catalog no. ARY001</w:t>
      </w:r>
      <w:r w:rsidR="007408A8">
        <w:rPr>
          <w:rFonts w:cs="Arial"/>
          <w:sz w:val="22"/>
          <w:szCs w:val="22"/>
        </w:rPr>
        <w:t xml:space="preserve">; </w:t>
      </w:r>
      <w:r w:rsidR="007408A8" w:rsidRPr="00801BB3">
        <w:rPr>
          <w:rFonts w:cs="Arial"/>
          <w:sz w:val="22"/>
          <w:szCs w:val="22"/>
        </w:rPr>
        <w:t xml:space="preserve">R&amp;D </w:t>
      </w:r>
      <w:r w:rsidR="007408A8" w:rsidRPr="007408A8">
        <w:rPr>
          <w:rFonts w:cs="Arial"/>
          <w:sz w:val="22"/>
          <w:szCs w:val="22"/>
        </w:rPr>
        <w:t xml:space="preserve">Systems, </w:t>
      </w:r>
      <w:r w:rsidRPr="00634C39">
        <w:rPr>
          <w:rFonts w:eastAsia="Times-Roman" w:cs="Arial"/>
          <w:color w:val="231F20"/>
          <w:sz w:val="22"/>
          <w:szCs w:val="22"/>
        </w:rPr>
        <w:t>Minneapolis, MN</w:t>
      </w:r>
      <w:r w:rsidRPr="00634C39">
        <w:rPr>
          <w:rFonts w:cs="Arial"/>
          <w:sz w:val="22"/>
          <w:szCs w:val="22"/>
        </w:rPr>
        <w:t>). The phosphorylated IGF-1R and IR signals were quantified by digital assessment of pixel density using Image Gauge 4.0 software (</w:t>
      </w:r>
      <w:r w:rsidR="007408A8" w:rsidRPr="007408A8">
        <w:rPr>
          <w:rFonts w:cs="Arial"/>
          <w:sz w:val="22"/>
          <w:szCs w:val="22"/>
        </w:rPr>
        <w:t>Fujifilm</w:t>
      </w:r>
      <w:r w:rsidR="007408A8">
        <w:rPr>
          <w:rFonts w:cs="Arial"/>
          <w:sz w:val="22"/>
          <w:szCs w:val="22"/>
        </w:rPr>
        <w:t xml:space="preserve"> Science Lab</w:t>
      </w:r>
      <w:r w:rsidR="007408A8" w:rsidRPr="007408A8">
        <w:rPr>
          <w:rFonts w:cs="Arial"/>
          <w:sz w:val="22"/>
          <w:szCs w:val="22"/>
        </w:rPr>
        <w:t xml:space="preserve">, </w:t>
      </w:r>
      <w:r w:rsidRPr="00634C39">
        <w:rPr>
          <w:rStyle w:val="st"/>
          <w:sz w:val="22"/>
          <w:szCs w:val="22"/>
        </w:rPr>
        <w:t>Tokyo, Japan</w:t>
      </w:r>
      <w:r w:rsidRPr="00634C39">
        <w:rPr>
          <w:rFonts w:cs="Arial"/>
          <w:sz w:val="22"/>
          <w:szCs w:val="22"/>
        </w:rPr>
        <w:t xml:space="preserve">). Pixel densities for phosphorylated IGF-1R and IR and a representative </w:t>
      </w:r>
      <w:r w:rsidR="007408A8">
        <w:rPr>
          <w:rFonts w:cs="Arial"/>
          <w:sz w:val="22"/>
          <w:szCs w:val="22"/>
        </w:rPr>
        <w:t>immunoglobulin G (</w:t>
      </w:r>
      <w:r w:rsidRPr="00634C39">
        <w:rPr>
          <w:rFonts w:cs="Arial"/>
          <w:sz w:val="22"/>
          <w:szCs w:val="22"/>
        </w:rPr>
        <w:t>IgG</w:t>
      </w:r>
      <w:r w:rsidR="007408A8">
        <w:rPr>
          <w:rFonts w:cs="Arial"/>
          <w:sz w:val="22"/>
          <w:szCs w:val="22"/>
        </w:rPr>
        <w:t>)–</w:t>
      </w:r>
      <w:r w:rsidRPr="00634C39">
        <w:rPr>
          <w:rFonts w:cs="Arial"/>
          <w:sz w:val="22"/>
          <w:szCs w:val="22"/>
        </w:rPr>
        <w:t>negative control were normalized to local background in adjacent areas of the blot. IgG</w:t>
      </w:r>
      <w:r w:rsidR="007408A8">
        <w:rPr>
          <w:rFonts w:cs="Arial"/>
          <w:sz w:val="22"/>
          <w:szCs w:val="22"/>
        </w:rPr>
        <w:t>-</w:t>
      </w:r>
      <w:r w:rsidRPr="00634C39">
        <w:rPr>
          <w:rFonts w:cs="Arial"/>
          <w:sz w:val="22"/>
          <w:szCs w:val="22"/>
        </w:rPr>
        <w:t xml:space="preserve">negative control signals (assay background) were assigned a value of </w:t>
      </w:r>
      <w:r w:rsidR="007408A8">
        <w:rPr>
          <w:rFonts w:cs="Arial"/>
          <w:sz w:val="22"/>
          <w:szCs w:val="22"/>
        </w:rPr>
        <w:t>“</w:t>
      </w:r>
      <w:r w:rsidRPr="00634C39">
        <w:rPr>
          <w:rFonts w:cs="Arial"/>
          <w:sz w:val="22"/>
          <w:szCs w:val="22"/>
        </w:rPr>
        <w:t>1</w:t>
      </w:r>
      <w:r w:rsidR="007408A8">
        <w:rPr>
          <w:rFonts w:cs="Arial"/>
          <w:sz w:val="22"/>
          <w:szCs w:val="22"/>
        </w:rPr>
        <w:t xml:space="preserve">,” </w:t>
      </w:r>
      <w:r w:rsidRPr="00634C39">
        <w:rPr>
          <w:rFonts w:cs="Arial"/>
          <w:sz w:val="22"/>
          <w:szCs w:val="22"/>
        </w:rPr>
        <w:t>and phosphorylated IGF-1R and IR signals intensities were then reported relative to the assay background. Patients with detectable predose phospho</w:t>
      </w:r>
      <w:r w:rsidR="007408A8">
        <w:rPr>
          <w:rFonts w:cs="Arial"/>
          <w:sz w:val="22"/>
          <w:szCs w:val="22"/>
        </w:rPr>
        <w:t xml:space="preserve">rylated </w:t>
      </w:r>
      <w:r w:rsidRPr="00634C39">
        <w:rPr>
          <w:rFonts w:cs="Arial"/>
          <w:sz w:val="22"/>
          <w:szCs w:val="22"/>
        </w:rPr>
        <w:t>IGF-1R (p-IGF-1R) and phospho</w:t>
      </w:r>
      <w:r w:rsidR="007408A8">
        <w:rPr>
          <w:rFonts w:cs="Arial"/>
          <w:sz w:val="22"/>
          <w:szCs w:val="22"/>
        </w:rPr>
        <w:t>rylated</w:t>
      </w:r>
      <w:r w:rsidRPr="00634C39">
        <w:rPr>
          <w:rFonts w:cs="Arial"/>
          <w:sz w:val="22"/>
          <w:szCs w:val="22"/>
        </w:rPr>
        <w:t>-IR (p-IR) signals in PBMCs (signal intensity ≥</w:t>
      </w:r>
      <w:r w:rsidR="007408A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 xml:space="preserve">2) were included in subsequent analyses. Preclinical studies had determined that only a subset of individuals (~50%) had detectable levels of </w:t>
      </w:r>
      <w:r w:rsidR="007408A8">
        <w:rPr>
          <w:rFonts w:cs="Arial"/>
          <w:sz w:val="22"/>
          <w:szCs w:val="22"/>
        </w:rPr>
        <w:t>p</w:t>
      </w:r>
      <w:r w:rsidR="00932509">
        <w:rPr>
          <w:rFonts w:cs="Arial"/>
          <w:sz w:val="22"/>
          <w:szCs w:val="22"/>
        </w:rPr>
        <w:t>-</w:t>
      </w:r>
      <w:r w:rsidRPr="00634C39">
        <w:rPr>
          <w:rFonts w:cs="Arial"/>
          <w:sz w:val="22"/>
          <w:szCs w:val="22"/>
        </w:rPr>
        <w:t xml:space="preserve">IGF-1R and </w:t>
      </w:r>
      <w:r w:rsidR="007408A8">
        <w:rPr>
          <w:rFonts w:cs="Arial"/>
          <w:sz w:val="22"/>
          <w:szCs w:val="22"/>
        </w:rPr>
        <w:t>p</w:t>
      </w:r>
      <w:r w:rsidR="00932509">
        <w:rPr>
          <w:rFonts w:cs="Arial"/>
          <w:sz w:val="22"/>
          <w:szCs w:val="22"/>
        </w:rPr>
        <w:t>-</w:t>
      </w:r>
      <w:r w:rsidRPr="00634C39">
        <w:rPr>
          <w:rFonts w:cs="Arial"/>
          <w:sz w:val="22"/>
          <w:szCs w:val="22"/>
        </w:rPr>
        <w:t xml:space="preserve">IR in PBMCs and that this phosphorylation could be modulated by treatment of PBMCs </w:t>
      </w:r>
      <w:r w:rsidRPr="00634C39">
        <w:rPr>
          <w:rFonts w:cs="Arial"/>
          <w:i/>
          <w:sz w:val="22"/>
          <w:szCs w:val="22"/>
        </w:rPr>
        <w:t>ex vivo</w:t>
      </w:r>
      <w:r w:rsidRPr="00634C39">
        <w:rPr>
          <w:rFonts w:cs="Arial"/>
          <w:sz w:val="22"/>
          <w:szCs w:val="22"/>
        </w:rPr>
        <w:t xml:space="preserve"> with OSI-906.</w:t>
      </w:r>
    </w:p>
    <w:p w:rsidR="00A20658" w:rsidRDefault="00634C39" w:rsidP="005001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  <w:sectPr w:rsidR="00A20658" w:rsidSect="00D8772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34C39">
        <w:rPr>
          <w:rFonts w:cs="Arial"/>
          <w:sz w:val="22"/>
          <w:szCs w:val="22"/>
        </w:rPr>
        <w:t>For plasma preparation, 5</w:t>
      </w:r>
      <w:r w:rsidR="007408A8" w:rsidRPr="007408A8">
        <w:rPr>
          <w:rFonts w:cs="Arial"/>
          <w:sz w:val="22"/>
          <w:szCs w:val="22"/>
        </w:rPr>
        <w:t>-</w:t>
      </w:r>
      <w:r w:rsidRPr="00634C39">
        <w:rPr>
          <w:rFonts w:cs="Arial"/>
          <w:sz w:val="22"/>
          <w:szCs w:val="22"/>
        </w:rPr>
        <w:t xml:space="preserve">mL samples were collected into a </w:t>
      </w:r>
      <w:r w:rsidR="007408A8" w:rsidRPr="007408A8">
        <w:rPr>
          <w:rFonts w:cs="Arial"/>
          <w:sz w:val="22"/>
          <w:szCs w:val="22"/>
        </w:rPr>
        <w:t>V</w:t>
      </w:r>
      <w:r w:rsidRPr="00634C39">
        <w:rPr>
          <w:rFonts w:cs="Arial"/>
          <w:sz w:val="22"/>
          <w:szCs w:val="22"/>
        </w:rPr>
        <w:t xml:space="preserve">acutainer tube containing </w:t>
      </w:r>
      <w:r w:rsidR="0024789F">
        <w:rPr>
          <w:rStyle w:val="st"/>
          <w:sz w:val="22"/>
          <w:szCs w:val="22"/>
        </w:rPr>
        <w:t>EDTA</w:t>
      </w:r>
      <w:r w:rsidR="007408A8" w:rsidRPr="007408A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 xml:space="preserve">and centrifuged (1500–2000 g for 10 minutes under refrigeration) within 30 minutes of collection. Aliquots were stored at </w:t>
      </w:r>
      <w:r w:rsidR="007408A8">
        <w:rPr>
          <w:rFonts w:cs="Arial"/>
          <w:sz w:val="22"/>
          <w:szCs w:val="22"/>
        </w:rPr>
        <w:t>–</w:t>
      </w:r>
      <w:r w:rsidRPr="00634C39">
        <w:rPr>
          <w:rFonts w:cs="Arial"/>
          <w:sz w:val="22"/>
          <w:szCs w:val="22"/>
        </w:rPr>
        <w:t>80</w:t>
      </w:r>
      <w:r w:rsidRPr="00634C39">
        <w:rPr>
          <w:rFonts w:cs="Arial"/>
          <w:sz w:val="22"/>
          <w:szCs w:val="22"/>
          <w:vertAlign w:val="superscript"/>
        </w:rPr>
        <w:t>o</w:t>
      </w:r>
      <w:r w:rsidRPr="00634C39">
        <w:rPr>
          <w:rFonts w:cs="Arial"/>
          <w:sz w:val="22"/>
          <w:szCs w:val="22"/>
        </w:rPr>
        <w:t>C. Total plasma IGF-1 concentrations were determined with the Total IGF-1 ELISA Kit (</w:t>
      </w:r>
      <w:r w:rsidR="007408A8" w:rsidRPr="00673B4C">
        <w:rPr>
          <w:rFonts w:cs="Arial"/>
          <w:sz w:val="22"/>
          <w:szCs w:val="22"/>
        </w:rPr>
        <w:t>catalog no. 10-5600</w:t>
      </w:r>
      <w:r w:rsidR="007408A8">
        <w:rPr>
          <w:rFonts w:cs="Arial"/>
          <w:sz w:val="22"/>
          <w:szCs w:val="22"/>
        </w:rPr>
        <w:t xml:space="preserve">; </w:t>
      </w:r>
      <w:r w:rsidRPr="00634C39">
        <w:rPr>
          <w:rFonts w:cs="Arial"/>
          <w:sz w:val="22"/>
          <w:szCs w:val="22"/>
        </w:rPr>
        <w:t>DSL/Beckman Coulter,</w:t>
      </w:r>
      <w:r w:rsidR="007408A8" w:rsidRPr="007408A8">
        <w:rPr>
          <w:rFonts w:cs="Arial"/>
          <w:sz w:val="22"/>
          <w:szCs w:val="22"/>
        </w:rPr>
        <w:t xml:space="preserve"> </w:t>
      </w:r>
      <w:r w:rsidRPr="00634C39">
        <w:rPr>
          <w:rStyle w:val="st"/>
          <w:sz w:val="22"/>
          <w:szCs w:val="22"/>
        </w:rPr>
        <w:t>Webster TX</w:t>
      </w:r>
      <w:r w:rsidRPr="00634C39">
        <w:rPr>
          <w:rFonts w:cs="Arial"/>
          <w:sz w:val="22"/>
          <w:szCs w:val="22"/>
        </w:rPr>
        <w:t>) according to the manufacturer’s protocol. Intra- and interassay coefficients of variation (CVs) were determined to be &lt;</w:t>
      </w:r>
      <w:r w:rsidR="007408A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>9% and &lt;</w:t>
      </w:r>
      <w:r w:rsidR="007408A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>7%, respectively. Intraday (plate-to-plate) and interday assay CVs were determined to be &lt;</w:t>
      </w:r>
      <w:r w:rsidR="007408A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>6% and &lt;</w:t>
      </w:r>
      <w:r w:rsidR="007408A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 xml:space="preserve">17%, respectively. Substantial intersubject variability has been reported in plasma </w:t>
      </w:r>
      <w:r w:rsidR="007408A8" w:rsidRPr="00801BB3">
        <w:rPr>
          <w:rFonts w:cs="Arial"/>
          <w:sz w:val="22"/>
          <w:szCs w:val="22"/>
        </w:rPr>
        <w:t xml:space="preserve">insulin-like growth factor 1 </w:t>
      </w:r>
      <w:r w:rsidR="007408A8">
        <w:rPr>
          <w:rFonts w:cs="Arial"/>
          <w:sz w:val="22"/>
          <w:szCs w:val="22"/>
        </w:rPr>
        <w:t>(</w:t>
      </w:r>
      <w:r w:rsidRPr="00634C39">
        <w:rPr>
          <w:rFonts w:cs="Arial"/>
          <w:sz w:val="22"/>
          <w:szCs w:val="22"/>
        </w:rPr>
        <w:t>IGF-1</w:t>
      </w:r>
      <w:r w:rsidR="007408A8">
        <w:rPr>
          <w:rFonts w:cs="Arial"/>
          <w:sz w:val="22"/>
          <w:szCs w:val="22"/>
        </w:rPr>
        <w:t>)</w:t>
      </w:r>
      <w:r w:rsidRPr="00634C39">
        <w:rPr>
          <w:rFonts w:cs="Arial"/>
          <w:sz w:val="22"/>
          <w:szCs w:val="22"/>
        </w:rPr>
        <w:t xml:space="preserve"> concentrations in healthy individuals and cancer patients. To facilitate interpatient comparisons in this study, IGF-1 concentrations were normalized to </w:t>
      </w:r>
      <w:r w:rsidR="007408A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>ay 1 predose levels and expressed as a percentage of the predose value (% predose). Intrasubject variability was assessed in serial blood samples collected from healthy volunteers. The CV was determined to be &lt;</w:t>
      </w:r>
      <w:r w:rsidR="00A20658">
        <w:rPr>
          <w:rFonts w:cs="Arial"/>
          <w:sz w:val="22"/>
          <w:szCs w:val="22"/>
        </w:rPr>
        <w:t xml:space="preserve"> </w:t>
      </w:r>
      <w:r w:rsidRPr="00634C39">
        <w:rPr>
          <w:rFonts w:cs="Arial"/>
          <w:sz w:val="22"/>
          <w:szCs w:val="22"/>
        </w:rPr>
        <w:t xml:space="preserve">15% and was utilized as a guide to indicate substantial changes in plasma IGF-1 concentrations relative to predose values as indicated (predose set as 100% + two intrasubject CVs [30%]). Relationships between plasma IGF-1 and plasma </w:t>
      </w:r>
      <w:r w:rsidRPr="00634C39">
        <w:rPr>
          <w:rFonts w:cs="Arial"/>
          <w:sz w:val="22"/>
          <w:szCs w:val="22"/>
        </w:rPr>
        <w:lastRenderedPageBreak/>
        <w:t>concentrations of OSI-906 were also assessed. Curve fitting was performed by nonlinear regression analysis (GraphPad Prism 5, GraphPad Software, Inc.</w:t>
      </w:r>
      <w:r w:rsidR="00A20658">
        <w:rPr>
          <w:rFonts w:cs="Arial"/>
          <w:sz w:val="22"/>
          <w:szCs w:val="22"/>
        </w:rPr>
        <w:t>, La Jolla, CA</w:t>
      </w:r>
      <w:r w:rsidRPr="00634C39">
        <w:rPr>
          <w:rFonts w:cs="Arial"/>
          <w:sz w:val="22"/>
          <w:szCs w:val="22"/>
        </w:rPr>
        <w:t>).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b/>
          <w:sz w:val="22"/>
          <w:szCs w:val="22"/>
        </w:rPr>
      </w:pPr>
      <w:r w:rsidRPr="00634C39">
        <w:rPr>
          <w:rFonts w:cs="Arial"/>
          <w:b/>
          <w:sz w:val="22"/>
          <w:szCs w:val="22"/>
        </w:rPr>
        <w:lastRenderedPageBreak/>
        <w:t xml:space="preserve">Results (additional results) </w:t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b/>
          <w:sz w:val="22"/>
          <w:szCs w:val="22"/>
        </w:rPr>
      </w:pPr>
      <w:r w:rsidRPr="00634C39">
        <w:rPr>
          <w:rFonts w:cs="Arial"/>
          <w:b/>
          <w:sz w:val="22"/>
          <w:szCs w:val="22"/>
        </w:rPr>
        <w:t xml:space="preserve">Table 1. </w:t>
      </w:r>
      <w:r w:rsidRPr="00634C39">
        <w:rPr>
          <w:rFonts w:cs="Arial"/>
          <w:sz w:val="22"/>
          <w:szCs w:val="22"/>
        </w:rPr>
        <w:t>Ratio of area under the curve during the time interval between consecutive</w:t>
      </w:r>
      <w:r w:rsidRPr="00634C39">
        <w:rPr>
          <w:rFonts w:cs="Arial"/>
          <w:sz w:val="22"/>
          <w:szCs w:val="22"/>
          <w:vertAlign w:val="subscript"/>
        </w:rPr>
        <w:t xml:space="preserve"> </w:t>
      </w:r>
      <w:r w:rsidRPr="00634C39">
        <w:rPr>
          <w:rFonts w:cs="Arial"/>
          <w:sz w:val="22"/>
          <w:szCs w:val="22"/>
        </w:rPr>
        <w:t>dosing (AUC</w:t>
      </w:r>
      <w:r w:rsidRPr="00634C39">
        <w:rPr>
          <w:rFonts w:cs="Arial"/>
          <w:sz w:val="22"/>
          <w:szCs w:val="22"/>
          <w:vertAlign w:val="subscript"/>
        </w:rPr>
        <w:t>tau</w:t>
      </w:r>
      <w:r w:rsidRPr="00634C39">
        <w:rPr>
          <w:rFonts w:cs="Arial"/>
          <w:sz w:val="22"/>
          <w:szCs w:val="22"/>
        </w:rPr>
        <w:t xml:space="preserve">) on </w:t>
      </w:r>
      <w:r w:rsidR="00A2065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>ay 3 to AUC</w:t>
      </w:r>
      <w:r w:rsidRPr="00634C39">
        <w:rPr>
          <w:rFonts w:cs="Arial"/>
          <w:sz w:val="22"/>
          <w:szCs w:val="22"/>
          <w:vertAlign w:val="subscript"/>
        </w:rPr>
        <w:t>tau</w:t>
      </w:r>
      <w:r w:rsidRPr="00634C39">
        <w:rPr>
          <w:rFonts w:cs="Arial"/>
          <w:sz w:val="22"/>
          <w:szCs w:val="22"/>
        </w:rPr>
        <w:t xml:space="preserve"> on </w:t>
      </w:r>
      <w:r w:rsidR="00A2065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>ay 1 (schedule 1 [S1])</w:t>
      </w:r>
      <w:r w:rsidRPr="00634C39">
        <w:rPr>
          <w:rFonts w:cs="Arial"/>
          <w:b/>
          <w:sz w:val="22"/>
          <w:szCs w:val="22"/>
        </w:rPr>
        <w:t xml:space="preserve"> </w:t>
      </w:r>
    </w:p>
    <w:tbl>
      <w:tblPr>
        <w:tblStyle w:val="TableGrid"/>
        <w:tblW w:w="15228" w:type="dxa"/>
        <w:tblBorders>
          <w:bottom w:val="single" w:sz="12" w:space="0" w:color="auto"/>
        </w:tblBorders>
        <w:tblLayout w:type="fixed"/>
        <w:tblLook w:val="06A0"/>
      </w:tblPr>
      <w:tblGrid>
        <w:gridCol w:w="1548"/>
        <w:gridCol w:w="1530"/>
        <w:gridCol w:w="1530"/>
        <w:gridCol w:w="1530"/>
        <w:gridCol w:w="1530"/>
        <w:gridCol w:w="1350"/>
        <w:gridCol w:w="1350"/>
        <w:gridCol w:w="1530"/>
        <w:gridCol w:w="1710"/>
        <w:gridCol w:w="1620"/>
      </w:tblGrid>
      <w:tr w:rsidR="00A20658" w:rsidRPr="00A20658" w:rsidTr="00A20658"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F3377" w:rsidRPr="00500178" w:rsidRDefault="004F3377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68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F3377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OSI-906 </w:t>
            </w:r>
            <w:r w:rsidR="00A20658">
              <w:rPr>
                <w:rFonts w:cs="Arial"/>
                <w:b/>
                <w:sz w:val="22"/>
                <w:szCs w:val="22"/>
              </w:rPr>
              <w:t>d</w:t>
            </w:r>
            <w:r w:rsidRPr="00634C39">
              <w:rPr>
                <w:rFonts w:cs="Arial"/>
                <w:b/>
                <w:sz w:val="22"/>
                <w:szCs w:val="22"/>
              </w:rPr>
              <w:t>ose (mg)</w:t>
            </w:r>
          </w:p>
        </w:tc>
      </w:tr>
      <w:tr w:rsidR="00A20658" w:rsidRPr="00A20658" w:rsidTr="00A20658"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11E4" w:rsidRPr="00500178" w:rsidRDefault="005E11E4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40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80</w:t>
            </w:r>
          </w:p>
        </w:tc>
        <w:tc>
          <w:tcPr>
            <w:tcW w:w="135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150</w:t>
            </w:r>
          </w:p>
        </w:tc>
        <w:tc>
          <w:tcPr>
            <w:tcW w:w="135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300*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450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600</w:t>
            </w:r>
          </w:p>
        </w:tc>
        <w:tc>
          <w:tcPr>
            <w:tcW w:w="1620" w:type="dxa"/>
            <w:tcBorders>
              <w:left w:val="nil"/>
              <w:bottom w:val="single" w:sz="12" w:space="0" w:color="auto"/>
              <w:right w:val="nil"/>
            </w:tcBorders>
          </w:tcPr>
          <w:p w:rsidR="005E11E4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750</w:t>
            </w:r>
          </w:p>
        </w:tc>
      </w:tr>
      <w:tr w:rsidR="00A20658" w:rsidRPr="00A20658" w:rsidTr="00A20658"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Evaluable, </w:t>
            </w:r>
            <w:r w:rsidRPr="00634C39">
              <w:rPr>
                <w:rFonts w:cs="Arial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4</w:t>
            </w:r>
          </w:p>
        </w:tc>
      </w:tr>
      <w:tr w:rsidR="00A20658" w:rsidRPr="00A20658" w:rsidTr="00A20658"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634C39" w:rsidP="00634C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Geometric mean </w:t>
            </w:r>
          </w:p>
          <w:p w:rsidR="00634C39" w:rsidRPr="00634C39" w:rsidRDefault="00634C39" w:rsidP="00634C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(90% CI)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1.01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(0.760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1.33)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1.02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(0.523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1.98)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0.728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(0.390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1.36)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0.909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(0.720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1.18)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1.31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(1.02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1.70)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1.55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(1.14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2.09)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1.34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(0.951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1.21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(0.966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1.52)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A20658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  <w:r w:rsidR="00634C39" w:rsidRPr="00634C39">
              <w:rPr>
                <w:rFonts w:cs="Arial"/>
                <w:sz w:val="22"/>
                <w:szCs w:val="22"/>
              </w:rPr>
              <w:t>0.721</w:t>
            </w:r>
          </w:p>
          <w:p w:rsidR="00634C39" w:rsidRPr="00634C39" w:rsidRDefault="00634C39" w:rsidP="00634C39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(0.336</w:t>
            </w:r>
            <w:r w:rsidR="00A20658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1.55)</w:t>
            </w:r>
          </w:p>
        </w:tc>
      </w:tr>
    </w:tbl>
    <w:p w:rsidR="00634C39" w:rsidRDefault="00A20658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</w:t>
      </w:r>
      <w:r w:rsidR="00090F02" w:rsidRPr="00C76DF9">
        <w:rPr>
          <w:rFonts w:cs="Arial"/>
          <w:sz w:val="22"/>
          <w:szCs w:val="22"/>
        </w:rPr>
        <w:t xml:space="preserve">Exclude patients in the fed-fasted cohort. </w:t>
      </w:r>
      <w:r w:rsidR="004F3377" w:rsidRPr="00C76DF9">
        <w:rPr>
          <w:rFonts w:cs="Arial"/>
          <w:sz w:val="22"/>
          <w:szCs w:val="22"/>
        </w:rPr>
        <w:t xml:space="preserve">All patients who had sufficient pharmacokinetic sampling associated with </w:t>
      </w:r>
      <w:r>
        <w:rPr>
          <w:rFonts w:cs="Arial"/>
          <w:sz w:val="22"/>
          <w:szCs w:val="22"/>
        </w:rPr>
        <w:t>d</w:t>
      </w:r>
      <w:r w:rsidRPr="00C76DF9">
        <w:rPr>
          <w:rFonts w:cs="Arial"/>
          <w:sz w:val="22"/>
          <w:szCs w:val="22"/>
        </w:rPr>
        <w:t xml:space="preserve">ay </w:t>
      </w:r>
      <w:r w:rsidR="004F3377" w:rsidRPr="00C76DF9">
        <w:rPr>
          <w:rFonts w:cs="Arial"/>
          <w:sz w:val="22"/>
          <w:szCs w:val="22"/>
        </w:rPr>
        <w:t>1 or other appropriate OSI-906 doses.</w:t>
      </w:r>
    </w:p>
    <w:p w:rsidR="00A20658" w:rsidRDefault="00A20658" w:rsidP="005001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CI, confidence interval.</w:t>
      </w:r>
    </w:p>
    <w:p w:rsidR="00A20658" w:rsidRDefault="00A2065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634C39" w:rsidRPr="00634C39" w:rsidRDefault="00634C3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 w:rsidRPr="00634C39">
        <w:rPr>
          <w:rFonts w:cs="Arial"/>
          <w:b/>
          <w:sz w:val="22"/>
          <w:szCs w:val="22"/>
        </w:rPr>
        <w:lastRenderedPageBreak/>
        <w:t xml:space="preserve">Table 2. </w:t>
      </w:r>
      <w:r w:rsidRPr="00634C39">
        <w:rPr>
          <w:rFonts w:cs="Arial"/>
          <w:sz w:val="22"/>
          <w:szCs w:val="22"/>
        </w:rPr>
        <w:t xml:space="preserve">Ratio of </w:t>
      </w:r>
      <w:r w:rsidR="00A20658" w:rsidRPr="00801BB3">
        <w:rPr>
          <w:rFonts w:cs="Arial"/>
          <w:sz w:val="22"/>
          <w:szCs w:val="22"/>
        </w:rPr>
        <w:t>area under the curve during the time interval between consecutive</w:t>
      </w:r>
      <w:r w:rsidR="00A20658" w:rsidRPr="00801BB3">
        <w:rPr>
          <w:rFonts w:cs="Arial"/>
          <w:sz w:val="22"/>
          <w:szCs w:val="22"/>
          <w:vertAlign w:val="subscript"/>
        </w:rPr>
        <w:t xml:space="preserve"> </w:t>
      </w:r>
      <w:r w:rsidR="00A20658" w:rsidRPr="00801BB3">
        <w:rPr>
          <w:rFonts w:cs="Arial"/>
          <w:sz w:val="22"/>
          <w:szCs w:val="22"/>
        </w:rPr>
        <w:t xml:space="preserve">dosing </w:t>
      </w:r>
      <w:r w:rsidR="00A20658">
        <w:rPr>
          <w:rFonts w:cs="Arial"/>
          <w:sz w:val="22"/>
          <w:szCs w:val="22"/>
        </w:rPr>
        <w:t>(</w:t>
      </w:r>
      <w:r w:rsidRPr="00634C39">
        <w:rPr>
          <w:rFonts w:cs="Arial"/>
          <w:sz w:val="22"/>
          <w:szCs w:val="22"/>
        </w:rPr>
        <w:t>AUC</w:t>
      </w:r>
      <w:r w:rsidRPr="00634C39">
        <w:rPr>
          <w:rFonts w:cs="Arial"/>
          <w:sz w:val="22"/>
          <w:szCs w:val="22"/>
          <w:vertAlign w:val="subscript"/>
        </w:rPr>
        <w:t>tau</w:t>
      </w:r>
      <w:r w:rsidRPr="00634C39">
        <w:rPr>
          <w:rFonts w:cs="Arial"/>
          <w:sz w:val="22"/>
          <w:szCs w:val="22"/>
        </w:rPr>
        <w:t xml:space="preserve">) on </w:t>
      </w:r>
      <w:r w:rsidR="00A2065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 xml:space="preserve">ay 5 (S2) or </w:t>
      </w:r>
      <w:r w:rsidR="00A2065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>ay 7 (S3) to AUC</w:t>
      </w:r>
      <w:r w:rsidRPr="00634C39">
        <w:rPr>
          <w:rFonts w:cs="Arial"/>
          <w:sz w:val="22"/>
          <w:szCs w:val="22"/>
          <w:vertAlign w:val="subscript"/>
        </w:rPr>
        <w:t>tau</w:t>
      </w:r>
      <w:r w:rsidRPr="00634C39">
        <w:rPr>
          <w:rFonts w:cs="Arial"/>
          <w:sz w:val="22"/>
          <w:szCs w:val="22"/>
        </w:rPr>
        <w:t xml:space="preserve"> on </w:t>
      </w:r>
      <w:r w:rsidR="00A20658">
        <w:rPr>
          <w:rFonts w:cs="Arial"/>
          <w:sz w:val="22"/>
          <w:szCs w:val="22"/>
        </w:rPr>
        <w:t>d</w:t>
      </w:r>
      <w:r w:rsidRPr="00634C39">
        <w:rPr>
          <w:rFonts w:cs="Arial"/>
          <w:sz w:val="22"/>
          <w:szCs w:val="22"/>
        </w:rPr>
        <w:t xml:space="preserve">ay 1 </w:t>
      </w:r>
    </w:p>
    <w:tbl>
      <w:tblPr>
        <w:tblStyle w:val="TableGrid"/>
        <w:tblW w:w="5000" w:type="pct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3543"/>
        <w:gridCol w:w="3543"/>
        <w:gridCol w:w="3544"/>
        <w:gridCol w:w="3544"/>
      </w:tblGrid>
      <w:tr w:rsidR="00F24818" w:rsidRPr="00500178" w:rsidTr="004A14E2">
        <w:tc>
          <w:tcPr>
            <w:tcW w:w="125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4818" w:rsidRPr="00500178" w:rsidRDefault="00F24818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5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Treatment schedule/OSI-906 </w:t>
            </w:r>
            <w:r w:rsidR="00A20658">
              <w:rPr>
                <w:rFonts w:cs="Arial"/>
                <w:b/>
                <w:sz w:val="22"/>
                <w:szCs w:val="22"/>
              </w:rPr>
              <w:t>d</w:t>
            </w:r>
            <w:r w:rsidRPr="00634C39">
              <w:rPr>
                <w:rFonts w:cs="Arial"/>
                <w:b/>
                <w:sz w:val="22"/>
                <w:szCs w:val="22"/>
              </w:rPr>
              <w:t>ose (mg)</w:t>
            </w:r>
          </w:p>
        </w:tc>
      </w:tr>
      <w:tr w:rsidR="002D60BA" w:rsidRPr="00500178" w:rsidTr="004A14E2"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4818" w:rsidRPr="00500178" w:rsidRDefault="00F24818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S2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S3</w:t>
            </w:r>
          </w:p>
        </w:tc>
      </w:tr>
      <w:tr w:rsidR="00720F5B" w:rsidRPr="00500178" w:rsidTr="00932509"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4818" w:rsidRPr="00500178" w:rsidRDefault="00F24818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450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450</w:t>
            </w:r>
          </w:p>
        </w:tc>
        <w:tc>
          <w:tcPr>
            <w:tcW w:w="12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600</w:t>
            </w:r>
          </w:p>
        </w:tc>
      </w:tr>
      <w:tr w:rsidR="00720F5B" w:rsidRPr="00500178" w:rsidTr="00932509"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Evaluable, </w:t>
            </w:r>
            <w:r w:rsidRPr="00634C39">
              <w:rPr>
                <w:rFonts w:cs="Arial"/>
                <w:b/>
                <w:i/>
                <w:sz w:val="22"/>
                <w:szCs w:val="22"/>
              </w:rPr>
              <w:t>n</w:t>
            </w:r>
            <w:r w:rsidRPr="00634C3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7</w:t>
            </w:r>
          </w:p>
        </w:tc>
      </w:tr>
      <w:tr w:rsidR="002D60BA" w:rsidRPr="00500178" w:rsidTr="004A14E2"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4C39" w:rsidRPr="00634C39" w:rsidRDefault="00634C39" w:rsidP="00634C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 xml:space="preserve">Geometric mean </w:t>
            </w:r>
          </w:p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rPr>
                <w:rFonts w:cs="Arial"/>
                <w:b/>
                <w:sz w:val="22"/>
                <w:szCs w:val="22"/>
              </w:rPr>
            </w:pPr>
            <w:r w:rsidRPr="00634C39">
              <w:rPr>
                <w:rFonts w:cs="Arial"/>
                <w:b/>
                <w:sz w:val="22"/>
                <w:szCs w:val="22"/>
              </w:rPr>
              <w:t>(90% CI)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1.20</w:t>
            </w:r>
          </w:p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(0.609</w:t>
            </w:r>
            <w:r w:rsidR="00932509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2.38)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1.04</w:t>
            </w:r>
          </w:p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(0.505</w:t>
            </w:r>
            <w:r w:rsidR="00932509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2.13)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1.24</w:t>
            </w:r>
          </w:p>
          <w:p w:rsidR="00F24818" w:rsidRPr="00500178" w:rsidRDefault="00634C39" w:rsidP="00A206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634C39">
              <w:rPr>
                <w:rFonts w:cs="Arial"/>
                <w:sz w:val="22"/>
                <w:szCs w:val="22"/>
              </w:rPr>
              <w:t>(0.723</w:t>
            </w:r>
            <w:r w:rsidR="00932509">
              <w:rPr>
                <w:rFonts w:cs="Arial"/>
                <w:sz w:val="22"/>
                <w:szCs w:val="22"/>
              </w:rPr>
              <w:t>–</w:t>
            </w:r>
            <w:r w:rsidRPr="00634C39">
              <w:rPr>
                <w:rFonts w:cs="Arial"/>
                <w:sz w:val="22"/>
                <w:szCs w:val="22"/>
              </w:rPr>
              <w:t>2.11)</w:t>
            </w:r>
          </w:p>
        </w:tc>
      </w:tr>
    </w:tbl>
    <w:p w:rsidR="00634C39" w:rsidRDefault="00F24818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 w:rsidRPr="00C76DF9">
        <w:rPr>
          <w:rFonts w:cs="Arial"/>
          <w:sz w:val="22"/>
          <w:szCs w:val="22"/>
        </w:rPr>
        <w:t xml:space="preserve">All patients who had sufficient pharmacokinetic sampling associated with </w:t>
      </w:r>
      <w:r w:rsidR="00932509">
        <w:rPr>
          <w:rFonts w:cs="Arial"/>
          <w:sz w:val="22"/>
          <w:szCs w:val="22"/>
        </w:rPr>
        <w:t>d</w:t>
      </w:r>
      <w:r w:rsidR="00932509" w:rsidRPr="00C76DF9">
        <w:rPr>
          <w:rFonts w:cs="Arial"/>
          <w:sz w:val="22"/>
          <w:szCs w:val="22"/>
        </w:rPr>
        <w:t xml:space="preserve">ay </w:t>
      </w:r>
      <w:r w:rsidRPr="00C76DF9">
        <w:rPr>
          <w:rFonts w:cs="Arial"/>
          <w:sz w:val="22"/>
          <w:szCs w:val="22"/>
        </w:rPr>
        <w:t>1 or other appropriate OSI-906 doses.</w:t>
      </w:r>
    </w:p>
    <w:p w:rsidR="00634C39" w:rsidRDefault="00932509" w:rsidP="00634C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CI, confidence interval.</w:t>
      </w:r>
    </w:p>
    <w:sectPr w:rsidR="00634C39" w:rsidSect="00A20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6336D0"/>
    <w:rsid w:val="000238D0"/>
    <w:rsid w:val="00090F02"/>
    <w:rsid w:val="00116F5A"/>
    <w:rsid w:val="001A1664"/>
    <w:rsid w:val="0024789F"/>
    <w:rsid w:val="002C3FDA"/>
    <w:rsid w:val="002D60BA"/>
    <w:rsid w:val="00335224"/>
    <w:rsid w:val="003552E9"/>
    <w:rsid w:val="004A14E2"/>
    <w:rsid w:val="004F3377"/>
    <w:rsid w:val="00500178"/>
    <w:rsid w:val="005E08B1"/>
    <w:rsid w:val="005E11E4"/>
    <w:rsid w:val="006336D0"/>
    <w:rsid w:val="00634C39"/>
    <w:rsid w:val="006414AB"/>
    <w:rsid w:val="006F7A7C"/>
    <w:rsid w:val="00714A2A"/>
    <w:rsid w:val="00720F5B"/>
    <w:rsid w:val="007408A8"/>
    <w:rsid w:val="00774C69"/>
    <w:rsid w:val="007D7A7C"/>
    <w:rsid w:val="00893D79"/>
    <w:rsid w:val="00897CA6"/>
    <w:rsid w:val="008C644A"/>
    <w:rsid w:val="008F54BB"/>
    <w:rsid w:val="0092270A"/>
    <w:rsid w:val="00932509"/>
    <w:rsid w:val="009454A1"/>
    <w:rsid w:val="00A20658"/>
    <w:rsid w:val="00A55627"/>
    <w:rsid w:val="00A62CE5"/>
    <w:rsid w:val="00A744CE"/>
    <w:rsid w:val="00B64943"/>
    <w:rsid w:val="00BB1ACA"/>
    <w:rsid w:val="00BC546E"/>
    <w:rsid w:val="00C76DF9"/>
    <w:rsid w:val="00D53C6B"/>
    <w:rsid w:val="00D8772A"/>
    <w:rsid w:val="00DB3B03"/>
    <w:rsid w:val="00DD0E56"/>
    <w:rsid w:val="00DE3019"/>
    <w:rsid w:val="00DF03ED"/>
    <w:rsid w:val="00F24818"/>
    <w:rsid w:val="00F905F3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D0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CA6"/>
    <w:pPr>
      <w:spacing w:after="0" w:line="240" w:lineRule="auto"/>
    </w:pPr>
    <w:rPr>
      <w:rFonts w:ascii="Symbol" w:eastAsia="Symbol" w:hAnsi="Symbo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97C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CA6"/>
    <w:rPr>
      <w:rFonts w:eastAsia="Symbo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CA6"/>
    <w:rPr>
      <w:rFonts w:ascii="Arial" w:eastAsia="Symbo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A6"/>
    <w:rPr>
      <w:rFonts w:ascii="Tahoma" w:eastAsia="Arial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D0"/>
    <w:rPr>
      <w:rFonts w:eastAsia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D0"/>
    <w:rPr>
      <w:rFonts w:ascii="Arial" w:eastAsia="Arial" w:hAnsi="Arial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76DF9"/>
    <w:rPr>
      <w:i/>
      <w:iCs/>
    </w:rPr>
  </w:style>
  <w:style w:type="character" w:customStyle="1" w:styleId="st">
    <w:name w:val="st"/>
    <w:basedOn w:val="DefaultParagraphFont"/>
    <w:rsid w:val="00C76DF9"/>
  </w:style>
  <w:style w:type="paragraph" w:styleId="Revision">
    <w:name w:val="Revision"/>
    <w:hidden/>
    <w:uiPriority w:val="99"/>
    <w:semiHidden/>
    <w:rsid w:val="00C76DF9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D0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CA6"/>
    <w:pPr>
      <w:spacing w:after="0" w:line="240" w:lineRule="auto"/>
    </w:pPr>
    <w:rPr>
      <w:rFonts w:ascii="Symbol" w:eastAsia="Symbol" w:hAnsi="Symbol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97C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97CA6"/>
    <w:rPr>
      <w:rFonts w:eastAsia="Symbo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CA6"/>
    <w:rPr>
      <w:rFonts w:ascii="Arial" w:eastAsia="Symbo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A6"/>
    <w:rPr>
      <w:rFonts w:ascii="Tahoma" w:eastAsia="Arial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D0"/>
    <w:rPr>
      <w:rFonts w:eastAsia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D0"/>
    <w:rPr>
      <w:rFonts w:ascii="Arial" w:eastAsia="Arial" w:hAnsi="Arial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76DF9"/>
    <w:rPr>
      <w:i/>
      <w:iCs/>
    </w:rPr>
  </w:style>
  <w:style w:type="character" w:customStyle="1" w:styleId="st">
    <w:name w:val="st"/>
    <w:basedOn w:val="DefaultParagraphFont"/>
    <w:rsid w:val="00C76DF9"/>
  </w:style>
  <w:style w:type="paragraph" w:styleId="Revision">
    <w:name w:val="Revision"/>
    <w:hidden/>
    <w:uiPriority w:val="99"/>
    <w:semiHidden/>
    <w:rsid w:val="00C76DF9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KnowledgePoint360 Group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sottocornola_r</dc:creator>
  <cp:lastModifiedBy>mdougherty</cp:lastModifiedBy>
  <cp:revision>3</cp:revision>
  <dcterms:created xsi:type="dcterms:W3CDTF">2014-07-07T18:12:00Z</dcterms:created>
  <dcterms:modified xsi:type="dcterms:W3CDTF">2014-07-07T18:13:00Z</dcterms:modified>
</cp:coreProperties>
</file>