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02" w:rsidRDefault="005F6E02" w:rsidP="005F6E02">
      <w:pPr>
        <w:ind w:right="-22"/>
        <w:jc w:val="both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308603" cy="46863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7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03" b="10789"/>
                    <a:stretch/>
                  </pic:blipFill>
                  <pic:spPr bwMode="auto">
                    <a:xfrm>
                      <a:off x="0" y="0"/>
                      <a:ext cx="2310579" cy="469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02" w:rsidRDefault="005F6E02" w:rsidP="005F6E02">
      <w:pPr>
        <w:ind w:right="-22"/>
        <w:jc w:val="both"/>
        <w:rPr>
          <w:lang w:val="en-US"/>
        </w:rPr>
      </w:pPr>
      <w:r w:rsidRPr="00BB400E">
        <w:rPr>
          <w:b/>
          <w:lang w:val="en-US"/>
        </w:rPr>
        <w:t>Supplementary Figure 1</w:t>
      </w:r>
      <w:r>
        <w:rPr>
          <w:lang w:val="en-US"/>
        </w:rPr>
        <w:t xml:space="preserve">. </w:t>
      </w:r>
      <w:r w:rsidRPr="00150B67">
        <w:rPr>
          <w:b/>
          <w:lang w:val="en-US"/>
        </w:rPr>
        <w:t>(a)</w:t>
      </w:r>
      <w:r>
        <w:rPr>
          <w:lang w:val="en-US"/>
        </w:rPr>
        <w:t xml:space="preserve"> Isotype control antibody does not affect anti-tumor activity. Balb/C mice carrying Renca tumors were treated with PBS or 2x10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plaque-forming units (pfu) per mouse of oncolytic Vaccinia Virus. At days 4, 7, and 10 after virus injection, PBS or a dose of 100 μg of isotype control antibody was injected i.p. Tumor growth was measured and relative tumor volume +SE of the 9-10 mice/group is depicted.</w:t>
      </w:r>
      <w:r w:rsidRPr="00BB400E">
        <w:rPr>
          <w:b/>
          <w:lang w:val="en-US"/>
        </w:rPr>
        <w:t xml:space="preserve"> (</w:t>
      </w:r>
      <w:r>
        <w:rPr>
          <w:b/>
          <w:lang w:val="en-US"/>
        </w:rPr>
        <w:t>b</w:t>
      </w:r>
      <w:r w:rsidRPr="00BB400E">
        <w:rPr>
          <w:b/>
          <w:lang w:val="en-US"/>
        </w:rPr>
        <w:t>)</w:t>
      </w:r>
      <w:r>
        <w:rPr>
          <w:lang w:val="en-US"/>
        </w:rPr>
        <w:t xml:space="preserve"> Anti-CTLA4 antibody administration also reduces Vaccinia Virus replication in MC38 xenografts. C57/BL6 mice harboring subcutaneous MC38 tumors (mouse colon adenocarcinoma) were injected with an intravenous dose of 2x10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plaque-forming units (pfu) per mouse of oncolytic Vaccinia Virus. For the combination group, a dose of 100 μg of mouse anti-CTLA4 antibody was injected intraperitoneally at days 0, 3 and 6 post-virus injection. Viral gene expression from within the tumor was quantified by bioluminescence imaging of viral luciferase expression. Mean values of 9-10 animals +SD are plotted. </w:t>
      </w:r>
      <w:r>
        <w:rPr>
          <w:b/>
          <w:lang w:val="en-US"/>
        </w:rPr>
        <w:t>(c</w:t>
      </w:r>
      <w:r w:rsidRPr="00BB400E">
        <w:rPr>
          <w:b/>
          <w:lang w:val="en-US"/>
        </w:rPr>
        <w:t>)</w:t>
      </w:r>
      <w:r>
        <w:rPr>
          <w:lang w:val="en-US"/>
        </w:rPr>
        <w:t xml:space="preserve"> Bioluminescence imaging of viral gene expression after novel Vaccinia+anti-CTLA4 administration schedule. Balb/c mice bearing Renca tumors were injected intravenously with 2x10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plaque-forming units (pfu) per mouse of oncolytic Vaccinia Virus. For the combination group, 100 μg of mouse anti-CTLA4 antibody was injected intraperitoneally at days 4, 7 and 10 after virus administration. Reduction in luciferase expression was not significant compared with Vaccinia group. Mean values of 8-10 animals +SD are plotted. (* P&lt;0.05 compared with PBS group; # P&lt;0.05 compared with VV group).</w:t>
      </w:r>
    </w:p>
    <w:p w:rsidR="005F6E02" w:rsidRDefault="005F6E02" w:rsidP="005F6E02">
      <w:pPr>
        <w:ind w:right="-22"/>
        <w:jc w:val="both"/>
        <w:rPr>
          <w:lang w:val="en-US"/>
        </w:rPr>
      </w:pPr>
    </w:p>
    <w:p w:rsidR="005F6E02" w:rsidRDefault="005F6E02" w:rsidP="005F6E02">
      <w:pPr>
        <w:ind w:right="-22"/>
        <w:jc w:val="both"/>
        <w:rPr>
          <w:b/>
          <w:lang w:val="en-US"/>
        </w:rPr>
      </w:pPr>
    </w:p>
    <w:p w:rsidR="005F6E02" w:rsidRDefault="005F6E02" w:rsidP="005F6E02">
      <w:pPr>
        <w:ind w:right="-22"/>
        <w:jc w:val="both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488320" cy="5372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8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4" b="16052"/>
                    <a:stretch/>
                  </pic:blipFill>
                  <pic:spPr bwMode="auto">
                    <a:xfrm>
                      <a:off x="0" y="0"/>
                      <a:ext cx="4488750" cy="53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02" w:rsidRDefault="005F6E02" w:rsidP="005F6E02">
      <w:pPr>
        <w:ind w:right="-22"/>
        <w:jc w:val="both"/>
        <w:rPr>
          <w:lang w:val="en-US"/>
        </w:rPr>
      </w:pPr>
      <w:r w:rsidRPr="00BB400E">
        <w:rPr>
          <w:b/>
          <w:lang w:val="en-US"/>
        </w:rPr>
        <w:t>Supplementary Figure 2</w:t>
      </w:r>
      <w:r>
        <w:rPr>
          <w:lang w:val="en-US"/>
        </w:rPr>
        <w:t xml:space="preserve">. </w:t>
      </w:r>
      <w:r w:rsidRPr="00E302CE">
        <w:rPr>
          <w:b/>
          <w:lang w:val="en-US"/>
        </w:rPr>
        <w:t>(a)</w:t>
      </w:r>
      <w:r>
        <w:rPr>
          <w:lang w:val="en-US"/>
        </w:rPr>
        <w:t xml:space="preserve"> Depletion of T-regs by anti-CD25 administration. Splenocytes were isolated from Balb/C mice treated with PBS or 3 doses of 200 μg of mouse anti-CD25 antibody injected 7, 4, and 1 days before spleen harvesting. Number of CD3+ CD4+ CD25+ FoxP3+ cells per 200000 splenocytes was analyzed. Values for individual mice and means +SEM are plotted </w:t>
      </w:r>
      <w:r w:rsidRPr="00E302CE">
        <w:rPr>
          <w:b/>
          <w:lang w:val="en-US"/>
        </w:rPr>
        <w:t>(b-c)</w:t>
      </w:r>
      <w:r>
        <w:rPr>
          <w:lang w:val="en-US"/>
        </w:rPr>
        <w:t xml:space="preserve"> Antitumor effects of Vaccinia Virus with anti-CD25 antibody combination therapy using different schedules. Mice (Balb/c with Renca tumors) were injected intravenously with a dose of 2x10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pfu of oncolytic Vaccinia virus (n=7-8 per group). For Vaccinia Virus/ anti-CD25 combination groups, 3 doses of 200 μg of mouse anti-CD25 antibody was injected i.p. every 3 days, beginning at days -4, 0, or 4 after virus injection. Tumor growth was followed by caliper measurements. Means +SE are plotted. (* P&lt;0.05 compared with PBS group; # P&lt;0.05 compared with VV group).</w:t>
      </w:r>
    </w:p>
    <w:p w:rsidR="005F6E02" w:rsidRDefault="005F6E02">
      <w:pPr>
        <w:rPr>
          <w:lang w:val="en-US"/>
        </w:rPr>
      </w:pPr>
      <w:r>
        <w:rPr>
          <w:lang w:val="en-US"/>
        </w:rPr>
        <w:br w:type="page"/>
      </w:r>
    </w:p>
    <w:p w:rsidR="005F6E02" w:rsidRDefault="00384F7D" w:rsidP="005F6E02">
      <w:pPr>
        <w:ind w:right="-22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617470" cy="415811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9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81" b="43145"/>
                    <a:stretch/>
                  </pic:blipFill>
                  <pic:spPr bwMode="auto">
                    <a:xfrm>
                      <a:off x="0" y="0"/>
                      <a:ext cx="2618072" cy="415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02" w:rsidRDefault="005F6E02" w:rsidP="005F6E02">
      <w:pPr>
        <w:ind w:right="-22"/>
        <w:jc w:val="both"/>
        <w:rPr>
          <w:lang w:val="en-US"/>
        </w:rPr>
      </w:pPr>
      <w:r w:rsidRPr="00A542D9">
        <w:rPr>
          <w:b/>
          <w:lang w:val="en-US"/>
        </w:rPr>
        <w:t>Supplementary Figure 3</w:t>
      </w:r>
      <w:r w:rsidR="00384F7D">
        <w:rPr>
          <w:b/>
          <w:lang w:val="en-US"/>
        </w:rPr>
        <w:t xml:space="preserve"> (A)</w:t>
      </w:r>
      <w:r>
        <w:rPr>
          <w:lang w:val="en-US"/>
        </w:rPr>
        <w:t xml:space="preserve"> Reduced number of T-regs after Vaccinia Virus administration. Balb/c mice harboring Renca tumors were treated as indicated. Tumors were harvested at day 11 post-virus injection and evaluated for T-regs by flow cytometry. Number of CD3+ CD4+ CD25+ FoxP3+ cells per 200000 total cells are plotted (individual tumors and means +SEM) </w:t>
      </w:r>
      <w:r w:rsidR="00384F7D">
        <w:rPr>
          <w:lang w:val="en-US"/>
        </w:rPr>
        <w:t xml:space="preserve"> </w:t>
      </w:r>
      <w:r w:rsidR="00384F7D">
        <w:rPr>
          <w:b/>
          <w:lang w:val="en-US"/>
        </w:rPr>
        <w:t xml:space="preserve">(B) </w:t>
      </w:r>
      <w:r w:rsidR="00384F7D">
        <w:rPr>
          <w:lang w:val="en-US"/>
        </w:rPr>
        <w:t xml:space="preserve">Increased NK cell infiltration into sites of infection 48h after viral delivery. Mice received 1e6 PFU of virus IP and peritoneal lavage was performed after 48h. Number of NK1.1+NKp46+CD3- cells per 200 000 events are shown. </w:t>
      </w:r>
      <w:bookmarkStart w:id="0" w:name="_GoBack"/>
      <w:bookmarkEnd w:id="0"/>
      <w:r>
        <w:rPr>
          <w:lang w:val="en-US"/>
        </w:rPr>
        <w:t>(* P&lt;0.05 compared with PBS group).</w:t>
      </w:r>
    </w:p>
    <w:p w:rsidR="004D12DD" w:rsidRDefault="005F6E02">
      <w:pPr>
        <w:rPr>
          <w:lang w:val="en-US"/>
        </w:rPr>
      </w:pPr>
      <w:r>
        <w:rPr>
          <w:lang w:val="en-US"/>
        </w:rPr>
        <w:br w:type="page"/>
      </w:r>
      <w:r w:rsidR="004D12DD">
        <w:rPr>
          <w:noProof/>
          <w:lang w:val="en-US" w:eastAsia="en-US"/>
        </w:rPr>
        <w:drawing>
          <wp:inline distT="0" distB="0" distL="0" distR="0">
            <wp:extent cx="3115008" cy="3771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74" cy="377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2DD" w:rsidRDefault="004D12DD">
      <w:pPr>
        <w:rPr>
          <w:lang w:val="en-US"/>
        </w:rPr>
      </w:pPr>
    </w:p>
    <w:p w:rsidR="004D12DD" w:rsidRDefault="004D12DD">
      <w:pPr>
        <w:rPr>
          <w:lang w:val="en-US"/>
        </w:rPr>
      </w:pPr>
      <w:r>
        <w:rPr>
          <w:b/>
          <w:lang w:val="en-US"/>
        </w:rPr>
        <w:t xml:space="preserve">Supplementary Figure 4. </w:t>
      </w:r>
      <w:r>
        <w:rPr>
          <w:lang w:val="en-US"/>
        </w:rPr>
        <w:t xml:space="preserve">Examples of flow cytometry gating and patterns </w:t>
      </w:r>
      <w:r>
        <w:rPr>
          <w:b/>
          <w:lang w:val="en-US"/>
        </w:rPr>
        <w:t xml:space="preserve">(a) </w:t>
      </w:r>
      <w:r w:rsidRPr="004D12DD">
        <w:rPr>
          <w:lang w:val="en-US"/>
        </w:rPr>
        <w:t>Percentage of regulatory T-cells within the CD3+CD4+ population.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Flow cytometry of one representative tumor from each group are also depicted </w:t>
      </w:r>
      <w:r>
        <w:rPr>
          <w:b/>
          <w:lang w:val="en-US"/>
        </w:rPr>
        <w:t xml:space="preserve">(b) </w:t>
      </w:r>
      <w:r>
        <w:rPr>
          <w:lang w:val="en-US"/>
        </w:rPr>
        <w:t>Gating used to define NK cells within the tumor population (NKp46+NKg2D+CD3-).</w:t>
      </w:r>
      <w:r>
        <w:rPr>
          <w:lang w:val="en-US"/>
        </w:rPr>
        <w:br w:type="page"/>
      </w:r>
    </w:p>
    <w:p w:rsidR="005F6E02" w:rsidRDefault="005F6E02">
      <w:pPr>
        <w:rPr>
          <w:lang w:val="en-US"/>
        </w:rPr>
      </w:pPr>
    </w:p>
    <w:p w:rsidR="005F6E02" w:rsidRDefault="004D12DD" w:rsidP="005F6E02">
      <w:pPr>
        <w:ind w:right="-22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486400" cy="2376170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02" w:rsidRDefault="005F6E02" w:rsidP="005F6E02">
      <w:pPr>
        <w:ind w:right="-22"/>
        <w:jc w:val="both"/>
      </w:pPr>
      <w:r w:rsidRPr="005E001C">
        <w:rPr>
          <w:b/>
          <w:lang w:val="en-US"/>
        </w:rPr>
        <w:t>Supplementary Fig</w:t>
      </w:r>
      <w:r w:rsidR="004D12DD">
        <w:rPr>
          <w:b/>
          <w:lang w:val="en-US"/>
        </w:rPr>
        <w:t>ure 5</w:t>
      </w:r>
      <w:r w:rsidRPr="005E001C">
        <w:rPr>
          <w:b/>
          <w:lang w:val="en-US"/>
        </w:rPr>
        <w:t>.</w:t>
      </w:r>
      <w:r>
        <w:rPr>
          <w:lang w:val="en-US"/>
        </w:rPr>
        <w:t xml:space="preserve"> Effect of depleting interferon γ on virus replication and antitumor activity. Balb/C mice injected with IFNγ depleting antibody were challenged with Renca tumors and treated as indicated. Luciferase expression from within the tumor </w:t>
      </w:r>
      <w:r w:rsidRPr="005E001C">
        <w:rPr>
          <w:b/>
          <w:lang w:val="en-US"/>
        </w:rPr>
        <w:t>(a)</w:t>
      </w:r>
      <w:r>
        <w:rPr>
          <w:lang w:val="en-US"/>
        </w:rPr>
        <w:t xml:space="preserve"> and tumor growth </w:t>
      </w:r>
      <w:r w:rsidRPr="005E001C">
        <w:rPr>
          <w:b/>
          <w:lang w:val="en-US"/>
        </w:rPr>
        <w:t>(b)</w:t>
      </w:r>
      <w:r>
        <w:rPr>
          <w:lang w:val="en-US"/>
        </w:rPr>
        <w:t xml:space="preserve"> were monitored (+SE, 12-15 mice/group) (*P&lt;0.05 compared with PBS group; # P&lt;0.05 compared with No depletion group).</w:t>
      </w:r>
    </w:p>
    <w:p w:rsidR="00236347" w:rsidRDefault="00236347" w:rsidP="005F6E02"/>
    <w:sectPr w:rsidR="00236347" w:rsidSect="00E32A2E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B22" w:rsidRDefault="004D12DD">
      <w:r>
        <w:separator/>
      </w:r>
    </w:p>
  </w:endnote>
  <w:endnote w:type="continuationSeparator" w:id="0">
    <w:p w:rsidR="005C4B22" w:rsidRDefault="004D1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23" w:rsidRDefault="005F6E02" w:rsidP="00CC18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53E23" w:rsidRDefault="00384F7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E23" w:rsidRDefault="005F6E02" w:rsidP="00CC18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4F7D">
      <w:rPr>
        <w:rStyle w:val="PageNumber"/>
        <w:noProof/>
      </w:rPr>
      <w:t>1</w:t>
    </w:r>
    <w:r>
      <w:rPr>
        <w:rStyle w:val="PageNumber"/>
      </w:rPr>
      <w:fldChar w:fldCharType="end"/>
    </w:r>
  </w:p>
  <w:p w:rsidR="00753E23" w:rsidRDefault="00384F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B22" w:rsidRDefault="004D12DD">
      <w:r>
        <w:separator/>
      </w:r>
    </w:p>
  </w:footnote>
  <w:footnote w:type="continuationSeparator" w:id="0">
    <w:p w:rsidR="005C4B22" w:rsidRDefault="004D12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02"/>
    <w:rsid w:val="00236347"/>
    <w:rsid w:val="00384F7D"/>
    <w:rsid w:val="004D12DD"/>
    <w:rsid w:val="005C4B22"/>
    <w:rsid w:val="005F6E02"/>
    <w:rsid w:val="00E3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02"/>
    <w:rPr>
      <w:rFonts w:ascii="Times New Roman" w:eastAsia="Times New Roman" w:hAnsi="Times New Roman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6E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E02"/>
    <w:rPr>
      <w:rFonts w:ascii="Times New Roman" w:eastAsia="Times New Roman" w:hAnsi="Times New Roman" w:cs="Times New Roman"/>
      <w:lang w:val="es-ES" w:eastAsia="es-ES"/>
    </w:rPr>
  </w:style>
  <w:style w:type="character" w:styleId="PageNumber">
    <w:name w:val="page number"/>
    <w:basedOn w:val="DefaultParagraphFont"/>
    <w:uiPriority w:val="99"/>
    <w:semiHidden/>
    <w:unhideWhenUsed/>
    <w:rsid w:val="005F6E02"/>
  </w:style>
  <w:style w:type="paragraph" w:styleId="BalloonText">
    <w:name w:val="Balloon Text"/>
    <w:basedOn w:val="Normal"/>
    <w:link w:val="BalloonTextChar"/>
    <w:uiPriority w:val="99"/>
    <w:semiHidden/>
    <w:unhideWhenUsed/>
    <w:rsid w:val="005F6E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02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E02"/>
    <w:rPr>
      <w:rFonts w:ascii="Times New Roman" w:eastAsia="Times New Roman" w:hAnsi="Times New Roman" w:cs="Times New Roman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F6E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E02"/>
    <w:rPr>
      <w:rFonts w:ascii="Times New Roman" w:eastAsia="Times New Roman" w:hAnsi="Times New Roman" w:cs="Times New Roman"/>
      <w:lang w:val="es-ES" w:eastAsia="es-ES"/>
    </w:rPr>
  </w:style>
  <w:style w:type="character" w:styleId="PageNumber">
    <w:name w:val="page number"/>
    <w:basedOn w:val="DefaultParagraphFont"/>
    <w:uiPriority w:val="99"/>
    <w:semiHidden/>
    <w:unhideWhenUsed/>
    <w:rsid w:val="005F6E02"/>
  </w:style>
  <w:style w:type="paragraph" w:styleId="BalloonText">
    <w:name w:val="Balloon Text"/>
    <w:basedOn w:val="Normal"/>
    <w:link w:val="BalloonTextChar"/>
    <w:uiPriority w:val="99"/>
    <w:semiHidden/>
    <w:unhideWhenUsed/>
    <w:rsid w:val="005F6E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E02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580</Words>
  <Characters>3311</Characters>
  <Application>Microsoft Macintosh Word</Application>
  <DocSecurity>0</DocSecurity>
  <Lines>27</Lines>
  <Paragraphs>7</Paragraphs>
  <ScaleCrop>false</ScaleCrop>
  <Company>UPMC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UPMC</dc:creator>
  <cp:keywords/>
  <dc:description/>
  <cp:lastModifiedBy>UPMC</cp:lastModifiedBy>
  <cp:revision>2</cp:revision>
  <dcterms:created xsi:type="dcterms:W3CDTF">2015-06-29T19:59:00Z</dcterms:created>
  <dcterms:modified xsi:type="dcterms:W3CDTF">2015-06-29T19:59:00Z</dcterms:modified>
</cp:coreProperties>
</file>