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CD" w:rsidRPr="001821D5" w:rsidRDefault="00766BCD" w:rsidP="00766BCD">
      <w:pPr>
        <w:jc w:val="center"/>
        <w:rPr>
          <w:b/>
          <w:sz w:val="28"/>
        </w:rPr>
      </w:pPr>
      <w:r>
        <w:rPr>
          <w:b/>
          <w:sz w:val="28"/>
        </w:rPr>
        <w:t>Supplementary</w:t>
      </w:r>
      <w:r w:rsidRPr="001821D5">
        <w:rPr>
          <w:b/>
          <w:sz w:val="28"/>
        </w:rPr>
        <w:t xml:space="preserve"> Information</w:t>
      </w:r>
    </w:p>
    <w:p w:rsidR="00766BCD" w:rsidRDefault="00766BCD" w:rsidP="00766BCD">
      <w:pPr>
        <w:rPr>
          <w:b/>
        </w:rPr>
      </w:pPr>
    </w:p>
    <w:p w:rsidR="00766BCD" w:rsidRDefault="00766BCD" w:rsidP="00766BCD">
      <w:pPr>
        <w:rPr>
          <w:b/>
        </w:rPr>
      </w:pPr>
      <w:r>
        <w:rPr>
          <w:b/>
        </w:rPr>
        <w:t>Enhanced Delivery of SN-38 to Human Tumor Xenografts with an Anti-Trop-2-SN-38 Antibody Conjugate (</w:t>
      </w:r>
      <w:r w:rsidRPr="00756F21">
        <w:rPr>
          <w:b/>
        </w:rPr>
        <w:t>Sacituzumab Govitecan</w:t>
      </w:r>
      <w:r>
        <w:rPr>
          <w:b/>
        </w:rPr>
        <w:t>)</w:t>
      </w:r>
    </w:p>
    <w:p w:rsidR="00766BCD" w:rsidRPr="00447ABA" w:rsidRDefault="00766BCD" w:rsidP="00766BCD">
      <w:r w:rsidRPr="00447ABA">
        <w:t>Robert M. Sharkey, William J. McBride, Tom M. Cardillo, Serengulam V. Govindan, Yang Wang</w:t>
      </w:r>
      <w:r w:rsidR="00523C2B">
        <w:t xml:space="preserve">, </w:t>
      </w:r>
      <w:r>
        <w:t xml:space="preserve">Edmund A. Rossi, </w:t>
      </w:r>
      <w:r w:rsidRPr="00447ABA">
        <w:t>Chien-Hsing Chang, David M. Goldenberg</w:t>
      </w:r>
    </w:p>
    <w:p w:rsidR="00766BCD" w:rsidRPr="00523C2B" w:rsidRDefault="00766BCD" w:rsidP="00766BCD">
      <w:r w:rsidRPr="00523C2B">
        <w:t>Immunomedics, Inc., Morris Plains, NJ 07950</w:t>
      </w:r>
    </w:p>
    <w:p w:rsidR="00E271DE" w:rsidRDefault="00E271DE" w:rsidP="00766BCD">
      <w:pPr>
        <w:spacing w:line="480" w:lineRule="auto"/>
        <w:rPr>
          <w:b/>
        </w:rPr>
      </w:pPr>
    </w:p>
    <w:p w:rsidR="00766BCD" w:rsidRPr="001821D5" w:rsidRDefault="00E271DE" w:rsidP="00766BCD">
      <w:pPr>
        <w:spacing w:line="480" w:lineRule="auto"/>
        <w:rPr>
          <w:b/>
        </w:rPr>
      </w:pPr>
      <w:r>
        <w:rPr>
          <w:b/>
        </w:rPr>
        <w:t>L</w:t>
      </w:r>
      <w:r w:rsidR="00523C2B" w:rsidRPr="001821D5">
        <w:rPr>
          <w:b/>
        </w:rPr>
        <w:t>IST OF CONTENTS</w:t>
      </w:r>
    </w:p>
    <w:p w:rsidR="00BD73BF" w:rsidRPr="00F6763B" w:rsidRDefault="00BD73BF" w:rsidP="00BD73BF">
      <w:pPr>
        <w:rPr>
          <w:b/>
        </w:rPr>
      </w:pPr>
      <w:r w:rsidRPr="00F6763B">
        <w:rPr>
          <w:b/>
        </w:rPr>
        <w:t>Supplementary Information:  M</w:t>
      </w:r>
      <w:r w:rsidR="00BA0B26">
        <w:rPr>
          <w:b/>
        </w:rPr>
        <w:t>ETHODS AND RESULTS</w:t>
      </w:r>
      <w:r w:rsidRPr="00F6763B">
        <w:rPr>
          <w:b/>
        </w:rPr>
        <w:t>.</w:t>
      </w:r>
    </w:p>
    <w:p w:rsidR="00E271DE" w:rsidRDefault="00E271DE" w:rsidP="00BD73BF">
      <w:pPr>
        <w:spacing w:line="240" w:lineRule="auto"/>
        <w:rPr>
          <w:b/>
          <w:szCs w:val="18"/>
        </w:rPr>
      </w:pPr>
    </w:p>
    <w:p w:rsidR="00E271DE" w:rsidRDefault="00E271DE" w:rsidP="00BD73BF">
      <w:pPr>
        <w:spacing w:line="240" w:lineRule="auto"/>
        <w:rPr>
          <w:b/>
          <w:szCs w:val="18"/>
        </w:rPr>
      </w:pPr>
      <w:r>
        <w:rPr>
          <w:b/>
          <w:szCs w:val="18"/>
        </w:rPr>
        <w:t>SUPPLEMENTARY TABLES</w:t>
      </w:r>
    </w:p>
    <w:p w:rsidR="00766BCD" w:rsidRDefault="00BD73BF" w:rsidP="00BD73BF">
      <w:pPr>
        <w:spacing w:line="240" w:lineRule="auto"/>
        <w:rPr>
          <w:b/>
          <w:szCs w:val="18"/>
        </w:rPr>
      </w:pPr>
      <w:r w:rsidRPr="001E4B5A">
        <w:rPr>
          <w:b/>
          <w:szCs w:val="18"/>
        </w:rPr>
        <w:t>Table S1.  SN-38 and SN-38G standard curves using triplicate dilutions of each concentration with single HPLC run</w:t>
      </w:r>
      <w:r>
        <w:rPr>
          <w:b/>
          <w:szCs w:val="18"/>
        </w:rPr>
        <w:t>.</w:t>
      </w:r>
    </w:p>
    <w:p w:rsidR="00BD73BF" w:rsidRDefault="00BD73BF" w:rsidP="00BD73BF">
      <w:pPr>
        <w:spacing w:line="240" w:lineRule="auto"/>
        <w:rPr>
          <w:b/>
        </w:rPr>
      </w:pPr>
      <w:r w:rsidRPr="001821D5">
        <w:rPr>
          <w:b/>
        </w:rPr>
        <w:t xml:space="preserve">Table </w:t>
      </w:r>
      <w:r>
        <w:rPr>
          <w:b/>
        </w:rPr>
        <w:t>S</w:t>
      </w:r>
      <w:r w:rsidRPr="001821D5">
        <w:rPr>
          <w:b/>
        </w:rPr>
        <w:t>2. SN-38 extraction efficiency</w:t>
      </w:r>
      <w:r w:rsidR="00523C2B">
        <w:rPr>
          <w:b/>
        </w:rPr>
        <w:t>.</w:t>
      </w:r>
    </w:p>
    <w:p w:rsidR="00E271DE" w:rsidRPr="00E271DE" w:rsidRDefault="00E271DE" w:rsidP="00E271DE">
      <w:pPr>
        <w:spacing w:line="240" w:lineRule="auto"/>
        <w:rPr>
          <w:b/>
          <w:bCs/>
        </w:rPr>
      </w:pPr>
      <w:r>
        <w:rPr>
          <w:b/>
        </w:rPr>
        <w:t xml:space="preserve">Table S3.  </w:t>
      </w:r>
      <w:r w:rsidRPr="00E271DE">
        <w:rPr>
          <w:b/>
          <w:bCs/>
        </w:rPr>
        <w:t>Area under the curve (AUC) analysis of various products in the serum of nude mice given irinotecan or IMMU-132.</w:t>
      </w:r>
    </w:p>
    <w:p w:rsidR="00BD73BF" w:rsidRDefault="00BD73BF" w:rsidP="00BD73BF">
      <w:pPr>
        <w:spacing w:line="240" w:lineRule="auto"/>
        <w:rPr>
          <w:b/>
        </w:rPr>
      </w:pPr>
      <w:r w:rsidRPr="00CD0682">
        <w:rPr>
          <w:b/>
        </w:rPr>
        <w:t xml:space="preserve">Table </w:t>
      </w:r>
      <w:r w:rsidR="00E271DE">
        <w:rPr>
          <w:b/>
        </w:rPr>
        <w:t>S4</w:t>
      </w:r>
      <w:r w:rsidRPr="00CD0682">
        <w:rPr>
          <w:b/>
        </w:rPr>
        <w:t>.</w:t>
      </w:r>
      <w:r w:rsidRPr="00CD0682">
        <w:t xml:space="preserve">  </w:t>
      </w:r>
      <w:r w:rsidRPr="00735D9A">
        <w:rPr>
          <w:b/>
          <w:i/>
        </w:rPr>
        <w:t>In vitro</w:t>
      </w:r>
      <w:r>
        <w:rPr>
          <w:b/>
        </w:rPr>
        <w:t xml:space="preserve"> glucuronidation assay</w:t>
      </w:r>
      <w:r w:rsidR="00523C2B">
        <w:rPr>
          <w:b/>
        </w:rPr>
        <w:t>.</w:t>
      </w:r>
    </w:p>
    <w:p w:rsidR="00BD73BF" w:rsidRDefault="00E271DE" w:rsidP="00BD73BF">
      <w:pPr>
        <w:spacing w:line="240" w:lineRule="auto"/>
        <w:rPr>
          <w:rFonts w:cs="Arial"/>
        </w:rPr>
      </w:pPr>
      <w:r>
        <w:rPr>
          <w:rFonts w:cs="Arial"/>
          <w:b/>
        </w:rPr>
        <w:t>Table S5</w:t>
      </w:r>
      <w:r w:rsidR="00BD73BF" w:rsidRPr="00523C2B">
        <w:rPr>
          <w:rFonts w:cs="Arial"/>
          <w:b/>
        </w:rPr>
        <w:t>.  Analysis of products in the large intestine of animals given irinotecan or IMMU-132 (Study 2).</w:t>
      </w:r>
      <w:r w:rsidR="00BD73BF" w:rsidRPr="00523C2B">
        <w:rPr>
          <w:rFonts w:cs="Arial"/>
        </w:rPr>
        <w:t xml:space="preserve"> Values represent the mean ± S</w:t>
      </w:r>
      <w:r w:rsidR="00523C2B">
        <w:rPr>
          <w:rFonts w:cs="Arial"/>
        </w:rPr>
        <w:t>D (N = 3) and are expressed in µ</w:t>
      </w:r>
      <w:r w:rsidR="00BD73BF" w:rsidRPr="00523C2B">
        <w:rPr>
          <w:rFonts w:cs="Arial"/>
        </w:rPr>
        <w:t>g</w:t>
      </w:r>
      <w:r w:rsidR="00523C2B">
        <w:rPr>
          <w:rFonts w:cs="Arial"/>
        </w:rPr>
        <w:t>.</w:t>
      </w:r>
    </w:p>
    <w:p w:rsidR="00E271DE" w:rsidRDefault="00E271DE" w:rsidP="00BD73BF">
      <w:pPr>
        <w:spacing w:line="240" w:lineRule="auto"/>
        <w:rPr>
          <w:b/>
        </w:rPr>
      </w:pPr>
    </w:p>
    <w:p w:rsidR="00E271DE" w:rsidRDefault="00E271DE" w:rsidP="00BD73BF">
      <w:pPr>
        <w:spacing w:line="240" w:lineRule="auto"/>
        <w:rPr>
          <w:b/>
        </w:rPr>
      </w:pPr>
      <w:r>
        <w:rPr>
          <w:b/>
        </w:rPr>
        <w:t>SUPPLEMENTARY FIGURES</w:t>
      </w:r>
    </w:p>
    <w:p w:rsidR="00523C2B" w:rsidRDefault="00523C2B" w:rsidP="00BD73BF">
      <w:pPr>
        <w:spacing w:line="240" w:lineRule="auto"/>
      </w:pPr>
      <w:r w:rsidRPr="00242208">
        <w:rPr>
          <w:b/>
        </w:rPr>
        <w:t>Figure S1. Evaluation of the procedure used to quantitate the constitutive products derived from irinotecan or IMMU-132</w:t>
      </w:r>
      <w:r>
        <w:t>.</w:t>
      </w:r>
    </w:p>
    <w:p w:rsidR="00523C2B" w:rsidRDefault="00523C2B" w:rsidP="00BD73BF">
      <w:pPr>
        <w:spacing w:line="240" w:lineRule="auto"/>
        <w:rPr>
          <w:rFonts w:cs="Arial"/>
          <w:b/>
        </w:rPr>
      </w:pPr>
      <w:r w:rsidRPr="00523C2B">
        <w:rPr>
          <w:rFonts w:cs="Arial"/>
          <w:b/>
        </w:rPr>
        <w:t>Figure S2.  Clearance of IMMU-132 from mouse serum.</w:t>
      </w:r>
    </w:p>
    <w:p w:rsidR="00523C2B" w:rsidRDefault="00523C2B" w:rsidP="00BD73BF">
      <w:pPr>
        <w:spacing w:line="240" w:lineRule="auto"/>
        <w:rPr>
          <w:b/>
        </w:rPr>
      </w:pPr>
      <w:r w:rsidRPr="00F964CD">
        <w:rPr>
          <w:b/>
        </w:rPr>
        <w:t>Figure S3.  Concentrations of constitutive products in the serum from animals given irinotecan or IMMU-132 in nude mice bearing Capan-1 from 2 separate studies.</w:t>
      </w:r>
    </w:p>
    <w:p w:rsidR="00523C2B" w:rsidRPr="00523C2B" w:rsidRDefault="00523C2B" w:rsidP="00BD73BF">
      <w:pPr>
        <w:spacing w:line="240" w:lineRule="auto"/>
      </w:pPr>
      <w:r w:rsidRPr="00DB744A">
        <w:rPr>
          <w:b/>
        </w:rPr>
        <w:t xml:space="preserve">Figure S4.  Concentrations of products </w:t>
      </w:r>
      <w:r>
        <w:rPr>
          <w:b/>
        </w:rPr>
        <w:t>in the liver of mice (N = 3)</w:t>
      </w:r>
      <w:r w:rsidRPr="00DB744A">
        <w:rPr>
          <w:b/>
        </w:rPr>
        <w:t xml:space="preserve"> given</w:t>
      </w:r>
      <w:r>
        <w:rPr>
          <w:b/>
        </w:rPr>
        <w:t xml:space="preserve"> </w:t>
      </w:r>
      <w:r w:rsidRPr="00DB744A">
        <w:rPr>
          <w:b/>
        </w:rPr>
        <w:t xml:space="preserve">irinotecan or </w:t>
      </w:r>
      <w:r>
        <w:rPr>
          <w:b/>
        </w:rPr>
        <w:t xml:space="preserve">IMMU-132 </w:t>
      </w:r>
      <w:r w:rsidRPr="00DB744A">
        <w:rPr>
          <w:b/>
        </w:rPr>
        <w:t>determined in 2 separate studies.</w:t>
      </w:r>
    </w:p>
    <w:p w:rsidR="00766BCD" w:rsidRDefault="00766BCD" w:rsidP="00766BCD">
      <w:pPr>
        <w:spacing w:line="480" w:lineRule="auto"/>
      </w:pPr>
    </w:p>
    <w:p w:rsidR="00766BCD" w:rsidRDefault="00766BCD" w:rsidP="00766BCD">
      <w:r>
        <w:br w:type="page"/>
      </w:r>
    </w:p>
    <w:p w:rsidR="00093725" w:rsidRDefault="00093725" w:rsidP="00093725">
      <w:pPr>
        <w:jc w:val="center"/>
        <w:rPr>
          <w:b/>
        </w:rPr>
      </w:pPr>
      <w:r>
        <w:rPr>
          <w:b/>
        </w:rPr>
        <w:lastRenderedPageBreak/>
        <w:t>SUPPLEMENTARY INFORMATION</w:t>
      </w:r>
    </w:p>
    <w:p w:rsidR="00766BCD" w:rsidRDefault="00093725" w:rsidP="00766BCD">
      <w:pPr>
        <w:rPr>
          <w:b/>
        </w:rPr>
      </w:pPr>
      <w:r w:rsidRPr="00F6763B">
        <w:rPr>
          <w:b/>
        </w:rPr>
        <w:t>METHODS</w:t>
      </w:r>
    </w:p>
    <w:p w:rsidR="00D87D1A" w:rsidRDefault="00D87D1A" w:rsidP="00766BCD">
      <w:r w:rsidRPr="00D87D1A">
        <w:rPr>
          <w:i/>
        </w:rPr>
        <w:t xml:space="preserve">Establishment of Capan-1 and NCI-N87 </w:t>
      </w:r>
      <w:r w:rsidR="00BA0B26">
        <w:rPr>
          <w:i/>
        </w:rPr>
        <w:t>x</w:t>
      </w:r>
      <w:r w:rsidRPr="00D87D1A">
        <w:rPr>
          <w:i/>
        </w:rPr>
        <w:t xml:space="preserve">enografts in </w:t>
      </w:r>
      <w:r w:rsidR="00BA0B26">
        <w:rPr>
          <w:i/>
        </w:rPr>
        <w:t>N</w:t>
      </w:r>
      <w:r w:rsidRPr="00D87D1A">
        <w:rPr>
          <w:i/>
        </w:rPr>
        <w:t>ude</w:t>
      </w:r>
      <w:r w:rsidR="00A72B0E">
        <w:rPr>
          <w:i/>
        </w:rPr>
        <w:t xml:space="preserve"> </w:t>
      </w:r>
      <w:r w:rsidR="00BA0B26">
        <w:rPr>
          <w:i/>
        </w:rPr>
        <w:t>M</w:t>
      </w:r>
      <w:r w:rsidRPr="00D87D1A">
        <w:rPr>
          <w:i/>
        </w:rPr>
        <w:t>ice.</w:t>
      </w:r>
      <w:r w:rsidRPr="00D87D1A">
        <w:t xml:space="preserve"> </w:t>
      </w:r>
    </w:p>
    <w:p w:rsidR="00D87D1A" w:rsidRDefault="00D87D1A" w:rsidP="00D87D1A">
      <w:pPr>
        <w:spacing w:line="480" w:lineRule="auto"/>
        <w:ind w:firstLine="720"/>
      </w:pPr>
      <w:r w:rsidRPr="00D87D1A">
        <w:t>NCI-N87 gastric tumor xenografts were established by harvesting cells from tissue culture with each mouse receiving a total of 1x107 cells in a 0.2 mL s.c. injection in the right flank.  Capan-1 xenografts were established by making a tumor suspension from stock tumors and mixing with cells harvested from tissue culture.  A 0.3 mL injection, containing 20% w/v tumor suspension plus 1x107 cells, was injected s.c. into the flank.</w:t>
      </w:r>
    </w:p>
    <w:p w:rsidR="00A72B0E" w:rsidRPr="003C2157" w:rsidRDefault="00A72B0E" w:rsidP="003C2157">
      <w:pPr>
        <w:spacing w:line="480" w:lineRule="auto"/>
        <w:rPr>
          <w:i/>
        </w:rPr>
      </w:pPr>
      <w:r w:rsidRPr="003C2157">
        <w:rPr>
          <w:i/>
        </w:rPr>
        <w:t>HPLC Analysis</w:t>
      </w:r>
      <w:r>
        <w:rPr>
          <w:i/>
        </w:rPr>
        <w:t>.</w:t>
      </w:r>
    </w:p>
    <w:p w:rsidR="00766BCD" w:rsidRDefault="00766BCD" w:rsidP="00766BCD">
      <w:pPr>
        <w:spacing w:line="480" w:lineRule="auto"/>
        <w:ind w:firstLine="720"/>
      </w:pPr>
      <w:r>
        <w:t xml:space="preserve">HPLC analysis was performed using a Waters Alliance 2695 HPLC system.   Samples (20 µL) were loaded into an auto injector and set to run over 15 min, using a Waters 2475 in-line fluorescent detector </w:t>
      </w:r>
      <w:r w:rsidRPr="000542CB">
        <w:t>(373</w:t>
      </w:r>
      <w:r>
        <w:t xml:space="preserve"> nm excitation, 540 nm detection).  </w:t>
      </w:r>
      <w:r>
        <w:rPr>
          <w:color w:val="FF0000"/>
        </w:rPr>
        <w:t xml:space="preserve"> </w:t>
      </w:r>
      <w:r w:rsidRPr="00FE6252">
        <w:t xml:space="preserve">The area under the curve (AUC) </w:t>
      </w:r>
      <w:r>
        <w:t xml:space="preserve">for each peak was quantitated using Waters Empower software.  </w:t>
      </w:r>
      <w:r w:rsidRPr="00FE6252">
        <w:t xml:space="preserve"> </w:t>
      </w:r>
      <w:r w:rsidRPr="009B7396">
        <w:t xml:space="preserve">Prior to each </w:t>
      </w:r>
      <w:r>
        <w:t xml:space="preserve">set of runs, a series of samples, representing the buffer alone to set baseline and extracts of the tissue of interest taken from mice that were not previously injected with either product (tissue blanks), were run to ascertain if any peaks co-migrated at the elution time for any of the 4 products of interest (10-HCPT, SN-38, SN-38G, and irinotecan).  The final product AUC was derived by subtracting the AUC for any co-migrating peaks in the tissue blanks. For product quantitation, the AUC for the product peaks were normalized against the 10-HCPT internal standard by taking the ratio of product AUC to the 10-HCPT AUC.  Standard curves were established using standards for SN-38, SN-38G, and irinotecan.  The log-transformed ratio of the AUCs was plotted against the log of the standard concentration, with linear correlation coefficients for each product exceeding 0.99 over the range of 10 to 10,000 ng/mL. </w:t>
      </w:r>
    </w:p>
    <w:p w:rsidR="00766BCD" w:rsidRDefault="00766BCD" w:rsidP="00766BCD">
      <w:pPr>
        <w:tabs>
          <w:tab w:val="left" w:pos="720"/>
        </w:tabs>
        <w:spacing w:line="480" w:lineRule="auto"/>
      </w:pPr>
      <w:r>
        <w:tab/>
        <w:t xml:space="preserve">Sera from mice were assayed also by ELISA for hRS7 IgG using an anti-idiotype monoclonal antibody (designated WU) to capture the antibody on a microtiter plate, competing with the hRS7 IgG </w:t>
      </w:r>
      <w:r>
        <w:lastRenderedPageBreak/>
        <w:t xml:space="preserve">conjugated to horseradish peroxidase.  This assay has a sensitivity of 1 µg/mL.  A second ELISA was used to estimate the amount of IMMU-132 in the serum.  This assay uses an anti-SN-38 antibody developed by Immunomedics, Inc., designated SG2, to capture IMMU-132, and then probe for binding with the anti-hRS7 idiotype antibody conjugated with horseradish peroxidase.  The sensitivity of this assay is 10 ng/mL. </w:t>
      </w:r>
    </w:p>
    <w:p w:rsidR="00093725" w:rsidRPr="00093725" w:rsidRDefault="00766BCD" w:rsidP="00766BCD">
      <w:pPr>
        <w:tabs>
          <w:tab w:val="left" w:pos="720"/>
        </w:tabs>
        <w:spacing w:line="480" w:lineRule="auto"/>
        <w:rPr>
          <w:b/>
          <w:i/>
        </w:rPr>
      </w:pPr>
      <w:r w:rsidRPr="00093725">
        <w:rPr>
          <w:i/>
        </w:rPr>
        <w:t xml:space="preserve">In Vitro Stability </w:t>
      </w:r>
      <w:r w:rsidR="00BA0B26">
        <w:rPr>
          <w:i/>
        </w:rPr>
        <w:t>T</w:t>
      </w:r>
      <w:r w:rsidRPr="00093725">
        <w:rPr>
          <w:i/>
        </w:rPr>
        <w:t>esting in Mouse S</w:t>
      </w:r>
      <w:r w:rsidR="00093725">
        <w:rPr>
          <w:i/>
        </w:rPr>
        <w:t>erum</w:t>
      </w:r>
    </w:p>
    <w:p w:rsidR="00766BCD" w:rsidRPr="00AC22DA" w:rsidRDefault="00766BCD" w:rsidP="00766BCD">
      <w:pPr>
        <w:tabs>
          <w:tab w:val="left" w:pos="720"/>
        </w:tabs>
        <w:spacing w:line="480" w:lineRule="auto"/>
      </w:pPr>
      <w:r>
        <w:t xml:space="preserve">IMMU-132 (22.5 µL), freshly reconstituted with water to a concentration of 10 mg/mL, was added to 0.75 mL of pooled mouse serum and filtered through a 0.2 µ filter into a sterile vial. Aliquots (0.2 mL) were placed in 3 wells in a 96-well plate, with the rest of the wells filled with 0.2 mL of sterile PBS, and incubated at 37 </w:t>
      </w:r>
      <w:r>
        <w:rPr>
          <w:rFonts w:ascii="Symbol" w:hAnsi="Symbol"/>
        </w:rPr>
        <w:t></w:t>
      </w:r>
      <w:r>
        <w:t>C in a 5% CO</w:t>
      </w:r>
      <w:r>
        <w:rPr>
          <w:vertAlign w:val="subscript"/>
        </w:rPr>
        <w:t>2</w:t>
      </w:r>
      <w:r>
        <w:t xml:space="preserve"> incubator. At 4, 24, 46.5, 72, and 100.5 h, 20-µL aliquots were withdrawn and mixed with 10 µL of 2 µg/mL DMSO solution of 10-HCPT and 20 µL of the protein precipitating mixture. The mixture was vortexed and centrifuged. The clear supernatant solution was transferred to HPLC vials, and fixed volumes of the extracts were analyzed by </w:t>
      </w:r>
      <w:r w:rsidRPr="00052ABB">
        <w:t xml:space="preserve">reversed-phase </w:t>
      </w:r>
      <w:r>
        <w:t>HPLC, determining SN-38 by fluorescence detection of the HPLC peak. A plot of free SN-38 build-up kinetics was generated, using an equation for one-phase exponential association, starting at zero and ascending to Y</w:t>
      </w:r>
      <w:r>
        <w:rPr>
          <w:vertAlign w:val="subscript"/>
        </w:rPr>
        <w:t>max</w:t>
      </w:r>
      <w:r>
        <w:t xml:space="preserve"> with a rate constant K; half-life was then calculated as 0.69/K</w:t>
      </w:r>
      <w:r w:rsidRPr="00EF686A">
        <w:t xml:space="preserve"> </w:t>
      </w:r>
      <w:r>
        <w:t>using standard Prism</w:t>
      </w:r>
      <w:r>
        <w:rPr>
          <w:rFonts w:ascii="Symbol" w:hAnsi="Symbol"/>
        </w:rPr>
        <w:t></w:t>
      </w:r>
      <w:r>
        <w:t xml:space="preserve"> software.     </w:t>
      </w:r>
    </w:p>
    <w:p w:rsidR="00093725" w:rsidRPr="00093725" w:rsidRDefault="00766BCD" w:rsidP="00093725">
      <w:pPr>
        <w:spacing w:line="480" w:lineRule="auto"/>
        <w:rPr>
          <w:i/>
        </w:rPr>
      </w:pPr>
      <w:r w:rsidRPr="00093725">
        <w:rPr>
          <w:i/>
        </w:rPr>
        <w:t>In Vitro Glucuronidation Assay</w:t>
      </w:r>
    </w:p>
    <w:p w:rsidR="00766BCD" w:rsidRPr="00B910C1" w:rsidRDefault="00766BCD" w:rsidP="00766BCD">
      <w:pPr>
        <w:spacing w:line="480" w:lineRule="auto"/>
        <w:ind w:firstLine="360"/>
        <w:rPr>
          <w:b/>
        </w:rPr>
      </w:pPr>
      <w:r>
        <w:t xml:space="preserve">An </w:t>
      </w:r>
      <w:r w:rsidRPr="005272A8">
        <w:rPr>
          <w:i/>
        </w:rPr>
        <w:t>in vitro</w:t>
      </w:r>
      <w:r>
        <w:t xml:space="preserve"> glucuronidation assay was performed to determine the susceptibility of SN-38 bound to IMMU-132 to be glucuronidated prior to its release.   Briefly</w:t>
      </w:r>
      <w:r w:rsidRPr="00085CD3">
        <w:t>, SN</w:t>
      </w:r>
      <w:r>
        <w:t>-38 and IMMU-132 stock solutions prepared in dimethyl sulfoxide (DMSO) or buffer were examined separately and added to the reaction mixture at a final concentration of 500 ng/mL (1.27 µM) based on SN-38 content.  In addition to SN-38 and IMMU-132, the total reaction mixture contained the following reagents at their final concentrations: uridine diphosphate glucuronic acid (5 mM) and</w:t>
      </w:r>
      <w:r w:rsidRPr="003D71C4">
        <w:t xml:space="preserve"> </w:t>
      </w:r>
      <w:r>
        <w:t>MgCl</w:t>
      </w:r>
      <w:r w:rsidRPr="00371492">
        <w:rPr>
          <w:vertAlign w:val="subscript"/>
        </w:rPr>
        <w:t>2</w:t>
      </w:r>
      <w:r>
        <w:t xml:space="preserve"> (10 mM), both purchased from </w:t>
      </w:r>
      <w:r>
        <w:lastRenderedPageBreak/>
        <w:t>Sigma (St. Louis, MO), and alamethicin (25 µg/mL; Alfa Aesar, Ward Hill, MA), with</w:t>
      </w:r>
      <w:r w:rsidRPr="00371492">
        <w:t xml:space="preserve"> </w:t>
      </w:r>
      <w:r>
        <w:t>the final volume adjusted to 0.2 mL with the addition of 99 µL of 0.1 M Tris). The reaction was started with the addition of UGT1A1 supersomes (Corning Life Sciences, Tweksbury, MA), and allowed to proceed for 60 min at 37</w:t>
      </w:r>
      <w:r w:rsidRPr="00371492">
        <w:rPr>
          <w:vertAlign w:val="superscript"/>
        </w:rPr>
        <w:t>o</w:t>
      </w:r>
      <w:r>
        <w:t xml:space="preserve">C.   At the end of this incubation period, 50 µL of the reaction mixture was placed in 0.1 mL of normal human serum, which was added to facilitate precipitation by precipitating reagent, along with 10 µL of the internal standard, 10-HCPT (final SN-38 concentration in each sample was 425.3nM).  After the addition of the precipitating reagent (0.16 mL), the clarified supernatant was analyzed for SN-38 and SN-38G from duplicate HPLC runs.   A separate 50-µL sample from the reaction mixture containing the IMMU-132 sample was also placed in 0.1 mL of normal human serum with 10-HCPT, and this sample was acid-hydrolyzed overnight at 50 </w:t>
      </w:r>
      <w:r w:rsidRPr="00E83740">
        <w:rPr>
          <w:vertAlign w:val="superscript"/>
        </w:rPr>
        <w:t>o</w:t>
      </w:r>
      <w:r>
        <w:t xml:space="preserve">C, neutralized and then extracted with the precipitating reagent.  The acid-hydrolyzed sample assessed the amount of SN-38 [TOTAL] and SN-38G [TOTAL], whereas the former non-hydrolyzed sample measured free levels of SN-38 and SN-38G in the IMMU-132 sample, as well as in the SN-38 sample.     </w:t>
      </w:r>
    </w:p>
    <w:p w:rsidR="00D87D1A" w:rsidRDefault="00D87D1A" w:rsidP="00766BCD">
      <w:pPr>
        <w:spacing w:line="480" w:lineRule="auto"/>
        <w:rPr>
          <w:b/>
        </w:rPr>
      </w:pPr>
      <w:r>
        <w:rPr>
          <w:b/>
        </w:rPr>
        <w:t>RESULTS</w:t>
      </w:r>
    </w:p>
    <w:p w:rsidR="00D87D1A" w:rsidRDefault="00766BCD" w:rsidP="00766BCD">
      <w:pPr>
        <w:spacing w:line="480" w:lineRule="auto"/>
      </w:pPr>
      <w:r w:rsidRPr="00D87D1A">
        <w:rPr>
          <w:i/>
        </w:rPr>
        <w:t>Quantitative HPLC Methodological Assessments</w:t>
      </w:r>
      <w:r>
        <w:t xml:space="preserve">.  </w:t>
      </w:r>
    </w:p>
    <w:p w:rsidR="00766BCD" w:rsidRDefault="0048224F" w:rsidP="00D87D1A">
      <w:pPr>
        <w:spacing w:line="480" w:lineRule="auto"/>
        <w:ind w:firstLine="720"/>
      </w:pPr>
      <w:r>
        <w:t>P</w:t>
      </w:r>
      <w:r w:rsidR="00766BCD">
        <w:t xml:space="preserve">rior to initiating these studies, various aspects of the procedures used for the analysis of tissue samples were assessed to determine their suitability for measuring the products of interest.  The core extraction and analysis procedure was based on those reported by Hirose et al. </w:t>
      </w:r>
      <w:r w:rsidR="00766BCD">
        <w:fldChar w:fldCharType="begin"/>
      </w:r>
      <w:r w:rsidR="00E64851">
        <w:instrText xml:space="preserve"> ADDIN EN.CITE &lt;EndNote&gt;&lt;Cite&gt;&lt;Author&gt;Hirose&lt;/Author&gt;&lt;Year&gt;2012&lt;/Year&gt;&lt;RecNum&gt;12&lt;/RecNum&gt;&lt;DisplayText&gt;(1)&lt;/DisplayText&gt;&lt;record&gt;&lt;rec-number&gt;12&lt;/rec-number&gt;&lt;foreign-keys&gt;&lt;key app="EN" db-id="xe2epesttweex8e2wsbvp098fver0f5wfrpz" timestamp="1425222516"&gt;12&lt;/key&gt;&lt;/foreign-keys&gt;&lt;ref-type name="Journal Article"&gt;17&lt;/ref-type&gt;&lt;contributors&gt;&lt;authors&gt;&lt;author&gt;Hirose, K.&lt;/author&gt;&lt;author&gt;Kozu, C.&lt;/author&gt;&lt;author&gt;Yamashita, K.&lt;/author&gt;&lt;author&gt;Maruo, E.&lt;/author&gt;&lt;author&gt;Kitamura, M.&lt;/author&gt;&lt;author&gt;Hasegawa, J.&lt;/author&gt;&lt;author&gt;Omoda, K.&lt;/author&gt;&lt;author&gt;Murakami, T.&lt;/author&gt;&lt;author&gt;Maeda, Y.&lt;/author&gt;&lt;/authors&gt;&lt;/contributors&gt;&lt;auth-address&gt;Department of Pharmacy, Osaka Rosai Hospital, Sakai, Osaka 591-8025&lt;/auth-address&gt;&lt;titles&gt;&lt;title&gt;Correlation between plasma concentration ratios of SN-38 glucuronide and SN-38 and neutropenia induction in patients with colorectal cancer and wild-type UGT1A1 gene&lt;/title&gt;&lt;secondary-title&gt;Oncol Lett&lt;/secondary-title&gt;&lt;/titles&gt;&lt;periodical&gt;&lt;full-title&gt;Oncology Letters&lt;/full-title&gt;&lt;abbr-1&gt;Oncol. Lett.&lt;/abbr-1&gt;&lt;abbr-2&gt;Oncol Lett&lt;/abbr-2&gt;&lt;/periodical&gt;&lt;pages&gt;694-698&lt;/pages&gt;&lt;volume&gt;3&lt;/volume&gt;&lt;number&gt;3&lt;/number&gt;&lt;reprint-edition&gt;NOT IN FILE&lt;/reprint-edition&gt;&lt;keywords&gt;&lt;keyword&gt;analysis&lt;/keyword&gt;&lt;keyword&gt;blood&lt;/keyword&gt;&lt;keyword&gt;Diarrhea&lt;/keyword&gt;&lt;keyword&gt;Fluorouracil&lt;/keyword&gt;&lt;keyword&gt;metabolism&lt;/keyword&gt;&lt;/keywords&gt;&lt;dates&gt;&lt;year&gt;2012&lt;/year&gt;&lt;/dates&gt;&lt;urls&gt;&lt;related-urls&gt;&lt;url&gt;PM:22740978&lt;/url&gt;&lt;url&gt;http://www.ncbi.nlm.nih.gov/pmc/articles/PMC3362497/pdf/ol-03-03-0694.pdf&lt;/url&gt;&lt;/related-urls&gt;&lt;/urls&gt;&lt;/record&gt;&lt;/Cite&gt;&lt;/EndNote&gt;</w:instrText>
      </w:r>
      <w:r w:rsidR="00766BCD">
        <w:fldChar w:fldCharType="separate"/>
      </w:r>
      <w:r w:rsidR="00E64851">
        <w:rPr>
          <w:noProof/>
        </w:rPr>
        <w:t>(1)</w:t>
      </w:r>
      <w:r w:rsidR="00766BCD">
        <w:fldChar w:fldCharType="end"/>
      </w:r>
      <w:r w:rsidR="00766BCD">
        <w:t>, but with certain modifications.  For example, the elution gradient was modified, adding more acetonitrile to the second run buffer (i.e., 60:40 in place of 70:30</w:t>
      </w:r>
      <w:r w:rsidR="00766BCD" w:rsidRPr="00DA3234">
        <w:t xml:space="preserve"> </w:t>
      </w:r>
      <w:r w:rsidR="00766BCD">
        <w:t>water/acetonitrile).  This gradient system allowed for better separation of the 4 products of interest, particularly irinotecan (</w:t>
      </w:r>
      <w:r w:rsidR="00E64851">
        <w:rPr>
          <w:b/>
        </w:rPr>
        <w:t>Fig.</w:t>
      </w:r>
      <w:r w:rsidR="00766BCD" w:rsidRPr="0057254B">
        <w:rPr>
          <w:b/>
        </w:rPr>
        <w:t xml:space="preserve"> </w:t>
      </w:r>
      <w:r w:rsidR="00E64851">
        <w:rPr>
          <w:b/>
        </w:rPr>
        <w:t>S</w:t>
      </w:r>
      <w:r w:rsidR="00766BCD" w:rsidRPr="0057254B">
        <w:rPr>
          <w:b/>
        </w:rPr>
        <w:t>1</w:t>
      </w:r>
      <w:r w:rsidR="00E64851">
        <w:rPr>
          <w:b/>
        </w:rPr>
        <w:t>A</w:t>
      </w:r>
      <w:r w:rsidR="00766BCD">
        <w:rPr>
          <w:b/>
        </w:rPr>
        <w:t>)</w:t>
      </w:r>
      <w:r w:rsidR="00766BCD">
        <w:t xml:space="preserve">.  Secondly, the extraction procedure by Hirose et al. </w:t>
      </w:r>
      <w:r w:rsidR="00E64851">
        <w:fldChar w:fldCharType="begin"/>
      </w:r>
      <w:r w:rsidR="0059074B">
        <w:instrText xml:space="preserve"> ADDIN EN.CITE &lt;EndNote&gt;&lt;Cite&gt;&lt;Author&gt;Hirose&lt;/Author&gt;&lt;Year&gt;2012&lt;/Year&gt;&lt;RecNum&gt;12&lt;/RecNum&gt;&lt;DisplayText&gt;(1)&lt;/DisplayText&gt;&lt;record&gt;&lt;rec-number&gt;12&lt;/rec-number&gt;&lt;foreign-keys&gt;&lt;key app="EN" db-id="xe2epesttweex8e2wsbvp098fver0f5wfrpz" timestamp="1425222516"&gt;12&lt;/key&gt;&lt;/foreign-keys&gt;&lt;ref-type name="Journal Article"&gt;17&lt;/ref-type&gt;&lt;contributors&gt;&lt;authors&gt;&lt;author&gt;Hirose, K.&lt;/author&gt;&lt;author&gt;Kozu, C.&lt;/author&gt;&lt;author&gt;Yamashita, K.&lt;/author&gt;&lt;author&gt;Maruo, E.&lt;/author&gt;&lt;author&gt;Kitamura, M.&lt;/author&gt;&lt;author&gt;Hasegawa, J.&lt;/author&gt;&lt;author&gt;Omoda, K.&lt;/author&gt;&lt;author&gt;Murakami, T.&lt;/author&gt;&lt;author&gt;Maeda, Y.&lt;/author&gt;&lt;/authors&gt;&lt;/contributors&gt;&lt;auth-address&gt;Department of Pharmacy, Osaka Rosai Hospital, Sakai, Osaka 591-8025&lt;/auth-address&gt;&lt;titles&gt;&lt;title&gt;Correlation between plasma concentration ratios of SN-38 glucuronide and SN-38 and neutropenia induction in patients with colorectal cancer and wild-type UGT1A1 gene&lt;/title&gt;&lt;secondary-title&gt;Oncol Lett&lt;/secondary-title&gt;&lt;/titles&gt;&lt;periodical&gt;&lt;full-title&gt;Oncology Letters&lt;/full-title&gt;&lt;abbr-1&gt;Oncol. Lett.&lt;/abbr-1&gt;&lt;abbr-2&gt;Oncol Lett&lt;/abbr-2&gt;&lt;/periodical&gt;&lt;pages&gt;694-698&lt;/pages&gt;&lt;volume&gt;3&lt;/volume&gt;&lt;number&gt;3&lt;/number&gt;&lt;reprint-edition&gt;NOT IN FILE&lt;/reprint-edition&gt;&lt;keywords&gt;&lt;keyword&gt;analysis&lt;/keyword&gt;&lt;keyword&gt;blood&lt;/keyword&gt;&lt;keyword&gt;Diarrhea&lt;/keyword&gt;&lt;keyword&gt;Fluorouracil&lt;/keyword&gt;&lt;keyword&gt;metabolism&lt;/keyword&gt;&lt;/keywords&gt;&lt;dates&gt;&lt;year&gt;2012&lt;/year&gt;&lt;/dates&gt;&lt;urls&gt;&lt;related-urls&gt;&lt;url&gt;PM:22740978&lt;/url&gt;&lt;url&gt;http://www.ncbi.nlm.nih.gov/pmc/articles/PMC3362497/pdf/ol-03-03-0694.pdf&lt;/url&gt;&lt;/related-urls&gt;&lt;/urls&gt;&lt;/record&gt;&lt;/Cite&gt;&lt;/EndNote&gt;</w:instrText>
      </w:r>
      <w:r w:rsidR="00E64851">
        <w:fldChar w:fldCharType="separate"/>
      </w:r>
      <w:r w:rsidR="00E64851">
        <w:rPr>
          <w:noProof/>
        </w:rPr>
        <w:t>(1)</w:t>
      </w:r>
      <w:r w:rsidR="00E64851">
        <w:fldChar w:fldCharType="end"/>
      </w:r>
      <w:r w:rsidR="00E64851">
        <w:t xml:space="preserve"> </w:t>
      </w:r>
      <w:r w:rsidR="00766BCD">
        <w:t xml:space="preserve">utilized 0.45 mL of serum with 0.15 mL of the protein precipitation reagent; however, since mouse serum was more limited in volume, and since we wanted to maximize </w:t>
      </w:r>
      <w:r w:rsidR="00766BCD">
        <w:lastRenderedPageBreak/>
        <w:t>sensitivity by minimizing the dilution of the mouse serum, we tested extraction efficiency using a smaller serum volume (0.15 mL) spiked with SN-38 and the 10-HCPT internal standard, varying the volume of the precipitation reagent (0.05 to 0.2 mL).  Optimal recovery (i.e., &gt;90%) occurred with ≥ 0.15 mL of the precipitation reagent.  Therefore, our standard procedure utilized an equal volume of the sample and precipitation reagent, with the minimum sample volume of 0.15 mL.  In order to have sufficient sample for at least 2 determinations without excessive dilution, an equal part of water was added to the mouse serum samples (2:1 dilution).</w:t>
      </w:r>
    </w:p>
    <w:p w:rsidR="00766BCD" w:rsidRDefault="00766BCD" w:rsidP="00766BCD">
      <w:pPr>
        <w:spacing w:line="480" w:lineRule="auto"/>
        <w:ind w:firstLine="720"/>
      </w:pPr>
      <w:r>
        <w:t xml:space="preserve">Tissue samples, including tumor, liver, and intestinal contents, required homogenization prior to extraction.  In order to have sufficient volume for homogenization, water was added to the tissues (1 part tissue + 10 parts water; 11:1 vol/wt dilution).   After homogenization, an equal amount of the precipitation reagent was added to a portion of the homogenate prior to removing sediments. This was vortexed for 15 seconds, then centrifuged, with the clarified supernatant processed by HPLC for SN-38 quantitation.  Recovery assessments were made by spiking tissue samples prior to homogenization with known amounts of SN-38 and 10-HCPT.  </w:t>
      </w:r>
      <w:r>
        <w:rPr>
          <w:b/>
        </w:rPr>
        <w:t xml:space="preserve">Table </w:t>
      </w:r>
      <w:r w:rsidR="00E64851">
        <w:rPr>
          <w:b/>
        </w:rPr>
        <w:t>S1</w:t>
      </w:r>
      <w:r>
        <w:t xml:space="preserve"> lists the results for the recovery of SN-38 found in one study where a single sample of mouse serum or water homogenates prepared from mouse liver and feces were spiked with SN-38, SN-38G, or irinotecan at 3 different levels, each having triplicate HPLC assessments.  The % coefficient of variation (CV) was &lt;1%, highlighting the highly reproducible results from sequential HPLC runs of the same sample.  The % difference between the expected and observed values showed higher differences in the liver and feces samples when lower amounts of product were present.  Similar results were observed for SN-38G and irinotecan (not shown). Overall, these studies suggested that the homogenization and extraction procedure permitted acceptable recoveries of the products.  </w:t>
      </w:r>
    </w:p>
    <w:p w:rsidR="00766BCD" w:rsidRDefault="00766BCD" w:rsidP="00766BCD">
      <w:pPr>
        <w:spacing w:line="480" w:lineRule="auto"/>
        <w:ind w:firstLine="720"/>
      </w:pPr>
      <w:r>
        <w:t xml:space="preserve">Standard curves were established for the quantitation of the products of interest by spiking human serum with increasing amounts of SN-38, SN-38G, and irinotecan, starting at concentrations of </w:t>
      </w:r>
      <w:r>
        <w:lastRenderedPageBreak/>
        <w:t xml:space="preserve">10 ng/mL and increasing to 10,000 ng/mL.  Each sample is then spiked with a fixed amount of 10-HCPT prior to the addition of the precipitating reagent.  Standard curves were derived using log-transformed values for the concentration of each product and the ratio of the AUC for the product peak divided by the AUC of the 10-HCPT peak at each product concentration tested.  </w:t>
      </w:r>
      <w:r w:rsidRPr="0057254B">
        <w:rPr>
          <w:b/>
        </w:rPr>
        <w:t xml:space="preserve">Figure </w:t>
      </w:r>
      <w:r>
        <w:rPr>
          <w:b/>
        </w:rPr>
        <w:t>S1</w:t>
      </w:r>
      <w:r w:rsidR="00E64851">
        <w:rPr>
          <w:b/>
        </w:rPr>
        <w:t>B</w:t>
      </w:r>
      <w:r>
        <w:t xml:space="preserve"> illustrates a typical standard curve, in this case for SN-38. Any sample value below the minimal threshold of the standard curve was reported as not detectable, whereas when samples had a value greater than maximum threshold, the tissue homogenate samples were diluted further in water, spiked with 10-HCPT, and extracted.   Initial studies to determine the accuracy and precision of the HPLC procedure included an evaluation of triplicate samples of human serum spiked with SN-38, SN-38G, and the internal standard (10-HCPT) analyzed with single HPLC runs or single sample preparations analyzed using duplicate HPLC runs.  </w:t>
      </w:r>
      <w:r w:rsidR="00E64851">
        <w:rPr>
          <w:b/>
        </w:rPr>
        <w:t>Table S2</w:t>
      </w:r>
      <w:r>
        <w:t xml:space="preserve"> illustrates a set of data from triplicate SN-38/SN-38G samples (acid hydrolyzed and non-hydrolyzed; see below) analyzed by a single HPLC run, with most of the % CV for observed being &lt; 2.0% of expected.  A review of the AUC peak for the internal standard in 88 separate HPLC runs of extracted samples taken from serum, liver, or tumors found a 5.9% CV, indicating a high level of accuracy and precision in the preparation and measurement of the internal standard. </w:t>
      </w:r>
    </w:p>
    <w:p w:rsidR="00766BCD" w:rsidRDefault="00766BCD" w:rsidP="00766BCD">
      <w:pPr>
        <w:spacing w:line="480" w:lineRule="auto"/>
        <w:ind w:firstLine="720"/>
      </w:pPr>
      <w:r>
        <w:t>When the precipitating reagent was added to serum freshly spiked with IMMU-132, only trace amounts of SN-38</w:t>
      </w:r>
      <w:r w:rsidRPr="00CA0DBA">
        <w:t xml:space="preserve"> </w:t>
      </w:r>
      <w:r>
        <w:t xml:space="preserve">were detected. These trace amounts were equal to the amount of unbound SN-38 previously determined for the lot of IMMU-132 being used, which was </w:t>
      </w:r>
      <w:r w:rsidRPr="00E64851">
        <w:t>typically &lt;1</w:t>
      </w:r>
      <w:r w:rsidR="00E64851">
        <w:t>% of the total SN-38</w:t>
      </w:r>
      <w:r>
        <w:t xml:space="preserve">.  This was a clear indication that the SN-38 bound to the IgG was not released during the extraction process, but instead was precipitated with the other proteins.  Therefore, a method was developed to liberate all SN-38 from the conjugate by first hydrolyzing the samples overnight at 50 </w:t>
      </w:r>
      <w:r w:rsidRPr="005F1557">
        <w:rPr>
          <w:vertAlign w:val="superscript"/>
        </w:rPr>
        <w:t>o</w:t>
      </w:r>
      <w:r>
        <w:t xml:space="preserve">C in HCl. Acid-hydrolyzed samples of serum or tissue homogenates spiked with IMMU-132 yielded the expected amount of SN-38.  Thus, in order to quantify SN-38 from IMMU-132-containing samples, 2 processes were used: an acid-hydrolyzed sample measured the total amount of SN-38 or SN-38G (i.e., bound + </w:t>
      </w:r>
      <w:r>
        <w:lastRenderedPageBreak/>
        <w:t xml:space="preserve">free, referred to as SN-38 [TOTAL] or SN-38G [TOTAL]), while a non-hydrolyzed sample measured the amount of free SN-38 or SN-38G.  Each of these 2 samples was then subjected to extraction with the precipitation reagent.  Samples derived from animals given irinotecan were not processed by acid hydrolysis, but subjected only to the extraction procedure. Triplicate samples of serum spiked with SN-38G that were first processed by acid hydrolysis and then extracted found only 3.0 ± 0.2% of the SN-38G was converted to SN-38, indicating there was a negligible impact on the determination of SN-38G in the acid-hydrolyzed samples.  </w:t>
      </w:r>
    </w:p>
    <w:p w:rsidR="00E64851" w:rsidRDefault="00766BCD" w:rsidP="00E64851">
      <w:pPr>
        <w:spacing w:line="480" w:lineRule="auto"/>
        <w:ind w:firstLine="720"/>
      </w:pPr>
      <w:r>
        <w:t xml:space="preserve">  Overall, these studies provided sufficient evidence that the procedures developed for these assessments would yield reliable and reproducible results.  Since serum samples were diluted 2:1 and tissues were homogenized at a 10:1 ratio (vol:wt; dilution factor 11:1), and with the standard curve minimal acceptable value of 10 ng/mL, the minimum sensitivity of detection in serum was 20 ng/mL and in tissue homogenates 110 ng/mL.  </w:t>
      </w:r>
    </w:p>
    <w:p w:rsidR="00E64851" w:rsidRPr="00E64851" w:rsidRDefault="00E64851">
      <w:pPr>
        <w:rPr>
          <w:b/>
        </w:rPr>
      </w:pPr>
      <w:r w:rsidRPr="00E64851">
        <w:rPr>
          <w:b/>
        </w:rPr>
        <w:t xml:space="preserve">Supplementary Reference </w:t>
      </w:r>
    </w:p>
    <w:p w:rsidR="0059074B" w:rsidRPr="0059074B" w:rsidRDefault="00E64851" w:rsidP="0059074B">
      <w:pPr>
        <w:pStyle w:val="EndNoteBibliography"/>
      </w:pPr>
      <w:r>
        <w:fldChar w:fldCharType="begin"/>
      </w:r>
      <w:r>
        <w:instrText xml:space="preserve"> ADDIN EN.REFLIST </w:instrText>
      </w:r>
      <w:r>
        <w:fldChar w:fldCharType="separate"/>
      </w:r>
      <w:r w:rsidR="0059074B" w:rsidRPr="0059074B">
        <w:t>1.</w:t>
      </w:r>
      <w:r w:rsidR="0059074B" w:rsidRPr="0059074B">
        <w:tab/>
        <w:t>Hirose K, Kozu C, Yamashita K, Maruo E, Kitamura M, Hasegawa J, et al. Correlation between plasma concentration ratios of SN-38 glucuronide and SN-38 and neutropenia induction in patients with colorectal cancer and wild-type UGT1A1 gene. Oncol Lett. 2012;3:694-8.</w:t>
      </w:r>
    </w:p>
    <w:p w:rsidR="00E64851" w:rsidRDefault="00E64851">
      <w:r>
        <w:fldChar w:fldCharType="end"/>
      </w:r>
    </w:p>
    <w:p w:rsidR="00E64851" w:rsidRDefault="00E64851">
      <w:r>
        <w:br w:type="page"/>
      </w:r>
    </w:p>
    <w:p w:rsidR="00E64851" w:rsidRDefault="00E64851" w:rsidP="00E64851">
      <w:pPr>
        <w:spacing w:line="480" w:lineRule="auto"/>
        <w:ind w:firstLine="720"/>
      </w:pPr>
    </w:p>
    <w:p w:rsidR="00E64851" w:rsidRDefault="00E64851" w:rsidP="00E64851">
      <w:pPr>
        <w:spacing w:line="480" w:lineRule="auto"/>
        <w:ind w:firstLine="720"/>
      </w:pPr>
    </w:p>
    <w:tbl>
      <w:tblPr>
        <w:tblStyle w:val="TableGrid"/>
        <w:tblpPr w:leftFromText="180" w:rightFromText="180" w:vertAnchor="page" w:horzAnchor="margin" w:tblpY="1531"/>
        <w:tblW w:w="9445" w:type="dxa"/>
        <w:tblLayout w:type="fixed"/>
        <w:tblLook w:val="04A0" w:firstRow="1" w:lastRow="0" w:firstColumn="1" w:lastColumn="0" w:noHBand="0" w:noVBand="1"/>
      </w:tblPr>
      <w:tblGrid>
        <w:gridCol w:w="1075"/>
        <w:gridCol w:w="810"/>
        <w:gridCol w:w="630"/>
        <w:gridCol w:w="630"/>
        <w:gridCol w:w="900"/>
        <w:gridCol w:w="630"/>
        <w:gridCol w:w="630"/>
        <w:gridCol w:w="900"/>
        <w:gridCol w:w="540"/>
        <w:gridCol w:w="630"/>
        <w:gridCol w:w="900"/>
        <w:gridCol w:w="540"/>
        <w:gridCol w:w="630"/>
      </w:tblGrid>
      <w:tr w:rsidR="00E64851" w:rsidRPr="001E4B5A" w:rsidTr="00694417">
        <w:tc>
          <w:tcPr>
            <w:tcW w:w="9445" w:type="dxa"/>
            <w:gridSpan w:val="13"/>
          </w:tcPr>
          <w:p w:rsidR="00E64851" w:rsidRPr="00BA0B26" w:rsidRDefault="00E64851" w:rsidP="00694417">
            <w:pPr>
              <w:rPr>
                <w:b/>
                <w:szCs w:val="18"/>
              </w:rPr>
            </w:pPr>
            <w:r w:rsidRPr="001E4B5A">
              <w:rPr>
                <w:b/>
                <w:szCs w:val="18"/>
              </w:rPr>
              <w:t>Table S1.  SN-38 and SN-38G standard curves using triplicate dilutions of each concentration with single HPLC run</w:t>
            </w:r>
            <w:r w:rsidRPr="001E4B5A">
              <w:rPr>
                <w:b/>
                <w:i/>
                <w:szCs w:val="18"/>
                <w:vertAlign w:val="superscript"/>
              </w:rPr>
              <w:t>a</w:t>
            </w:r>
            <w:r w:rsidR="00BA0B26">
              <w:rPr>
                <w:b/>
                <w:i/>
                <w:szCs w:val="18"/>
              </w:rPr>
              <w:t>.</w:t>
            </w:r>
          </w:p>
        </w:tc>
      </w:tr>
      <w:tr w:rsidR="00E64851" w:rsidRPr="00EA6693" w:rsidTr="00694417">
        <w:tc>
          <w:tcPr>
            <w:tcW w:w="1075" w:type="dxa"/>
            <w:vMerge w:val="restart"/>
            <w:vAlign w:val="bottom"/>
          </w:tcPr>
          <w:p w:rsidR="00E64851" w:rsidRPr="00EA6693" w:rsidRDefault="00E64851" w:rsidP="00694417">
            <w:pPr>
              <w:rPr>
                <w:sz w:val="18"/>
                <w:szCs w:val="18"/>
              </w:rPr>
            </w:pPr>
            <w:r w:rsidRPr="00EA6693">
              <w:rPr>
                <w:sz w:val="18"/>
                <w:szCs w:val="18"/>
              </w:rPr>
              <w:t>Expected</w:t>
            </w:r>
          </w:p>
        </w:tc>
        <w:tc>
          <w:tcPr>
            <w:tcW w:w="4230" w:type="dxa"/>
            <w:gridSpan w:val="6"/>
          </w:tcPr>
          <w:p w:rsidR="00E64851" w:rsidRPr="00EA6693" w:rsidRDefault="00E64851" w:rsidP="00694417">
            <w:pPr>
              <w:jc w:val="center"/>
              <w:rPr>
                <w:sz w:val="18"/>
                <w:szCs w:val="18"/>
              </w:rPr>
            </w:pPr>
            <w:r>
              <w:rPr>
                <w:sz w:val="18"/>
                <w:szCs w:val="18"/>
              </w:rPr>
              <w:t>Non-hydrolyzed (Free)</w:t>
            </w:r>
          </w:p>
        </w:tc>
        <w:tc>
          <w:tcPr>
            <w:tcW w:w="4140" w:type="dxa"/>
            <w:gridSpan w:val="6"/>
          </w:tcPr>
          <w:p w:rsidR="00E64851" w:rsidRPr="00EA6693" w:rsidRDefault="00E64851" w:rsidP="00694417">
            <w:pPr>
              <w:jc w:val="center"/>
              <w:rPr>
                <w:sz w:val="18"/>
                <w:szCs w:val="18"/>
              </w:rPr>
            </w:pPr>
            <w:r>
              <w:rPr>
                <w:sz w:val="18"/>
                <w:szCs w:val="18"/>
              </w:rPr>
              <w:t>Acid hydrolyzed (TOTAL)</w:t>
            </w:r>
          </w:p>
        </w:tc>
      </w:tr>
      <w:tr w:rsidR="00E64851" w:rsidRPr="00EA6693" w:rsidTr="00694417">
        <w:tc>
          <w:tcPr>
            <w:tcW w:w="1075" w:type="dxa"/>
            <w:vMerge/>
          </w:tcPr>
          <w:p w:rsidR="00E64851" w:rsidRPr="00EA6693" w:rsidRDefault="00E64851" w:rsidP="00694417">
            <w:pPr>
              <w:rPr>
                <w:sz w:val="18"/>
                <w:szCs w:val="18"/>
              </w:rPr>
            </w:pPr>
          </w:p>
        </w:tc>
        <w:tc>
          <w:tcPr>
            <w:tcW w:w="2070" w:type="dxa"/>
            <w:gridSpan w:val="3"/>
          </w:tcPr>
          <w:p w:rsidR="00E64851" w:rsidRPr="00EA6693" w:rsidRDefault="00E64851" w:rsidP="00694417">
            <w:pPr>
              <w:jc w:val="center"/>
              <w:rPr>
                <w:sz w:val="18"/>
                <w:szCs w:val="18"/>
              </w:rPr>
            </w:pPr>
            <w:r>
              <w:rPr>
                <w:sz w:val="18"/>
                <w:szCs w:val="18"/>
              </w:rPr>
              <w:t>SN-38</w:t>
            </w:r>
          </w:p>
        </w:tc>
        <w:tc>
          <w:tcPr>
            <w:tcW w:w="2160" w:type="dxa"/>
            <w:gridSpan w:val="3"/>
          </w:tcPr>
          <w:p w:rsidR="00E64851" w:rsidRPr="00EA6693" w:rsidRDefault="00E64851" w:rsidP="00694417">
            <w:pPr>
              <w:jc w:val="center"/>
              <w:rPr>
                <w:sz w:val="18"/>
                <w:szCs w:val="18"/>
              </w:rPr>
            </w:pPr>
            <w:r>
              <w:rPr>
                <w:sz w:val="18"/>
                <w:szCs w:val="18"/>
              </w:rPr>
              <w:t>SN-38G</w:t>
            </w:r>
          </w:p>
        </w:tc>
        <w:tc>
          <w:tcPr>
            <w:tcW w:w="2070" w:type="dxa"/>
            <w:gridSpan w:val="3"/>
          </w:tcPr>
          <w:p w:rsidR="00E64851" w:rsidRPr="00EA6693" w:rsidRDefault="00E64851" w:rsidP="00694417">
            <w:pPr>
              <w:jc w:val="center"/>
              <w:rPr>
                <w:sz w:val="18"/>
                <w:szCs w:val="18"/>
              </w:rPr>
            </w:pPr>
            <w:r>
              <w:rPr>
                <w:sz w:val="18"/>
                <w:szCs w:val="18"/>
              </w:rPr>
              <w:t>SN-38 [TOTAL]</w:t>
            </w:r>
          </w:p>
        </w:tc>
        <w:tc>
          <w:tcPr>
            <w:tcW w:w="2070" w:type="dxa"/>
            <w:gridSpan w:val="3"/>
          </w:tcPr>
          <w:p w:rsidR="00E64851" w:rsidRPr="00EA6693" w:rsidRDefault="00E64851" w:rsidP="00694417">
            <w:pPr>
              <w:jc w:val="center"/>
              <w:rPr>
                <w:sz w:val="18"/>
                <w:szCs w:val="18"/>
              </w:rPr>
            </w:pPr>
            <w:r>
              <w:rPr>
                <w:sz w:val="18"/>
                <w:szCs w:val="18"/>
              </w:rPr>
              <w:t>SN-38G {TOTAL]</w:t>
            </w:r>
          </w:p>
        </w:tc>
      </w:tr>
      <w:tr w:rsidR="00E64851" w:rsidRPr="00EA6693" w:rsidTr="00694417">
        <w:tc>
          <w:tcPr>
            <w:tcW w:w="1075" w:type="dxa"/>
            <w:vMerge/>
          </w:tcPr>
          <w:p w:rsidR="00E64851" w:rsidRPr="00EA6693" w:rsidRDefault="00E64851" w:rsidP="00694417">
            <w:pPr>
              <w:rPr>
                <w:sz w:val="18"/>
                <w:szCs w:val="18"/>
              </w:rPr>
            </w:pPr>
          </w:p>
        </w:tc>
        <w:tc>
          <w:tcPr>
            <w:tcW w:w="810" w:type="dxa"/>
          </w:tcPr>
          <w:p w:rsidR="00E64851" w:rsidRPr="00EA6693" w:rsidRDefault="00E64851" w:rsidP="00694417">
            <w:pPr>
              <w:jc w:val="right"/>
              <w:rPr>
                <w:sz w:val="18"/>
                <w:szCs w:val="18"/>
              </w:rPr>
            </w:pPr>
            <w:r w:rsidRPr="00EA6693">
              <w:rPr>
                <w:sz w:val="18"/>
                <w:szCs w:val="18"/>
              </w:rPr>
              <w:t>Obs</w:t>
            </w:r>
          </w:p>
        </w:tc>
        <w:tc>
          <w:tcPr>
            <w:tcW w:w="630" w:type="dxa"/>
          </w:tcPr>
          <w:p w:rsidR="00E64851" w:rsidRPr="00EA6693" w:rsidRDefault="00E64851" w:rsidP="00694417">
            <w:pPr>
              <w:jc w:val="right"/>
              <w:rPr>
                <w:sz w:val="18"/>
                <w:szCs w:val="18"/>
              </w:rPr>
            </w:pPr>
            <w:r w:rsidRPr="00EA6693">
              <w:rPr>
                <w:sz w:val="18"/>
                <w:szCs w:val="18"/>
              </w:rPr>
              <w:t>SD</w:t>
            </w:r>
          </w:p>
        </w:tc>
        <w:tc>
          <w:tcPr>
            <w:tcW w:w="630" w:type="dxa"/>
          </w:tcPr>
          <w:p w:rsidR="00E64851" w:rsidRPr="00EA6693" w:rsidRDefault="00E64851" w:rsidP="00694417">
            <w:pPr>
              <w:rPr>
                <w:sz w:val="18"/>
                <w:szCs w:val="18"/>
              </w:rPr>
            </w:pPr>
            <w:r w:rsidRPr="00EA6693">
              <w:rPr>
                <w:sz w:val="18"/>
                <w:szCs w:val="18"/>
              </w:rPr>
              <w:t>% CV</w:t>
            </w:r>
          </w:p>
        </w:tc>
        <w:tc>
          <w:tcPr>
            <w:tcW w:w="900" w:type="dxa"/>
          </w:tcPr>
          <w:p w:rsidR="00E64851" w:rsidRPr="00EA6693" w:rsidRDefault="00E64851" w:rsidP="00694417">
            <w:pPr>
              <w:jc w:val="right"/>
              <w:rPr>
                <w:sz w:val="18"/>
                <w:szCs w:val="18"/>
              </w:rPr>
            </w:pPr>
            <w:r w:rsidRPr="00EA6693">
              <w:rPr>
                <w:sz w:val="18"/>
                <w:szCs w:val="18"/>
              </w:rPr>
              <w:t>Obs</w:t>
            </w:r>
          </w:p>
        </w:tc>
        <w:tc>
          <w:tcPr>
            <w:tcW w:w="630" w:type="dxa"/>
          </w:tcPr>
          <w:p w:rsidR="00E64851" w:rsidRPr="00EA6693" w:rsidRDefault="00E64851" w:rsidP="00694417">
            <w:pPr>
              <w:rPr>
                <w:sz w:val="18"/>
                <w:szCs w:val="18"/>
              </w:rPr>
            </w:pPr>
            <w:r w:rsidRPr="00EA6693">
              <w:rPr>
                <w:sz w:val="18"/>
                <w:szCs w:val="18"/>
              </w:rPr>
              <w:t>SD</w:t>
            </w:r>
          </w:p>
        </w:tc>
        <w:tc>
          <w:tcPr>
            <w:tcW w:w="630" w:type="dxa"/>
          </w:tcPr>
          <w:p w:rsidR="00E64851" w:rsidRPr="00EA6693" w:rsidRDefault="00E64851" w:rsidP="00694417">
            <w:pPr>
              <w:rPr>
                <w:sz w:val="18"/>
                <w:szCs w:val="18"/>
              </w:rPr>
            </w:pPr>
            <w:r w:rsidRPr="00EA6693">
              <w:rPr>
                <w:sz w:val="18"/>
                <w:szCs w:val="18"/>
              </w:rPr>
              <w:t>% CV</w:t>
            </w:r>
          </w:p>
        </w:tc>
        <w:tc>
          <w:tcPr>
            <w:tcW w:w="900" w:type="dxa"/>
          </w:tcPr>
          <w:p w:rsidR="00E64851" w:rsidRPr="00EA6693" w:rsidRDefault="00E64851" w:rsidP="00694417">
            <w:pPr>
              <w:jc w:val="right"/>
              <w:rPr>
                <w:sz w:val="18"/>
                <w:szCs w:val="18"/>
              </w:rPr>
            </w:pPr>
            <w:r w:rsidRPr="00EA6693">
              <w:rPr>
                <w:sz w:val="18"/>
                <w:szCs w:val="18"/>
              </w:rPr>
              <w:t>Obs</w:t>
            </w:r>
          </w:p>
        </w:tc>
        <w:tc>
          <w:tcPr>
            <w:tcW w:w="540" w:type="dxa"/>
          </w:tcPr>
          <w:p w:rsidR="00E64851" w:rsidRPr="00EA6693" w:rsidRDefault="00E64851" w:rsidP="00694417">
            <w:pPr>
              <w:jc w:val="right"/>
              <w:rPr>
                <w:sz w:val="18"/>
                <w:szCs w:val="18"/>
              </w:rPr>
            </w:pPr>
            <w:r w:rsidRPr="00EA6693">
              <w:rPr>
                <w:sz w:val="18"/>
                <w:szCs w:val="18"/>
              </w:rPr>
              <w:t>SD</w:t>
            </w:r>
          </w:p>
        </w:tc>
        <w:tc>
          <w:tcPr>
            <w:tcW w:w="630" w:type="dxa"/>
          </w:tcPr>
          <w:p w:rsidR="00E64851" w:rsidRPr="00EA6693" w:rsidRDefault="00E64851" w:rsidP="00694417">
            <w:pPr>
              <w:rPr>
                <w:sz w:val="18"/>
                <w:szCs w:val="18"/>
              </w:rPr>
            </w:pPr>
            <w:r w:rsidRPr="00EA6693">
              <w:rPr>
                <w:sz w:val="18"/>
                <w:szCs w:val="18"/>
              </w:rPr>
              <w:t>% CV</w:t>
            </w:r>
          </w:p>
        </w:tc>
        <w:tc>
          <w:tcPr>
            <w:tcW w:w="900" w:type="dxa"/>
          </w:tcPr>
          <w:p w:rsidR="00E64851" w:rsidRPr="00EA6693" w:rsidRDefault="00E64851" w:rsidP="00694417">
            <w:pPr>
              <w:jc w:val="right"/>
              <w:rPr>
                <w:sz w:val="18"/>
                <w:szCs w:val="18"/>
              </w:rPr>
            </w:pPr>
            <w:r w:rsidRPr="00EA6693">
              <w:rPr>
                <w:sz w:val="18"/>
                <w:szCs w:val="18"/>
              </w:rPr>
              <w:t>Obs</w:t>
            </w:r>
          </w:p>
        </w:tc>
        <w:tc>
          <w:tcPr>
            <w:tcW w:w="540" w:type="dxa"/>
          </w:tcPr>
          <w:p w:rsidR="00E64851" w:rsidRPr="00EA6693" w:rsidRDefault="00E64851" w:rsidP="00694417">
            <w:pPr>
              <w:jc w:val="center"/>
              <w:rPr>
                <w:sz w:val="18"/>
                <w:szCs w:val="18"/>
              </w:rPr>
            </w:pPr>
            <w:r w:rsidRPr="00EA6693">
              <w:rPr>
                <w:sz w:val="18"/>
                <w:szCs w:val="18"/>
              </w:rPr>
              <w:t>SD</w:t>
            </w:r>
          </w:p>
        </w:tc>
        <w:tc>
          <w:tcPr>
            <w:tcW w:w="630" w:type="dxa"/>
          </w:tcPr>
          <w:p w:rsidR="00E64851" w:rsidRPr="00EA6693" w:rsidRDefault="00E64851" w:rsidP="00694417">
            <w:pPr>
              <w:rPr>
                <w:sz w:val="18"/>
                <w:szCs w:val="18"/>
              </w:rPr>
            </w:pPr>
            <w:r w:rsidRPr="00EA6693">
              <w:rPr>
                <w:sz w:val="18"/>
                <w:szCs w:val="18"/>
              </w:rPr>
              <w:t>% CV</w:t>
            </w:r>
          </w:p>
        </w:tc>
      </w:tr>
      <w:tr w:rsidR="00E64851" w:rsidRPr="00EA6693" w:rsidTr="00694417">
        <w:tc>
          <w:tcPr>
            <w:tcW w:w="1075" w:type="dxa"/>
          </w:tcPr>
          <w:p w:rsidR="00E64851" w:rsidRPr="00EA6693" w:rsidRDefault="00E64851" w:rsidP="00694417">
            <w:pPr>
              <w:rPr>
                <w:sz w:val="18"/>
                <w:szCs w:val="18"/>
              </w:rPr>
            </w:pPr>
            <w:r w:rsidRPr="00EA6693">
              <w:rPr>
                <w:sz w:val="18"/>
                <w:szCs w:val="18"/>
              </w:rPr>
              <w:t>10</w:t>
            </w:r>
          </w:p>
        </w:tc>
        <w:tc>
          <w:tcPr>
            <w:tcW w:w="810" w:type="dxa"/>
          </w:tcPr>
          <w:p w:rsidR="00E64851" w:rsidRPr="00EA6693" w:rsidRDefault="00E64851" w:rsidP="00694417">
            <w:pPr>
              <w:jc w:val="right"/>
              <w:rPr>
                <w:sz w:val="18"/>
                <w:szCs w:val="18"/>
              </w:rPr>
            </w:pPr>
            <w:r w:rsidRPr="00EA6693">
              <w:rPr>
                <w:sz w:val="18"/>
                <w:szCs w:val="18"/>
              </w:rPr>
              <w:t>9.7</w:t>
            </w:r>
          </w:p>
        </w:tc>
        <w:tc>
          <w:tcPr>
            <w:tcW w:w="630" w:type="dxa"/>
          </w:tcPr>
          <w:p w:rsidR="00E64851" w:rsidRPr="00EA6693" w:rsidRDefault="00E64851" w:rsidP="00694417">
            <w:pPr>
              <w:jc w:val="right"/>
              <w:rPr>
                <w:sz w:val="18"/>
                <w:szCs w:val="18"/>
              </w:rPr>
            </w:pPr>
            <w:r>
              <w:rPr>
                <w:sz w:val="18"/>
                <w:szCs w:val="18"/>
              </w:rPr>
              <w:t>0.1</w:t>
            </w:r>
          </w:p>
        </w:tc>
        <w:tc>
          <w:tcPr>
            <w:tcW w:w="630" w:type="dxa"/>
          </w:tcPr>
          <w:p w:rsidR="00E64851" w:rsidRPr="00EA6693" w:rsidRDefault="00E64851" w:rsidP="00694417">
            <w:pPr>
              <w:jc w:val="center"/>
              <w:rPr>
                <w:sz w:val="18"/>
                <w:szCs w:val="18"/>
              </w:rPr>
            </w:pPr>
            <w:r>
              <w:rPr>
                <w:sz w:val="18"/>
                <w:szCs w:val="18"/>
              </w:rPr>
              <w:t>1.2</w:t>
            </w:r>
          </w:p>
        </w:tc>
        <w:tc>
          <w:tcPr>
            <w:tcW w:w="900" w:type="dxa"/>
          </w:tcPr>
          <w:p w:rsidR="00E64851" w:rsidRPr="00EA6693" w:rsidRDefault="00E64851" w:rsidP="00694417">
            <w:pPr>
              <w:jc w:val="right"/>
              <w:rPr>
                <w:sz w:val="18"/>
                <w:szCs w:val="18"/>
              </w:rPr>
            </w:pPr>
            <w:r>
              <w:rPr>
                <w:sz w:val="18"/>
                <w:szCs w:val="18"/>
              </w:rPr>
              <w:t>10.1</w:t>
            </w:r>
          </w:p>
        </w:tc>
        <w:tc>
          <w:tcPr>
            <w:tcW w:w="630" w:type="dxa"/>
          </w:tcPr>
          <w:p w:rsidR="00E64851" w:rsidRPr="00EA6693" w:rsidRDefault="00E64851" w:rsidP="00694417">
            <w:pPr>
              <w:jc w:val="right"/>
              <w:rPr>
                <w:sz w:val="18"/>
                <w:szCs w:val="18"/>
              </w:rPr>
            </w:pPr>
            <w:r>
              <w:rPr>
                <w:sz w:val="18"/>
                <w:szCs w:val="18"/>
              </w:rPr>
              <w:t>0.1</w:t>
            </w:r>
          </w:p>
        </w:tc>
        <w:tc>
          <w:tcPr>
            <w:tcW w:w="630" w:type="dxa"/>
          </w:tcPr>
          <w:p w:rsidR="00E64851" w:rsidRPr="00EA6693" w:rsidRDefault="00E64851" w:rsidP="00694417">
            <w:pPr>
              <w:jc w:val="center"/>
              <w:rPr>
                <w:sz w:val="18"/>
                <w:szCs w:val="18"/>
              </w:rPr>
            </w:pPr>
            <w:r>
              <w:rPr>
                <w:sz w:val="18"/>
                <w:szCs w:val="18"/>
              </w:rPr>
              <w:t>1.0</w:t>
            </w:r>
          </w:p>
        </w:tc>
        <w:tc>
          <w:tcPr>
            <w:tcW w:w="900" w:type="dxa"/>
          </w:tcPr>
          <w:p w:rsidR="00E64851" w:rsidRPr="00EA6693" w:rsidRDefault="00E64851" w:rsidP="00694417">
            <w:pPr>
              <w:jc w:val="right"/>
              <w:rPr>
                <w:sz w:val="18"/>
                <w:szCs w:val="18"/>
              </w:rPr>
            </w:pPr>
            <w:r>
              <w:rPr>
                <w:sz w:val="18"/>
                <w:szCs w:val="18"/>
              </w:rPr>
              <w:t>10.3</w:t>
            </w:r>
          </w:p>
        </w:tc>
        <w:tc>
          <w:tcPr>
            <w:tcW w:w="540" w:type="dxa"/>
          </w:tcPr>
          <w:p w:rsidR="00E64851" w:rsidRPr="00EA6693" w:rsidRDefault="00E64851" w:rsidP="00694417">
            <w:pPr>
              <w:jc w:val="right"/>
              <w:rPr>
                <w:sz w:val="18"/>
                <w:szCs w:val="18"/>
              </w:rPr>
            </w:pPr>
            <w:r>
              <w:rPr>
                <w:sz w:val="18"/>
                <w:szCs w:val="18"/>
              </w:rPr>
              <w:t>0.2</w:t>
            </w:r>
          </w:p>
        </w:tc>
        <w:tc>
          <w:tcPr>
            <w:tcW w:w="630" w:type="dxa"/>
          </w:tcPr>
          <w:p w:rsidR="00E64851" w:rsidRPr="00EA6693" w:rsidRDefault="00E64851" w:rsidP="00694417">
            <w:pPr>
              <w:jc w:val="center"/>
              <w:rPr>
                <w:sz w:val="18"/>
                <w:szCs w:val="18"/>
              </w:rPr>
            </w:pPr>
            <w:r>
              <w:rPr>
                <w:sz w:val="18"/>
                <w:szCs w:val="18"/>
              </w:rPr>
              <w:t>1.8</w:t>
            </w:r>
          </w:p>
        </w:tc>
        <w:tc>
          <w:tcPr>
            <w:tcW w:w="900" w:type="dxa"/>
          </w:tcPr>
          <w:p w:rsidR="00E64851" w:rsidRPr="00EA6693" w:rsidRDefault="00E64851" w:rsidP="00694417">
            <w:pPr>
              <w:jc w:val="right"/>
              <w:rPr>
                <w:sz w:val="18"/>
                <w:szCs w:val="18"/>
              </w:rPr>
            </w:pPr>
            <w:r>
              <w:rPr>
                <w:sz w:val="18"/>
                <w:szCs w:val="18"/>
              </w:rPr>
              <w:t>10.5</w:t>
            </w:r>
          </w:p>
        </w:tc>
        <w:tc>
          <w:tcPr>
            <w:tcW w:w="540" w:type="dxa"/>
          </w:tcPr>
          <w:p w:rsidR="00E64851" w:rsidRPr="00EA6693" w:rsidRDefault="00E64851" w:rsidP="00694417">
            <w:pPr>
              <w:jc w:val="right"/>
              <w:rPr>
                <w:sz w:val="18"/>
                <w:szCs w:val="18"/>
              </w:rPr>
            </w:pPr>
            <w:r>
              <w:rPr>
                <w:sz w:val="18"/>
                <w:szCs w:val="18"/>
              </w:rPr>
              <w:t>0.4</w:t>
            </w:r>
          </w:p>
        </w:tc>
        <w:tc>
          <w:tcPr>
            <w:tcW w:w="630" w:type="dxa"/>
          </w:tcPr>
          <w:p w:rsidR="00E64851" w:rsidRPr="00EA6693" w:rsidRDefault="00E64851" w:rsidP="00694417">
            <w:pPr>
              <w:jc w:val="center"/>
              <w:rPr>
                <w:sz w:val="18"/>
                <w:szCs w:val="18"/>
              </w:rPr>
            </w:pPr>
            <w:r>
              <w:rPr>
                <w:sz w:val="18"/>
                <w:szCs w:val="18"/>
              </w:rPr>
              <w:t>3.7</w:t>
            </w:r>
          </w:p>
        </w:tc>
      </w:tr>
      <w:tr w:rsidR="00E64851" w:rsidRPr="00EA6693" w:rsidTr="00694417">
        <w:tc>
          <w:tcPr>
            <w:tcW w:w="1075" w:type="dxa"/>
          </w:tcPr>
          <w:p w:rsidR="00E64851" w:rsidRPr="00EA6693" w:rsidRDefault="00E64851" w:rsidP="00694417">
            <w:pPr>
              <w:rPr>
                <w:sz w:val="18"/>
                <w:szCs w:val="18"/>
              </w:rPr>
            </w:pPr>
            <w:r w:rsidRPr="00EA6693">
              <w:rPr>
                <w:sz w:val="18"/>
                <w:szCs w:val="18"/>
              </w:rPr>
              <w:t>50</w:t>
            </w:r>
          </w:p>
        </w:tc>
        <w:tc>
          <w:tcPr>
            <w:tcW w:w="810" w:type="dxa"/>
          </w:tcPr>
          <w:p w:rsidR="00E64851" w:rsidRPr="00EA6693" w:rsidRDefault="00E64851" w:rsidP="00694417">
            <w:pPr>
              <w:jc w:val="right"/>
              <w:rPr>
                <w:sz w:val="18"/>
                <w:szCs w:val="18"/>
              </w:rPr>
            </w:pPr>
            <w:r w:rsidRPr="00EA6693">
              <w:rPr>
                <w:sz w:val="18"/>
                <w:szCs w:val="18"/>
              </w:rPr>
              <w:t>50.4</w:t>
            </w:r>
          </w:p>
        </w:tc>
        <w:tc>
          <w:tcPr>
            <w:tcW w:w="630" w:type="dxa"/>
          </w:tcPr>
          <w:p w:rsidR="00E64851" w:rsidRPr="00EA6693" w:rsidRDefault="00E64851" w:rsidP="00694417">
            <w:pPr>
              <w:jc w:val="right"/>
              <w:rPr>
                <w:sz w:val="18"/>
                <w:szCs w:val="18"/>
              </w:rPr>
            </w:pPr>
            <w:r>
              <w:rPr>
                <w:sz w:val="18"/>
                <w:szCs w:val="18"/>
              </w:rPr>
              <w:t>0.4</w:t>
            </w:r>
          </w:p>
        </w:tc>
        <w:tc>
          <w:tcPr>
            <w:tcW w:w="630" w:type="dxa"/>
          </w:tcPr>
          <w:p w:rsidR="00E64851" w:rsidRPr="00EA6693" w:rsidRDefault="00E64851" w:rsidP="00694417">
            <w:pPr>
              <w:jc w:val="center"/>
              <w:rPr>
                <w:sz w:val="18"/>
                <w:szCs w:val="18"/>
              </w:rPr>
            </w:pPr>
            <w:r>
              <w:rPr>
                <w:sz w:val="18"/>
                <w:szCs w:val="18"/>
              </w:rPr>
              <w:t>0.8</w:t>
            </w:r>
          </w:p>
        </w:tc>
        <w:tc>
          <w:tcPr>
            <w:tcW w:w="900" w:type="dxa"/>
          </w:tcPr>
          <w:p w:rsidR="00E64851" w:rsidRPr="00EA6693" w:rsidRDefault="00E64851" w:rsidP="00694417">
            <w:pPr>
              <w:jc w:val="right"/>
              <w:rPr>
                <w:sz w:val="18"/>
                <w:szCs w:val="18"/>
              </w:rPr>
            </w:pPr>
            <w:r>
              <w:rPr>
                <w:sz w:val="18"/>
                <w:szCs w:val="18"/>
              </w:rPr>
              <w:t>48.0</w:t>
            </w:r>
          </w:p>
        </w:tc>
        <w:tc>
          <w:tcPr>
            <w:tcW w:w="630" w:type="dxa"/>
          </w:tcPr>
          <w:p w:rsidR="00E64851" w:rsidRPr="00EA6693" w:rsidRDefault="00E64851" w:rsidP="00694417">
            <w:pPr>
              <w:jc w:val="right"/>
              <w:rPr>
                <w:sz w:val="18"/>
                <w:szCs w:val="18"/>
              </w:rPr>
            </w:pPr>
            <w:r>
              <w:rPr>
                <w:sz w:val="18"/>
                <w:szCs w:val="18"/>
              </w:rPr>
              <w:t>0.7</w:t>
            </w:r>
          </w:p>
        </w:tc>
        <w:tc>
          <w:tcPr>
            <w:tcW w:w="630" w:type="dxa"/>
          </w:tcPr>
          <w:p w:rsidR="00E64851" w:rsidRPr="00EA6693" w:rsidRDefault="00E64851" w:rsidP="00694417">
            <w:pPr>
              <w:jc w:val="center"/>
              <w:rPr>
                <w:sz w:val="18"/>
                <w:szCs w:val="18"/>
              </w:rPr>
            </w:pPr>
            <w:r>
              <w:rPr>
                <w:sz w:val="18"/>
                <w:szCs w:val="18"/>
              </w:rPr>
              <w:t>1.5</w:t>
            </w:r>
          </w:p>
        </w:tc>
        <w:tc>
          <w:tcPr>
            <w:tcW w:w="900" w:type="dxa"/>
          </w:tcPr>
          <w:p w:rsidR="00E64851" w:rsidRPr="00EA6693" w:rsidRDefault="00E64851" w:rsidP="00694417">
            <w:pPr>
              <w:jc w:val="right"/>
              <w:rPr>
                <w:sz w:val="18"/>
                <w:szCs w:val="18"/>
              </w:rPr>
            </w:pPr>
            <w:r>
              <w:rPr>
                <w:sz w:val="18"/>
                <w:szCs w:val="18"/>
              </w:rPr>
              <w:t>48.2</w:t>
            </w:r>
          </w:p>
        </w:tc>
        <w:tc>
          <w:tcPr>
            <w:tcW w:w="540" w:type="dxa"/>
          </w:tcPr>
          <w:p w:rsidR="00E64851" w:rsidRPr="00EA6693" w:rsidRDefault="00E64851" w:rsidP="00694417">
            <w:pPr>
              <w:jc w:val="right"/>
              <w:rPr>
                <w:sz w:val="18"/>
                <w:szCs w:val="18"/>
              </w:rPr>
            </w:pPr>
            <w:r>
              <w:rPr>
                <w:sz w:val="18"/>
                <w:szCs w:val="18"/>
              </w:rPr>
              <w:t>0.4</w:t>
            </w:r>
          </w:p>
        </w:tc>
        <w:tc>
          <w:tcPr>
            <w:tcW w:w="630" w:type="dxa"/>
          </w:tcPr>
          <w:p w:rsidR="00E64851" w:rsidRPr="00EA6693" w:rsidRDefault="00E64851" w:rsidP="00694417">
            <w:pPr>
              <w:jc w:val="center"/>
              <w:rPr>
                <w:sz w:val="18"/>
                <w:szCs w:val="18"/>
              </w:rPr>
            </w:pPr>
            <w:r>
              <w:rPr>
                <w:sz w:val="18"/>
                <w:szCs w:val="18"/>
              </w:rPr>
              <w:t>0.8</w:t>
            </w:r>
          </w:p>
        </w:tc>
        <w:tc>
          <w:tcPr>
            <w:tcW w:w="900" w:type="dxa"/>
          </w:tcPr>
          <w:p w:rsidR="00E64851" w:rsidRPr="00EA6693" w:rsidRDefault="00E64851" w:rsidP="00694417">
            <w:pPr>
              <w:jc w:val="right"/>
              <w:rPr>
                <w:sz w:val="18"/>
                <w:szCs w:val="18"/>
              </w:rPr>
            </w:pPr>
            <w:r>
              <w:rPr>
                <w:sz w:val="18"/>
                <w:szCs w:val="18"/>
              </w:rPr>
              <w:t>48.0</w:t>
            </w:r>
          </w:p>
        </w:tc>
        <w:tc>
          <w:tcPr>
            <w:tcW w:w="540" w:type="dxa"/>
          </w:tcPr>
          <w:p w:rsidR="00E64851" w:rsidRPr="00EA6693" w:rsidRDefault="00E64851" w:rsidP="00694417">
            <w:pPr>
              <w:jc w:val="right"/>
              <w:rPr>
                <w:sz w:val="18"/>
                <w:szCs w:val="18"/>
              </w:rPr>
            </w:pPr>
            <w:r>
              <w:rPr>
                <w:sz w:val="18"/>
                <w:szCs w:val="18"/>
              </w:rPr>
              <w:t>1.2</w:t>
            </w:r>
          </w:p>
        </w:tc>
        <w:tc>
          <w:tcPr>
            <w:tcW w:w="630" w:type="dxa"/>
          </w:tcPr>
          <w:p w:rsidR="00E64851" w:rsidRPr="00EA6693" w:rsidRDefault="00E64851" w:rsidP="00694417">
            <w:pPr>
              <w:jc w:val="center"/>
              <w:rPr>
                <w:sz w:val="18"/>
                <w:szCs w:val="18"/>
              </w:rPr>
            </w:pPr>
            <w:r>
              <w:rPr>
                <w:sz w:val="18"/>
                <w:szCs w:val="18"/>
              </w:rPr>
              <w:t>2.4</w:t>
            </w:r>
          </w:p>
        </w:tc>
      </w:tr>
      <w:tr w:rsidR="00E64851" w:rsidRPr="00EA6693" w:rsidTr="00694417">
        <w:tc>
          <w:tcPr>
            <w:tcW w:w="1075" w:type="dxa"/>
          </w:tcPr>
          <w:p w:rsidR="00E64851" w:rsidRPr="00EA6693" w:rsidRDefault="00E64851" w:rsidP="00694417">
            <w:pPr>
              <w:rPr>
                <w:sz w:val="18"/>
                <w:szCs w:val="18"/>
              </w:rPr>
            </w:pPr>
            <w:r w:rsidRPr="00EA6693">
              <w:rPr>
                <w:sz w:val="18"/>
                <w:szCs w:val="18"/>
              </w:rPr>
              <w:t>100</w:t>
            </w:r>
          </w:p>
        </w:tc>
        <w:tc>
          <w:tcPr>
            <w:tcW w:w="810" w:type="dxa"/>
          </w:tcPr>
          <w:p w:rsidR="00E64851" w:rsidRPr="00EA6693" w:rsidRDefault="00E64851" w:rsidP="00694417">
            <w:pPr>
              <w:jc w:val="right"/>
              <w:rPr>
                <w:sz w:val="18"/>
                <w:szCs w:val="18"/>
              </w:rPr>
            </w:pPr>
            <w:r w:rsidRPr="00EA6693">
              <w:rPr>
                <w:sz w:val="18"/>
                <w:szCs w:val="18"/>
              </w:rPr>
              <w:t>100.3</w:t>
            </w:r>
          </w:p>
        </w:tc>
        <w:tc>
          <w:tcPr>
            <w:tcW w:w="630" w:type="dxa"/>
          </w:tcPr>
          <w:p w:rsidR="00E64851" w:rsidRPr="00EA6693" w:rsidRDefault="00E64851" w:rsidP="00694417">
            <w:pPr>
              <w:jc w:val="right"/>
              <w:rPr>
                <w:sz w:val="18"/>
                <w:szCs w:val="18"/>
              </w:rPr>
            </w:pPr>
            <w:r>
              <w:rPr>
                <w:sz w:val="18"/>
                <w:szCs w:val="18"/>
              </w:rPr>
              <w:t>0.2</w:t>
            </w:r>
          </w:p>
        </w:tc>
        <w:tc>
          <w:tcPr>
            <w:tcW w:w="630" w:type="dxa"/>
          </w:tcPr>
          <w:p w:rsidR="00E64851" w:rsidRPr="00EA6693" w:rsidRDefault="00E64851" w:rsidP="00694417">
            <w:pPr>
              <w:jc w:val="center"/>
              <w:rPr>
                <w:sz w:val="18"/>
                <w:szCs w:val="18"/>
              </w:rPr>
            </w:pPr>
            <w:r>
              <w:rPr>
                <w:sz w:val="18"/>
                <w:szCs w:val="18"/>
              </w:rPr>
              <w:t>0.2</w:t>
            </w:r>
          </w:p>
        </w:tc>
        <w:tc>
          <w:tcPr>
            <w:tcW w:w="900" w:type="dxa"/>
          </w:tcPr>
          <w:p w:rsidR="00E64851" w:rsidRPr="00EA6693" w:rsidRDefault="00E64851" w:rsidP="00694417">
            <w:pPr>
              <w:jc w:val="right"/>
              <w:rPr>
                <w:sz w:val="18"/>
                <w:szCs w:val="18"/>
              </w:rPr>
            </w:pPr>
            <w:r>
              <w:rPr>
                <w:sz w:val="18"/>
                <w:szCs w:val="18"/>
              </w:rPr>
              <w:t>105.7</w:t>
            </w:r>
          </w:p>
        </w:tc>
        <w:tc>
          <w:tcPr>
            <w:tcW w:w="630" w:type="dxa"/>
          </w:tcPr>
          <w:p w:rsidR="00E64851" w:rsidRPr="00EA6693" w:rsidRDefault="00E64851" w:rsidP="00694417">
            <w:pPr>
              <w:jc w:val="right"/>
              <w:rPr>
                <w:sz w:val="18"/>
                <w:szCs w:val="18"/>
              </w:rPr>
            </w:pPr>
            <w:r>
              <w:rPr>
                <w:sz w:val="18"/>
                <w:szCs w:val="18"/>
              </w:rPr>
              <w:t>8.6</w:t>
            </w:r>
          </w:p>
        </w:tc>
        <w:tc>
          <w:tcPr>
            <w:tcW w:w="630" w:type="dxa"/>
          </w:tcPr>
          <w:p w:rsidR="00E64851" w:rsidRPr="00EA6693" w:rsidRDefault="00E64851" w:rsidP="00694417">
            <w:pPr>
              <w:jc w:val="center"/>
              <w:rPr>
                <w:sz w:val="18"/>
                <w:szCs w:val="18"/>
              </w:rPr>
            </w:pPr>
            <w:r>
              <w:rPr>
                <w:sz w:val="18"/>
                <w:szCs w:val="18"/>
              </w:rPr>
              <w:t>8.1</w:t>
            </w:r>
          </w:p>
        </w:tc>
        <w:tc>
          <w:tcPr>
            <w:tcW w:w="900" w:type="dxa"/>
          </w:tcPr>
          <w:p w:rsidR="00E64851" w:rsidRPr="00EA6693" w:rsidRDefault="00E64851" w:rsidP="00694417">
            <w:pPr>
              <w:jc w:val="right"/>
              <w:rPr>
                <w:sz w:val="18"/>
                <w:szCs w:val="18"/>
              </w:rPr>
            </w:pPr>
            <w:r>
              <w:rPr>
                <w:sz w:val="18"/>
                <w:szCs w:val="18"/>
              </w:rPr>
              <w:t>99.5</w:t>
            </w:r>
          </w:p>
        </w:tc>
        <w:tc>
          <w:tcPr>
            <w:tcW w:w="540" w:type="dxa"/>
          </w:tcPr>
          <w:p w:rsidR="00E64851" w:rsidRPr="00EA6693" w:rsidRDefault="00E64851" w:rsidP="00694417">
            <w:pPr>
              <w:jc w:val="right"/>
              <w:rPr>
                <w:sz w:val="18"/>
                <w:szCs w:val="18"/>
              </w:rPr>
            </w:pPr>
            <w:r>
              <w:rPr>
                <w:sz w:val="18"/>
                <w:szCs w:val="18"/>
              </w:rPr>
              <w:t>0.7</w:t>
            </w:r>
          </w:p>
        </w:tc>
        <w:tc>
          <w:tcPr>
            <w:tcW w:w="630" w:type="dxa"/>
          </w:tcPr>
          <w:p w:rsidR="00E64851" w:rsidRPr="00EA6693" w:rsidRDefault="00E64851" w:rsidP="00694417">
            <w:pPr>
              <w:jc w:val="center"/>
              <w:rPr>
                <w:sz w:val="18"/>
                <w:szCs w:val="18"/>
              </w:rPr>
            </w:pPr>
            <w:r>
              <w:rPr>
                <w:sz w:val="18"/>
                <w:szCs w:val="18"/>
              </w:rPr>
              <w:t>0.7</w:t>
            </w:r>
          </w:p>
        </w:tc>
        <w:tc>
          <w:tcPr>
            <w:tcW w:w="900" w:type="dxa"/>
          </w:tcPr>
          <w:p w:rsidR="00E64851" w:rsidRPr="00EA6693" w:rsidRDefault="00E64851" w:rsidP="00694417">
            <w:pPr>
              <w:jc w:val="right"/>
              <w:rPr>
                <w:sz w:val="18"/>
                <w:szCs w:val="18"/>
              </w:rPr>
            </w:pPr>
            <w:r>
              <w:rPr>
                <w:sz w:val="18"/>
                <w:szCs w:val="18"/>
              </w:rPr>
              <w:t>96.8</w:t>
            </w:r>
          </w:p>
        </w:tc>
        <w:tc>
          <w:tcPr>
            <w:tcW w:w="540" w:type="dxa"/>
          </w:tcPr>
          <w:p w:rsidR="00E64851" w:rsidRPr="00EA6693" w:rsidRDefault="00E64851" w:rsidP="00694417">
            <w:pPr>
              <w:jc w:val="right"/>
              <w:rPr>
                <w:sz w:val="18"/>
                <w:szCs w:val="18"/>
              </w:rPr>
            </w:pPr>
            <w:r>
              <w:rPr>
                <w:sz w:val="18"/>
                <w:szCs w:val="18"/>
              </w:rPr>
              <w:t>1.9</w:t>
            </w:r>
          </w:p>
        </w:tc>
        <w:tc>
          <w:tcPr>
            <w:tcW w:w="630" w:type="dxa"/>
          </w:tcPr>
          <w:p w:rsidR="00E64851" w:rsidRPr="00EA6693" w:rsidRDefault="00E64851" w:rsidP="00694417">
            <w:pPr>
              <w:jc w:val="center"/>
              <w:rPr>
                <w:sz w:val="18"/>
                <w:szCs w:val="18"/>
              </w:rPr>
            </w:pPr>
            <w:r>
              <w:rPr>
                <w:sz w:val="18"/>
                <w:szCs w:val="18"/>
              </w:rPr>
              <w:t>2.0</w:t>
            </w:r>
          </w:p>
        </w:tc>
      </w:tr>
      <w:tr w:rsidR="00E64851" w:rsidRPr="00EA6693" w:rsidTr="00694417">
        <w:tc>
          <w:tcPr>
            <w:tcW w:w="1075" w:type="dxa"/>
          </w:tcPr>
          <w:p w:rsidR="00E64851" w:rsidRPr="00EA6693" w:rsidRDefault="00E64851" w:rsidP="00694417">
            <w:pPr>
              <w:rPr>
                <w:sz w:val="18"/>
                <w:szCs w:val="18"/>
              </w:rPr>
            </w:pPr>
            <w:r w:rsidRPr="00EA6693">
              <w:rPr>
                <w:sz w:val="18"/>
                <w:szCs w:val="18"/>
              </w:rPr>
              <w:t>500</w:t>
            </w:r>
          </w:p>
        </w:tc>
        <w:tc>
          <w:tcPr>
            <w:tcW w:w="810" w:type="dxa"/>
          </w:tcPr>
          <w:p w:rsidR="00E64851" w:rsidRPr="00EA6693" w:rsidRDefault="00E64851" w:rsidP="00694417">
            <w:pPr>
              <w:jc w:val="right"/>
              <w:rPr>
                <w:sz w:val="18"/>
                <w:szCs w:val="18"/>
              </w:rPr>
            </w:pPr>
            <w:r w:rsidRPr="00EA6693">
              <w:rPr>
                <w:sz w:val="18"/>
                <w:szCs w:val="18"/>
              </w:rPr>
              <w:t>508.0</w:t>
            </w:r>
          </w:p>
        </w:tc>
        <w:tc>
          <w:tcPr>
            <w:tcW w:w="630" w:type="dxa"/>
          </w:tcPr>
          <w:p w:rsidR="00E64851" w:rsidRPr="00EA6693" w:rsidRDefault="00E64851" w:rsidP="00694417">
            <w:pPr>
              <w:jc w:val="right"/>
              <w:rPr>
                <w:sz w:val="18"/>
                <w:szCs w:val="18"/>
              </w:rPr>
            </w:pPr>
            <w:r>
              <w:rPr>
                <w:sz w:val="18"/>
                <w:szCs w:val="18"/>
              </w:rPr>
              <w:t>0.1</w:t>
            </w:r>
          </w:p>
        </w:tc>
        <w:tc>
          <w:tcPr>
            <w:tcW w:w="630" w:type="dxa"/>
          </w:tcPr>
          <w:p w:rsidR="00E64851" w:rsidRPr="00EA6693" w:rsidRDefault="00E64851" w:rsidP="00694417">
            <w:pPr>
              <w:jc w:val="center"/>
              <w:rPr>
                <w:sz w:val="18"/>
                <w:szCs w:val="18"/>
              </w:rPr>
            </w:pPr>
            <w:r>
              <w:rPr>
                <w:sz w:val="18"/>
                <w:szCs w:val="18"/>
              </w:rPr>
              <w:t>1.2</w:t>
            </w:r>
          </w:p>
        </w:tc>
        <w:tc>
          <w:tcPr>
            <w:tcW w:w="900" w:type="dxa"/>
          </w:tcPr>
          <w:p w:rsidR="00E64851" w:rsidRPr="00EA6693" w:rsidRDefault="00E64851" w:rsidP="00694417">
            <w:pPr>
              <w:jc w:val="right"/>
              <w:rPr>
                <w:sz w:val="18"/>
                <w:szCs w:val="18"/>
              </w:rPr>
            </w:pPr>
            <w:r>
              <w:rPr>
                <w:sz w:val="18"/>
                <w:szCs w:val="18"/>
              </w:rPr>
              <w:t>485.4</w:t>
            </w:r>
          </w:p>
        </w:tc>
        <w:tc>
          <w:tcPr>
            <w:tcW w:w="630" w:type="dxa"/>
          </w:tcPr>
          <w:p w:rsidR="00E64851" w:rsidRPr="00EA6693" w:rsidRDefault="00E64851" w:rsidP="00694417">
            <w:pPr>
              <w:jc w:val="right"/>
              <w:rPr>
                <w:sz w:val="18"/>
                <w:szCs w:val="18"/>
              </w:rPr>
            </w:pPr>
            <w:r>
              <w:rPr>
                <w:sz w:val="18"/>
                <w:szCs w:val="18"/>
              </w:rPr>
              <w:t>6.8</w:t>
            </w:r>
          </w:p>
        </w:tc>
        <w:tc>
          <w:tcPr>
            <w:tcW w:w="630" w:type="dxa"/>
          </w:tcPr>
          <w:p w:rsidR="00E64851" w:rsidRPr="00EA6693" w:rsidRDefault="00E64851" w:rsidP="00694417">
            <w:pPr>
              <w:jc w:val="center"/>
              <w:rPr>
                <w:sz w:val="18"/>
                <w:szCs w:val="18"/>
              </w:rPr>
            </w:pPr>
            <w:r>
              <w:rPr>
                <w:sz w:val="18"/>
                <w:szCs w:val="18"/>
              </w:rPr>
              <w:t>1.4</w:t>
            </w:r>
          </w:p>
        </w:tc>
        <w:tc>
          <w:tcPr>
            <w:tcW w:w="900" w:type="dxa"/>
          </w:tcPr>
          <w:p w:rsidR="00E64851" w:rsidRPr="00EA6693" w:rsidRDefault="00E64851" w:rsidP="00694417">
            <w:pPr>
              <w:jc w:val="right"/>
              <w:rPr>
                <w:sz w:val="18"/>
                <w:szCs w:val="18"/>
              </w:rPr>
            </w:pPr>
            <w:r>
              <w:rPr>
                <w:sz w:val="18"/>
                <w:szCs w:val="18"/>
              </w:rPr>
              <w:t>494.1</w:t>
            </w:r>
          </w:p>
        </w:tc>
        <w:tc>
          <w:tcPr>
            <w:tcW w:w="540" w:type="dxa"/>
          </w:tcPr>
          <w:p w:rsidR="00E64851" w:rsidRPr="00EA6693" w:rsidRDefault="00E64851" w:rsidP="00694417">
            <w:pPr>
              <w:jc w:val="right"/>
              <w:rPr>
                <w:sz w:val="18"/>
                <w:szCs w:val="18"/>
              </w:rPr>
            </w:pPr>
            <w:r>
              <w:rPr>
                <w:sz w:val="18"/>
                <w:szCs w:val="18"/>
              </w:rPr>
              <w:t>1.7</w:t>
            </w:r>
          </w:p>
        </w:tc>
        <w:tc>
          <w:tcPr>
            <w:tcW w:w="630" w:type="dxa"/>
          </w:tcPr>
          <w:p w:rsidR="00E64851" w:rsidRPr="00EA6693" w:rsidRDefault="00E64851" w:rsidP="00694417">
            <w:pPr>
              <w:jc w:val="center"/>
              <w:rPr>
                <w:sz w:val="18"/>
                <w:szCs w:val="18"/>
              </w:rPr>
            </w:pPr>
            <w:r>
              <w:rPr>
                <w:sz w:val="18"/>
                <w:szCs w:val="18"/>
              </w:rPr>
              <w:t>0.3</w:t>
            </w:r>
          </w:p>
        </w:tc>
        <w:tc>
          <w:tcPr>
            <w:tcW w:w="900" w:type="dxa"/>
          </w:tcPr>
          <w:p w:rsidR="00E64851" w:rsidRPr="00EA6693" w:rsidRDefault="00E64851" w:rsidP="00694417">
            <w:pPr>
              <w:jc w:val="right"/>
              <w:rPr>
                <w:sz w:val="18"/>
                <w:szCs w:val="18"/>
              </w:rPr>
            </w:pPr>
            <w:r>
              <w:rPr>
                <w:sz w:val="18"/>
                <w:szCs w:val="18"/>
              </w:rPr>
              <w:t>504.8</w:t>
            </w:r>
          </w:p>
        </w:tc>
        <w:tc>
          <w:tcPr>
            <w:tcW w:w="540" w:type="dxa"/>
          </w:tcPr>
          <w:p w:rsidR="00E64851" w:rsidRPr="00EA6693" w:rsidRDefault="00E64851" w:rsidP="00694417">
            <w:pPr>
              <w:jc w:val="right"/>
              <w:rPr>
                <w:sz w:val="18"/>
                <w:szCs w:val="18"/>
              </w:rPr>
            </w:pPr>
            <w:r>
              <w:rPr>
                <w:sz w:val="18"/>
                <w:szCs w:val="18"/>
              </w:rPr>
              <w:t>14.1</w:t>
            </w:r>
          </w:p>
        </w:tc>
        <w:tc>
          <w:tcPr>
            <w:tcW w:w="630" w:type="dxa"/>
          </w:tcPr>
          <w:p w:rsidR="00E64851" w:rsidRPr="00EA6693" w:rsidRDefault="00E64851" w:rsidP="00694417">
            <w:pPr>
              <w:jc w:val="center"/>
              <w:rPr>
                <w:sz w:val="18"/>
                <w:szCs w:val="18"/>
              </w:rPr>
            </w:pPr>
            <w:r>
              <w:rPr>
                <w:sz w:val="18"/>
                <w:szCs w:val="18"/>
              </w:rPr>
              <w:t>2.8</w:t>
            </w:r>
          </w:p>
        </w:tc>
      </w:tr>
      <w:tr w:rsidR="00E64851" w:rsidRPr="00EA6693" w:rsidTr="00694417">
        <w:tc>
          <w:tcPr>
            <w:tcW w:w="1075" w:type="dxa"/>
          </w:tcPr>
          <w:p w:rsidR="00E64851" w:rsidRPr="00EA6693" w:rsidRDefault="00E64851" w:rsidP="00694417">
            <w:pPr>
              <w:rPr>
                <w:sz w:val="18"/>
                <w:szCs w:val="18"/>
              </w:rPr>
            </w:pPr>
            <w:r w:rsidRPr="00EA6693">
              <w:rPr>
                <w:sz w:val="18"/>
                <w:szCs w:val="18"/>
              </w:rPr>
              <w:t>1000</w:t>
            </w:r>
          </w:p>
        </w:tc>
        <w:tc>
          <w:tcPr>
            <w:tcW w:w="810" w:type="dxa"/>
          </w:tcPr>
          <w:p w:rsidR="00E64851" w:rsidRPr="00EA6693" w:rsidRDefault="00E64851" w:rsidP="00694417">
            <w:pPr>
              <w:jc w:val="right"/>
              <w:rPr>
                <w:sz w:val="18"/>
                <w:szCs w:val="18"/>
              </w:rPr>
            </w:pPr>
            <w:r w:rsidRPr="00EA6693">
              <w:rPr>
                <w:sz w:val="18"/>
                <w:szCs w:val="18"/>
              </w:rPr>
              <w:t>989.7</w:t>
            </w:r>
          </w:p>
        </w:tc>
        <w:tc>
          <w:tcPr>
            <w:tcW w:w="630" w:type="dxa"/>
          </w:tcPr>
          <w:p w:rsidR="00E64851" w:rsidRPr="00EA6693" w:rsidRDefault="00E64851" w:rsidP="00694417">
            <w:pPr>
              <w:jc w:val="right"/>
              <w:rPr>
                <w:sz w:val="18"/>
                <w:szCs w:val="18"/>
              </w:rPr>
            </w:pPr>
            <w:r>
              <w:rPr>
                <w:sz w:val="18"/>
                <w:szCs w:val="18"/>
              </w:rPr>
              <w:t>1.4</w:t>
            </w:r>
          </w:p>
        </w:tc>
        <w:tc>
          <w:tcPr>
            <w:tcW w:w="630" w:type="dxa"/>
          </w:tcPr>
          <w:p w:rsidR="00E64851" w:rsidRPr="00EA6693" w:rsidRDefault="00E64851" w:rsidP="00694417">
            <w:pPr>
              <w:jc w:val="center"/>
              <w:rPr>
                <w:sz w:val="18"/>
                <w:szCs w:val="18"/>
              </w:rPr>
            </w:pPr>
            <w:r>
              <w:rPr>
                <w:sz w:val="18"/>
                <w:szCs w:val="18"/>
              </w:rPr>
              <w:t>0.1</w:t>
            </w:r>
          </w:p>
        </w:tc>
        <w:tc>
          <w:tcPr>
            <w:tcW w:w="900" w:type="dxa"/>
          </w:tcPr>
          <w:p w:rsidR="00E64851" w:rsidRPr="00EA6693" w:rsidRDefault="00E64851" w:rsidP="00694417">
            <w:pPr>
              <w:jc w:val="right"/>
              <w:rPr>
                <w:sz w:val="18"/>
                <w:szCs w:val="18"/>
              </w:rPr>
            </w:pPr>
            <w:r>
              <w:rPr>
                <w:sz w:val="18"/>
                <w:szCs w:val="18"/>
              </w:rPr>
              <w:t>981.2</w:t>
            </w:r>
          </w:p>
        </w:tc>
        <w:tc>
          <w:tcPr>
            <w:tcW w:w="630" w:type="dxa"/>
          </w:tcPr>
          <w:p w:rsidR="00E64851" w:rsidRPr="00EA6693" w:rsidRDefault="00E64851" w:rsidP="00694417">
            <w:pPr>
              <w:jc w:val="right"/>
              <w:rPr>
                <w:sz w:val="18"/>
                <w:szCs w:val="18"/>
              </w:rPr>
            </w:pPr>
            <w:r>
              <w:rPr>
                <w:sz w:val="18"/>
                <w:szCs w:val="18"/>
              </w:rPr>
              <w:t>5.0</w:t>
            </w:r>
          </w:p>
        </w:tc>
        <w:tc>
          <w:tcPr>
            <w:tcW w:w="630" w:type="dxa"/>
          </w:tcPr>
          <w:p w:rsidR="00E64851" w:rsidRPr="00EA6693" w:rsidRDefault="00E64851" w:rsidP="00694417">
            <w:pPr>
              <w:jc w:val="center"/>
              <w:rPr>
                <w:sz w:val="18"/>
                <w:szCs w:val="18"/>
              </w:rPr>
            </w:pPr>
            <w:r>
              <w:rPr>
                <w:sz w:val="18"/>
                <w:szCs w:val="18"/>
              </w:rPr>
              <w:t>0.5</w:t>
            </w:r>
          </w:p>
        </w:tc>
        <w:tc>
          <w:tcPr>
            <w:tcW w:w="900" w:type="dxa"/>
          </w:tcPr>
          <w:p w:rsidR="00E64851" w:rsidRPr="00EA6693" w:rsidRDefault="00E64851" w:rsidP="00694417">
            <w:pPr>
              <w:jc w:val="right"/>
              <w:rPr>
                <w:sz w:val="18"/>
                <w:szCs w:val="18"/>
              </w:rPr>
            </w:pPr>
            <w:r>
              <w:rPr>
                <w:sz w:val="18"/>
                <w:szCs w:val="18"/>
              </w:rPr>
              <w:t>990.2</w:t>
            </w:r>
          </w:p>
        </w:tc>
        <w:tc>
          <w:tcPr>
            <w:tcW w:w="540" w:type="dxa"/>
          </w:tcPr>
          <w:p w:rsidR="00E64851" w:rsidRPr="00EA6693" w:rsidRDefault="00E64851" w:rsidP="00694417">
            <w:pPr>
              <w:jc w:val="right"/>
              <w:rPr>
                <w:sz w:val="18"/>
                <w:szCs w:val="18"/>
              </w:rPr>
            </w:pPr>
            <w:r>
              <w:rPr>
                <w:sz w:val="18"/>
                <w:szCs w:val="18"/>
              </w:rPr>
              <w:t>10.7</w:t>
            </w:r>
          </w:p>
        </w:tc>
        <w:tc>
          <w:tcPr>
            <w:tcW w:w="630" w:type="dxa"/>
          </w:tcPr>
          <w:p w:rsidR="00E64851" w:rsidRPr="00EA6693" w:rsidRDefault="00E64851" w:rsidP="00694417">
            <w:pPr>
              <w:jc w:val="center"/>
              <w:rPr>
                <w:sz w:val="18"/>
                <w:szCs w:val="18"/>
              </w:rPr>
            </w:pPr>
            <w:r>
              <w:rPr>
                <w:sz w:val="18"/>
                <w:szCs w:val="18"/>
              </w:rPr>
              <w:t>1.1</w:t>
            </w:r>
          </w:p>
        </w:tc>
        <w:tc>
          <w:tcPr>
            <w:tcW w:w="900" w:type="dxa"/>
          </w:tcPr>
          <w:p w:rsidR="00E64851" w:rsidRPr="00EA6693" w:rsidRDefault="00E64851" w:rsidP="00694417">
            <w:pPr>
              <w:jc w:val="right"/>
              <w:rPr>
                <w:sz w:val="18"/>
                <w:szCs w:val="18"/>
              </w:rPr>
            </w:pPr>
            <w:r>
              <w:rPr>
                <w:sz w:val="18"/>
                <w:szCs w:val="18"/>
              </w:rPr>
              <w:t>1033.5</w:t>
            </w:r>
          </w:p>
        </w:tc>
        <w:tc>
          <w:tcPr>
            <w:tcW w:w="540" w:type="dxa"/>
          </w:tcPr>
          <w:p w:rsidR="00E64851" w:rsidRPr="00EA6693" w:rsidRDefault="00E64851" w:rsidP="00694417">
            <w:pPr>
              <w:jc w:val="right"/>
              <w:rPr>
                <w:sz w:val="18"/>
                <w:szCs w:val="18"/>
              </w:rPr>
            </w:pPr>
            <w:r>
              <w:rPr>
                <w:sz w:val="18"/>
                <w:szCs w:val="18"/>
              </w:rPr>
              <w:t>7.3</w:t>
            </w:r>
          </w:p>
        </w:tc>
        <w:tc>
          <w:tcPr>
            <w:tcW w:w="630" w:type="dxa"/>
          </w:tcPr>
          <w:p w:rsidR="00E64851" w:rsidRPr="00EA6693" w:rsidRDefault="00E64851" w:rsidP="00694417">
            <w:pPr>
              <w:jc w:val="center"/>
              <w:rPr>
                <w:sz w:val="18"/>
                <w:szCs w:val="18"/>
              </w:rPr>
            </w:pPr>
            <w:r>
              <w:rPr>
                <w:sz w:val="18"/>
                <w:szCs w:val="18"/>
              </w:rPr>
              <w:t>0.7</w:t>
            </w:r>
          </w:p>
        </w:tc>
      </w:tr>
      <w:tr w:rsidR="00E64851" w:rsidRPr="00EA6693" w:rsidTr="00694417">
        <w:tc>
          <w:tcPr>
            <w:tcW w:w="1075" w:type="dxa"/>
          </w:tcPr>
          <w:p w:rsidR="00E64851" w:rsidRPr="00EA6693" w:rsidRDefault="00E64851" w:rsidP="00694417">
            <w:pPr>
              <w:rPr>
                <w:sz w:val="18"/>
                <w:szCs w:val="18"/>
              </w:rPr>
            </w:pPr>
            <w:r w:rsidRPr="00EA6693">
              <w:rPr>
                <w:sz w:val="18"/>
                <w:szCs w:val="18"/>
              </w:rPr>
              <w:t>5000</w:t>
            </w:r>
          </w:p>
        </w:tc>
        <w:tc>
          <w:tcPr>
            <w:tcW w:w="810" w:type="dxa"/>
          </w:tcPr>
          <w:p w:rsidR="00E64851" w:rsidRPr="00EA6693" w:rsidRDefault="00E64851" w:rsidP="00694417">
            <w:pPr>
              <w:jc w:val="right"/>
              <w:rPr>
                <w:sz w:val="18"/>
                <w:szCs w:val="18"/>
              </w:rPr>
            </w:pPr>
            <w:r w:rsidRPr="00EA6693">
              <w:rPr>
                <w:sz w:val="18"/>
                <w:szCs w:val="18"/>
              </w:rPr>
              <w:t>4982.3</w:t>
            </w:r>
          </w:p>
        </w:tc>
        <w:tc>
          <w:tcPr>
            <w:tcW w:w="630" w:type="dxa"/>
          </w:tcPr>
          <w:p w:rsidR="00E64851" w:rsidRPr="00EA6693" w:rsidRDefault="00E64851" w:rsidP="00694417">
            <w:pPr>
              <w:jc w:val="right"/>
              <w:rPr>
                <w:sz w:val="18"/>
                <w:szCs w:val="18"/>
              </w:rPr>
            </w:pPr>
            <w:r>
              <w:rPr>
                <w:sz w:val="18"/>
                <w:szCs w:val="18"/>
              </w:rPr>
              <w:t>105.0</w:t>
            </w:r>
          </w:p>
        </w:tc>
        <w:tc>
          <w:tcPr>
            <w:tcW w:w="630" w:type="dxa"/>
          </w:tcPr>
          <w:p w:rsidR="00E64851" w:rsidRPr="00EA6693" w:rsidRDefault="00E64851" w:rsidP="00694417">
            <w:pPr>
              <w:jc w:val="center"/>
              <w:rPr>
                <w:sz w:val="18"/>
                <w:szCs w:val="18"/>
              </w:rPr>
            </w:pPr>
            <w:r>
              <w:rPr>
                <w:sz w:val="18"/>
                <w:szCs w:val="18"/>
              </w:rPr>
              <w:t>2.1</w:t>
            </w:r>
          </w:p>
        </w:tc>
        <w:tc>
          <w:tcPr>
            <w:tcW w:w="900" w:type="dxa"/>
          </w:tcPr>
          <w:p w:rsidR="00E64851" w:rsidRPr="00EA6693" w:rsidRDefault="00E64851" w:rsidP="00694417">
            <w:pPr>
              <w:jc w:val="right"/>
              <w:rPr>
                <w:sz w:val="18"/>
                <w:szCs w:val="18"/>
              </w:rPr>
            </w:pPr>
            <w:r>
              <w:rPr>
                <w:sz w:val="18"/>
                <w:szCs w:val="18"/>
              </w:rPr>
              <w:t>5021.8</w:t>
            </w:r>
          </w:p>
        </w:tc>
        <w:tc>
          <w:tcPr>
            <w:tcW w:w="630" w:type="dxa"/>
          </w:tcPr>
          <w:p w:rsidR="00E64851" w:rsidRPr="00EA6693" w:rsidRDefault="00E64851" w:rsidP="00694417">
            <w:pPr>
              <w:jc w:val="right"/>
              <w:rPr>
                <w:sz w:val="18"/>
                <w:szCs w:val="18"/>
              </w:rPr>
            </w:pPr>
            <w:r>
              <w:rPr>
                <w:sz w:val="18"/>
                <w:szCs w:val="18"/>
              </w:rPr>
              <w:t>114.0</w:t>
            </w:r>
          </w:p>
        </w:tc>
        <w:tc>
          <w:tcPr>
            <w:tcW w:w="630" w:type="dxa"/>
          </w:tcPr>
          <w:p w:rsidR="00E64851" w:rsidRPr="00EA6693" w:rsidRDefault="00E64851" w:rsidP="00694417">
            <w:pPr>
              <w:jc w:val="center"/>
              <w:rPr>
                <w:sz w:val="18"/>
                <w:szCs w:val="18"/>
              </w:rPr>
            </w:pPr>
            <w:r>
              <w:rPr>
                <w:sz w:val="18"/>
                <w:szCs w:val="18"/>
              </w:rPr>
              <w:t>2.3</w:t>
            </w:r>
          </w:p>
        </w:tc>
        <w:tc>
          <w:tcPr>
            <w:tcW w:w="900" w:type="dxa"/>
          </w:tcPr>
          <w:p w:rsidR="00E64851" w:rsidRPr="00EA6693" w:rsidRDefault="00E64851" w:rsidP="00694417">
            <w:pPr>
              <w:jc w:val="right"/>
              <w:rPr>
                <w:sz w:val="18"/>
                <w:szCs w:val="18"/>
              </w:rPr>
            </w:pPr>
            <w:r>
              <w:rPr>
                <w:sz w:val="18"/>
                <w:szCs w:val="18"/>
              </w:rPr>
              <w:t>5015.4</w:t>
            </w:r>
          </w:p>
        </w:tc>
        <w:tc>
          <w:tcPr>
            <w:tcW w:w="540" w:type="dxa"/>
          </w:tcPr>
          <w:p w:rsidR="00E64851" w:rsidRPr="00EA6693" w:rsidRDefault="00E64851" w:rsidP="00694417">
            <w:pPr>
              <w:jc w:val="right"/>
              <w:rPr>
                <w:sz w:val="18"/>
                <w:szCs w:val="18"/>
              </w:rPr>
            </w:pPr>
            <w:r>
              <w:rPr>
                <w:sz w:val="18"/>
                <w:szCs w:val="18"/>
              </w:rPr>
              <w:t>23.2</w:t>
            </w:r>
          </w:p>
        </w:tc>
        <w:tc>
          <w:tcPr>
            <w:tcW w:w="630" w:type="dxa"/>
          </w:tcPr>
          <w:p w:rsidR="00E64851" w:rsidRPr="00EA6693" w:rsidRDefault="00E64851" w:rsidP="00694417">
            <w:pPr>
              <w:jc w:val="center"/>
              <w:rPr>
                <w:sz w:val="18"/>
                <w:szCs w:val="18"/>
              </w:rPr>
            </w:pPr>
            <w:r>
              <w:rPr>
                <w:sz w:val="18"/>
                <w:szCs w:val="18"/>
              </w:rPr>
              <w:t>0.5</w:t>
            </w:r>
          </w:p>
        </w:tc>
        <w:tc>
          <w:tcPr>
            <w:tcW w:w="900" w:type="dxa"/>
          </w:tcPr>
          <w:p w:rsidR="00E64851" w:rsidRPr="00EA6693" w:rsidRDefault="00E64851" w:rsidP="00694417">
            <w:pPr>
              <w:jc w:val="right"/>
              <w:rPr>
                <w:sz w:val="18"/>
                <w:szCs w:val="18"/>
              </w:rPr>
            </w:pPr>
            <w:r>
              <w:rPr>
                <w:sz w:val="18"/>
                <w:szCs w:val="18"/>
              </w:rPr>
              <w:t>4972.3</w:t>
            </w:r>
          </w:p>
        </w:tc>
        <w:tc>
          <w:tcPr>
            <w:tcW w:w="540" w:type="dxa"/>
          </w:tcPr>
          <w:p w:rsidR="00E64851" w:rsidRPr="00EA6693" w:rsidRDefault="00E64851" w:rsidP="00694417">
            <w:pPr>
              <w:jc w:val="right"/>
              <w:rPr>
                <w:sz w:val="18"/>
                <w:szCs w:val="18"/>
              </w:rPr>
            </w:pPr>
            <w:r>
              <w:rPr>
                <w:sz w:val="18"/>
                <w:szCs w:val="18"/>
              </w:rPr>
              <w:t>38.2</w:t>
            </w:r>
          </w:p>
        </w:tc>
        <w:tc>
          <w:tcPr>
            <w:tcW w:w="630" w:type="dxa"/>
          </w:tcPr>
          <w:p w:rsidR="00E64851" w:rsidRPr="00EA6693" w:rsidRDefault="00E64851" w:rsidP="00694417">
            <w:pPr>
              <w:jc w:val="center"/>
              <w:rPr>
                <w:sz w:val="18"/>
                <w:szCs w:val="18"/>
              </w:rPr>
            </w:pPr>
            <w:r>
              <w:rPr>
                <w:sz w:val="18"/>
                <w:szCs w:val="18"/>
              </w:rPr>
              <w:t>0.8</w:t>
            </w:r>
          </w:p>
        </w:tc>
      </w:tr>
      <w:tr w:rsidR="00E64851" w:rsidRPr="00EA6693" w:rsidTr="00694417">
        <w:tc>
          <w:tcPr>
            <w:tcW w:w="1075" w:type="dxa"/>
          </w:tcPr>
          <w:p w:rsidR="00E64851" w:rsidRPr="00EA6693" w:rsidRDefault="00E64851" w:rsidP="00694417">
            <w:pPr>
              <w:rPr>
                <w:sz w:val="18"/>
                <w:szCs w:val="18"/>
              </w:rPr>
            </w:pPr>
            <w:r w:rsidRPr="00EA6693">
              <w:rPr>
                <w:sz w:val="18"/>
                <w:szCs w:val="18"/>
              </w:rPr>
              <w:t>10,000</w:t>
            </w:r>
          </w:p>
        </w:tc>
        <w:tc>
          <w:tcPr>
            <w:tcW w:w="810" w:type="dxa"/>
          </w:tcPr>
          <w:p w:rsidR="00E64851" w:rsidRPr="00EA6693" w:rsidRDefault="00E64851" w:rsidP="00694417">
            <w:pPr>
              <w:jc w:val="right"/>
              <w:rPr>
                <w:sz w:val="18"/>
                <w:szCs w:val="18"/>
              </w:rPr>
            </w:pPr>
            <w:r w:rsidRPr="00EA6693">
              <w:rPr>
                <w:sz w:val="18"/>
                <w:szCs w:val="18"/>
              </w:rPr>
              <w:t>9796.6</w:t>
            </w:r>
          </w:p>
        </w:tc>
        <w:tc>
          <w:tcPr>
            <w:tcW w:w="630" w:type="dxa"/>
          </w:tcPr>
          <w:p w:rsidR="00E64851" w:rsidRPr="00EA6693" w:rsidRDefault="00E64851" w:rsidP="00694417">
            <w:pPr>
              <w:jc w:val="right"/>
              <w:rPr>
                <w:sz w:val="18"/>
                <w:szCs w:val="18"/>
              </w:rPr>
            </w:pPr>
            <w:r>
              <w:rPr>
                <w:sz w:val="18"/>
                <w:szCs w:val="18"/>
              </w:rPr>
              <w:t>170.4</w:t>
            </w:r>
          </w:p>
        </w:tc>
        <w:tc>
          <w:tcPr>
            <w:tcW w:w="630" w:type="dxa"/>
          </w:tcPr>
          <w:p w:rsidR="00E64851" w:rsidRPr="00EA6693" w:rsidRDefault="00E64851" w:rsidP="00694417">
            <w:pPr>
              <w:jc w:val="center"/>
              <w:rPr>
                <w:sz w:val="18"/>
                <w:szCs w:val="18"/>
              </w:rPr>
            </w:pPr>
            <w:r>
              <w:rPr>
                <w:sz w:val="18"/>
                <w:szCs w:val="18"/>
              </w:rPr>
              <w:t>1.7</w:t>
            </w:r>
          </w:p>
        </w:tc>
        <w:tc>
          <w:tcPr>
            <w:tcW w:w="900" w:type="dxa"/>
          </w:tcPr>
          <w:p w:rsidR="00E64851" w:rsidRPr="00EA6693" w:rsidRDefault="00E64851" w:rsidP="00694417">
            <w:pPr>
              <w:jc w:val="right"/>
              <w:rPr>
                <w:sz w:val="18"/>
                <w:szCs w:val="18"/>
              </w:rPr>
            </w:pPr>
            <w:r>
              <w:rPr>
                <w:sz w:val="18"/>
                <w:szCs w:val="18"/>
              </w:rPr>
              <w:t>10,191.6</w:t>
            </w:r>
          </w:p>
        </w:tc>
        <w:tc>
          <w:tcPr>
            <w:tcW w:w="630" w:type="dxa"/>
          </w:tcPr>
          <w:p w:rsidR="00E64851" w:rsidRPr="00EA6693" w:rsidRDefault="00E64851" w:rsidP="00694417">
            <w:pPr>
              <w:jc w:val="right"/>
              <w:rPr>
                <w:sz w:val="18"/>
                <w:szCs w:val="18"/>
              </w:rPr>
            </w:pPr>
            <w:r>
              <w:rPr>
                <w:sz w:val="18"/>
                <w:szCs w:val="18"/>
              </w:rPr>
              <w:t>91.6</w:t>
            </w:r>
          </w:p>
        </w:tc>
        <w:tc>
          <w:tcPr>
            <w:tcW w:w="630" w:type="dxa"/>
          </w:tcPr>
          <w:p w:rsidR="00E64851" w:rsidRPr="00EA6693" w:rsidRDefault="00E64851" w:rsidP="00694417">
            <w:pPr>
              <w:jc w:val="center"/>
              <w:rPr>
                <w:sz w:val="18"/>
                <w:szCs w:val="18"/>
              </w:rPr>
            </w:pPr>
            <w:r>
              <w:rPr>
                <w:sz w:val="18"/>
                <w:szCs w:val="18"/>
              </w:rPr>
              <w:t>0.9</w:t>
            </w:r>
          </w:p>
        </w:tc>
        <w:tc>
          <w:tcPr>
            <w:tcW w:w="900" w:type="dxa"/>
          </w:tcPr>
          <w:p w:rsidR="00E64851" w:rsidRPr="00EA6693" w:rsidRDefault="00E64851" w:rsidP="00694417">
            <w:pPr>
              <w:jc w:val="right"/>
              <w:rPr>
                <w:sz w:val="18"/>
                <w:szCs w:val="18"/>
              </w:rPr>
            </w:pPr>
            <w:r>
              <w:rPr>
                <w:sz w:val="18"/>
                <w:szCs w:val="18"/>
              </w:rPr>
              <w:t>10,146.8</w:t>
            </w:r>
          </w:p>
        </w:tc>
        <w:tc>
          <w:tcPr>
            <w:tcW w:w="540" w:type="dxa"/>
          </w:tcPr>
          <w:p w:rsidR="00E64851" w:rsidRPr="00EA6693" w:rsidRDefault="00E64851" w:rsidP="00694417">
            <w:pPr>
              <w:jc w:val="right"/>
              <w:rPr>
                <w:sz w:val="18"/>
                <w:szCs w:val="18"/>
              </w:rPr>
            </w:pPr>
            <w:r>
              <w:rPr>
                <w:sz w:val="18"/>
                <w:szCs w:val="18"/>
              </w:rPr>
              <w:t>37.3</w:t>
            </w:r>
          </w:p>
        </w:tc>
        <w:tc>
          <w:tcPr>
            <w:tcW w:w="630" w:type="dxa"/>
          </w:tcPr>
          <w:p w:rsidR="00E64851" w:rsidRPr="00EA6693" w:rsidRDefault="00E64851" w:rsidP="00694417">
            <w:pPr>
              <w:jc w:val="center"/>
              <w:rPr>
                <w:sz w:val="18"/>
                <w:szCs w:val="18"/>
              </w:rPr>
            </w:pPr>
            <w:r>
              <w:rPr>
                <w:sz w:val="18"/>
                <w:szCs w:val="18"/>
              </w:rPr>
              <w:t>0.4</w:t>
            </w:r>
          </w:p>
        </w:tc>
        <w:tc>
          <w:tcPr>
            <w:tcW w:w="900" w:type="dxa"/>
          </w:tcPr>
          <w:p w:rsidR="00E64851" w:rsidRPr="00EA6693" w:rsidRDefault="00E64851" w:rsidP="00694417">
            <w:pPr>
              <w:jc w:val="right"/>
              <w:rPr>
                <w:sz w:val="18"/>
                <w:szCs w:val="18"/>
              </w:rPr>
            </w:pPr>
            <w:r>
              <w:rPr>
                <w:sz w:val="18"/>
                <w:szCs w:val="18"/>
              </w:rPr>
              <w:t>9927.1</w:t>
            </w:r>
          </w:p>
        </w:tc>
        <w:tc>
          <w:tcPr>
            <w:tcW w:w="540" w:type="dxa"/>
          </w:tcPr>
          <w:p w:rsidR="00E64851" w:rsidRPr="00EA6693" w:rsidRDefault="00E64851" w:rsidP="00694417">
            <w:pPr>
              <w:jc w:val="right"/>
              <w:rPr>
                <w:sz w:val="18"/>
                <w:szCs w:val="18"/>
              </w:rPr>
            </w:pPr>
            <w:r>
              <w:rPr>
                <w:sz w:val="18"/>
                <w:szCs w:val="18"/>
              </w:rPr>
              <w:t>92.9</w:t>
            </w:r>
          </w:p>
        </w:tc>
        <w:tc>
          <w:tcPr>
            <w:tcW w:w="630" w:type="dxa"/>
          </w:tcPr>
          <w:p w:rsidR="00E64851" w:rsidRPr="00EA6693" w:rsidRDefault="00E64851" w:rsidP="00694417">
            <w:pPr>
              <w:jc w:val="center"/>
              <w:rPr>
                <w:sz w:val="18"/>
                <w:szCs w:val="18"/>
              </w:rPr>
            </w:pPr>
            <w:r>
              <w:rPr>
                <w:sz w:val="18"/>
                <w:szCs w:val="18"/>
              </w:rPr>
              <w:t>0.9</w:t>
            </w:r>
          </w:p>
        </w:tc>
      </w:tr>
      <w:tr w:rsidR="00E64851" w:rsidRPr="00EA6693" w:rsidTr="00694417">
        <w:tc>
          <w:tcPr>
            <w:tcW w:w="9445" w:type="dxa"/>
            <w:gridSpan w:val="13"/>
          </w:tcPr>
          <w:p w:rsidR="00E64851" w:rsidRPr="00EA6693" w:rsidRDefault="000930C3" w:rsidP="00694417">
            <w:pPr>
              <w:rPr>
                <w:sz w:val="18"/>
                <w:szCs w:val="18"/>
              </w:rPr>
            </w:pPr>
            <w:r w:rsidRPr="000930C3">
              <w:rPr>
                <w:sz w:val="18"/>
                <w:szCs w:val="18"/>
                <w:vertAlign w:val="superscript"/>
              </w:rPr>
              <w:t>a</w:t>
            </w:r>
            <w:r>
              <w:rPr>
                <w:sz w:val="18"/>
                <w:szCs w:val="18"/>
              </w:rPr>
              <w:t xml:space="preserve"> </w:t>
            </w:r>
            <w:r w:rsidR="00E64851">
              <w:rPr>
                <w:sz w:val="18"/>
                <w:szCs w:val="18"/>
              </w:rPr>
              <w:t>Assessment of SN-38 and SN-38G concentrations (ng/mL) in non-hydrolyzed and acid hydrolyzed processed samples prepared in triplicated with each sample analyzed by a separate single HPLC run.  Log-transformed ratios of the AUC for each product compared to the AUC for the internal 10H-CPT standard were derived, and plotted against the log-transformed product concentration, which was fit to a linear regression. Shown are the means (Obs) ± standard deviation (SD), with the percent coefficient of variation (% CV) derived for each triplicate value.</w:t>
            </w:r>
          </w:p>
        </w:tc>
      </w:tr>
    </w:tbl>
    <w:p w:rsidR="00E64851" w:rsidRDefault="00E64851" w:rsidP="00E64851"/>
    <w:p w:rsidR="00E64851" w:rsidRDefault="00E64851" w:rsidP="00E64851"/>
    <w:p w:rsidR="00E64851" w:rsidRDefault="00E64851" w:rsidP="00E64851"/>
    <w:p w:rsidR="00E64851" w:rsidRDefault="00E64851" w:rsidP="00E64851"/>
    <w:p w:rsidR="00E64851" w:rsidRDefault="00E64851" w:rsidP="00E64851"/>
    <w:p w:rsidR="00E64851" w:rsidRDefault="00E64851" w:rsidP="00E64851"/>
    <w:p w:rsidR="00E64851" w:rsidRDefault="00E64851" w:rsidP="00E64851">
      <w:r>
        <w:br w:type="page"/>
      </w:r>
    </w:p>
    <w:p w:rsidR="00E64851" w:rsidRDefault="00E64851" w:rsidP="00E648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5"/>
        <w:gridCol w:w="820"/>
        <w:gridCol w:w="900"/>
        <w:gridCol w:w="900"/>
        <w:gridCol w:w="900"/>
        <w:gridCol w:w="900"/>
        <w:gridCol w:w="900"/>
      </w:tblGrid>
      <w:tr w:rsidR="00E64851" w:rsidTr="00694417">
        <w:tc>
          <w:tcPr>
            <w:tcW w:w="6655" w:type="dxa"/>
            <w:gridSpan w:val="7"/>
          </w:tcPr>
          <w:p w:rsidR="00E64851" w:rsidRPr="00BA0B26" w:rsidRDefault="00E64851" w:rsidP="00694417">
            <w:pPr>
              <w:rPr>
                <w:b/>
              </w:rPr>
            </w:pPr>
            <w:r w:rsidRPr="001821D5">
              <w:rPr>
                <w:b/>
              </w:rPr>
              <w:t xml:space="preserve">Table </w:t>
            </w:r>
            <w:r>
              <w:rPr>
                <w:b/>
              </w:rPr>
              <w:t>S</w:t>
            </w:r>
            <w:r w:rsidRPr="001821D5">
              <w:rPr>
                <w:b/>
              </w:rPr>
              <w:t>2. SN-38 extraction efficiency</w:t>
            </w:r>
            <w:r w:rsidRPr="001821D5">
              <w:rPr>
                <w:b/>
                <w:i/>
                <w:vertAlign w:val="superscript"/>
              </w:rPr>
              <w:t>a</w:t>
            </w:r>
            <w:r w:rsidR="00BA0B26">
              <w:rPr>
                <w:b/>
                <w:i/>
              </w:rPr>
              <w:t>.</w:t>
            </w:r>
          </w:p>
        </w:tc>
      </w:tr>
      <w:tr w:rsidR="00E64851" w:rsidTr="00694417">
        <w:trPr>
          <w:trHeight w:val="630"/>
        </w:trPr>
        <w:tc>
          <w:tcPr>
            <w:tcW w:w="1335" w:type="dxa"/>
          </w:tcPr>
          <w:p w:rsidR="00E64851" w:rsidRDefault="00E64851" w:rsidP="00694417"/>
        </w:tc>
        <w:tc>
          <w:tcPr>
            <w:tcW w:w="1720" w:type="dxa"/>
            <w:gridSpan w:val="2"/>
            <w:tcBorders>
              <w:bottom w:val="single" w:sz="4" w:space="0" w:color="auto"/>
            </w:tcBorders>
            <w:vAlign w:val="bottom"/>
          </w:tcPr>
          <w:p w:rsidR="00E64851" w:rsidRDefault="00E64851" w:rsidP="00694417">
            <w:pPr>
              <w:jc w:val="center"/>
            </w:pPr>
            <w:r>
              <w:t>Serum</w:t>
            </w:r>
          </w:p>
        </w:tc>
        <w:tc>
          <w:tcPr>
            <w:tcW w:w="1800" w:type="dxa"/>
            <w:gridSpan w:val="2"/>
            <w:tcBorders>
              <w:bottom w:val="single" w:sz="4" w:space="0" w:color="auto"/>
            </w:tcBorders>
            <w:vAlign w:val="bottom"/>
          </w:tcPr>
          <w:p w:rsidR="00E64851" w:rsidRDefault="00E64851" w:rsidP="00694417">
            <w:pPr>
              <w:jc w:val="center"/>
            </w:pPr>
            <w:r>
              <w:t>Liver</w:t>
            </w:r>
          </w:p>
        </w:tc>
        <w:tc>
          <w:tcPr>
            <w:tcW w:w="1800" w:type="dxa"/>
            <w:gridSpan w:val="2"/>
            <w:tcBorders>
              <w:bottom w:val="single" w:sz="4" w:space="0" w:color="auto"/>
            </w:tcBorders>
            <w:vAlign w:val="bottom"/>
          </w:tcPr>
          <w:p w:rsidR="00E64851" w:rsidRDefault="00E64851" w:rsidP="00694417">
            <w:pPr>
              <w:jc w:val="center"/>
            </w:pPr>
            <w:r>
              <w:t>Feces</w:t>
            </w:r>
          </w:p>
        </w:tc>
      </w:tr>
      <w:tr w:rsidR="00E64851" w:rsidTr="00694417">
        <w:tc>
          <w:tcPr>
            <w:tcW w:w="1335" w:type="dxa"/>
            <w:tcBorders>
              <w:top w:val="single" w:sz="4" w:space="0" w:color="auto"/>
              <w:bottom w:val="single" w:sz="4" w:space="0" w:color="auto"/>
            </w:tcBorders>
            <w:vAlign w:val="center"/>
          </w:tcPr>
          <w:p w:rsidR="00E64851" w:rsidRDefault="00E64851" w:rsidP="00694417">
            <w:pPr>
              <w:jc w:val="center"/>
            </w:pPr>
            <w:r>
              <w:t>Expected (ng/mL)</w:t>
            </w:r>
          </w:p>
        </w:tc>
        <w:tc>
          <w:tcPr>
            <w:tcW w:w="820" w:type="dxa"/>
            <w:tcBorders>
              <w:top w:val="single" w:sz="4" w:space="0" w:color="auto"/>
              <w:bottom w:val="single" w:sz="4" w:space="0" w:color="auto"/>
            </w:tcBorders>
            <w:vAlign w:val="bottom"/>
          </w:tcPr>
          <w:p w:rsidR="00E64851" w:rsidRDefault="00E64851" w:rsidP="00694417">
            <w:pPr>
              <w:jc w:val="center"/>
            </w:pPr>
            <w:r>
              <w:t>% Diff</w:t>
            </w:r>
          </w:p>
        </w:tc>
        <w:tc>
          <w:tcPr>
            <w:tcW w:w="900" w:type="dxa"/>
            <w:tcBorders>
              <w:top w:val="single" w:sz="4" w:space="0" w:color="auto"/>
              <w:bottom w:val="single" w:sz="4" w:space="0" w:color="auto"/>
            </w:tcBorders>
            <w:vAlign w:val="bottom"/>
          </w:tcPr>
          <w:p w:rsidR="00E64851" w:rsidRDefault="00E64851" w:rsidP="00694417">
            <w:pPr>
              <w:jc w:val="center"/>
            </w:pPr>
            <w:r>
              <w:t>% CV</w:t>
            </w:r>
          </w:p>
        </w:tc>
        <w:tc>
          <w:tcPr>
            <w:tcW w:w="900" w:type="dxa"/>
            <w:tcBorders>
              <w:top w:val="single" w:sz="4" w:space="0" w:color="auto"/>
              <w:bottom w:val="single" w:sz="4" w:space="0" w:color="auto"/>
            </w:tcBorders>
            <w:vAlign w:val="bottom"/>
          </w:tcPr>
          <w:p w:rsidR="00E64851" w:rsidRDefault="00E64851" w:rsidP="00694417">
            <w:pPr>
              <w:jc w:val="center"/>
            </w:pPr>
            <w:r>
              <w:t>% Diff</w:t>
            </w:r>
          </w:p>
        </w:tc>
        <w:tc>
          <w:tcPr>
            <w:tcW w:w="900" w:type="dxa"/>
            <w:tcBorders>
              <w:top w:val="single" w:sz="4" w:space="0" w:color="auto"/>
              <w:bottom w:val="single" w:sz="4" w:space="0" w:color="auto"/>
            </w:tcBorders>
            <w:vAlign w:val="bottom"/>
          </w:tcPr>
          <w:p w:rsidR="00E64851" w:rsidRDefault="00E64851" w:rsidP="00694417">
            <w:pPr>
              <w:jc w:val="center"/>
            </w:pPr>
            <w:r>
              <w:t>% CV</w:t>
            </w:r>
          </w:p>
        </w:tc>
        <w:tc>
          <w:tcPr>
            <w:tcW w:w="900" w:type="dxa"/>
            <w:tcBorders>
              <w:top w:val="single" w:sz="4" w:space="0" w:color="auto"/>
              <w:bottom w:val="single" w:sz="4" w:space="0" w:color="auto"/>
            </w:tcBorders>
            <w:vAlign w:val="bottom"/>
          </w:tcPr>
          <w:p w:rsidR="00E64851" w:rsidRDefault="00E64851" w:rsidP="00694417">
            <w:pPr>
              <w:jc w:val="center"/>
            </w:pPr>
            <w:r>
              <w:t>% Diff</w:t>
            </w:r>
          </w:p>
        </w:tc>
        <w:tc>
          <w:tcPr>
            <w:tcW w:w="900" w:type="dxa"/>
            <w:tcBorders>
              <w:top w:val="single" w:sz="4" w:space="0" w:color="auto"/>
              <w:bottom w:val="single" w:sz="4" w:space="0" w:color="auto"/>
            </w:tcBorders>
            <w:vAlign w:val="bottom"/>
          </w:tcPr>
          <w:p w:rsidR="00E64851" w:rsidRDefault="00E64851" w:rsidP="00694417">
            <w:pPr>
              <w:jc w:val="center"/>
            </w:pPr>
            <w:r>
              <w:t>% CV</w:t>
            </w:r>
          </w:p>
        </w:tc>
      </w:tr>
      <w:tr w:rsidR="00E64851" w:rsidTr="00694417">
        <w:tc>
          <w:tcPr>
            <w:tcW w:w="1335" w:type="dxa"/>
            <w:tcBorders>
              <w:top w:val="single" w:sz="4" w:space="0" w:color="auto"/>
            </w:tcBorders>
          </w:tcPr>
          <w:p w:rsidR="00E64851" w:rsidRDefault="00E64851" w:rsidP="00694417">
            <w:r>
              <w:t>50</w:t>
            </w:r>
          </w:p>
        </w:tc>
        <w:tc>
          <w:tcPr>
            <w:tcW w:w="820" w:type="dxa"/>
            <w:tcBorders>
              <w:top w:val="single" w:sz="4" w:space="0" w:color="auto"/>
            </w:tcBorders>
          </w:tcPr>
          <w:p w:rsidR="00E64851" w:rsidRDefault="00E64851" w:rsidP="00694417">
            <w:pPr>
              <w:jc w:val="center"/>
            </w:pPr>
            <w:r>
              <w:t>3.2</w:t>
            </w:r>
          </w:p>
        </w:tc>
        <w:tc>
          <w:tcPr>
            <w:tcW w:w="900" w:type="dxa"/>
            <w:tcBorders>
              <w:top w:val="single" w:sz="4" w:space="0" w:color="auto"/>
            </w:tcBorders>
          </w:tcPr>
          <w:p w:rsidR="00E64851" w:rsidRDefault="00E64851" w:rsidP="00694417">
            <w:pPr>
              <w:jc w:val="center"/>
            </w:pPr>
            <w:r>
              <w:t>0.10</w:t>
            </w:r>
          </w:p>
        </w:tc>
        <w:tc>
          <w:tcPr>
            <w:tcW w:w="900" w:type="dxa"/>
            <w:tcBorders>
              <w:top w:val="single" w:sz="4" w:space="0" w:color="auto"/>
            </w:tcBorders>
          </w:tcPr>
          <w:p w:rsidR="00E64851" w:rsidRDefault="00E64851" w:rsidP="00694417">
            <w:pPr>
              <w:jc w:val="center"/>
            </w:pPr>
            <w:r>
              <w:t>17.2</w:t>
            </w:r>
          </w:p>
        </w:tc>
        <w:tc>
          <w:tcPr>
            <w:tcW w:w="900" w:type="dxa"/>
            <w:tcBorders>
              <w:top w:val="single" w:sz="4" w:space="0" w:color="auto"/>
            </w:tcBorders>
          </w:tcPr>
          <w:p w:rsidR="00E64851" w:rsidRDefault="00E64851" w:rsidP="00694417">
            <w:pPr>
              <w:jc w:val="center"/>
            </w:pPr>
            <w:r>
              <w:t>0.12</w:t>
            </w:r>
          </w:p>
        </w:tc>
        <w:tc>
          <w:tcPr>
            <w:tcW w:w="900" w:type="dxa"/>
            <w:tcBorders>
              <w:top w:val="single" w:sz="4" w:space="0" w:color="auto"/>
            </w:tcBorders>
          </w:tcPr>
          <w:p w:rsidR="00E64851" w:rsidRDefault="00E64851" w:rsidP="00694417">
            <w:pPr>
              <w:jc w:val="center"/>
            </w:pPr>
            <w:r>
              <w:t>30.1</w:t>
            </w:r>
          </w:p>
        </w:tc>
        <w:tc>
          <w:tcPr>
            <w:tcW w:w="900" w:type="dxa"/>
            <w:tcBorders>
              <w:top w:val="single" w:sz="4" w:space="0" w:color="auto"/>
            </w:tcBorders>
          </w:tcPr>
          <w:p w:rsidR="00E64851" w:rsidRDefault="00E64851" w:rsidP="00694417">
            <w:pPr>
              <w:jc w:val="center"/>
            </w:pPr>
            <w:r>
              <w:t>0.36</w:t>
            </w:r>
          </w:p>
        </w:tc>
      </w:tr>
      <w:tr w:rsidR="00E64851" w:rsidTr="00694417">
        <w:tc>
          <w:tcPr>
            <w:tcW w:w="1335" w:type="dxa"/>
          </w:tcPr>
          <w:p w:rsidR="00E64851" w:rsidRDefault="00E64851" w:rsidP="00694417">
            <w:r>
              <w:t>750</w:t>
            </w:r>
          </w:p>
        </w:tc>
        <w:tc>
          <w:tcPr>
            <w:tcW w:w="820" w:type="dxa"/>
          </w:tcPr>
          <w:p w:rsidR="00E64851" w:rsidRDefault="00E64851" w:rsidP="00694417">
            <w:pPr>
              <w:jc w:val="center"/>
            </w:pPr>
            <w:r>
              <w:t>5.0</w:t>
            </w:r>
          </w:p>
        </w:tc>
        <w:tc>
          <w:tcPr>
            <w:tcW w:w="900" w:type="dxa"/>
          </w:tcPr>
          <w:p w:rsidR="00E64851" w:rsidRDefault="00E64851" w:rsidP="00694417">
            <w:pPr>
              <w:jc w:val="center"/>
            </w:pPr>
            <w:r>
              <w:t>0.04</w:t>
            </w:r>
          </w:p>
        </w:tc>
        <w:tc>
          <w:tcPr>
            <w:tcW w:w="900" w:type="dxa"/>
          </w:tcPr>
          <w:p w:rsidR="00E64851" w:rsidRDefault="00E64851" w:rsidP="00694417">
            <w:pPr>
              <w:jc w:val="center"/>
            </w:pPr>
            <w:r>
              <w:t>3.9</w:t>
            </w:r>
          </w:p>
        </w:tc>
        <w:tc>
          <w:tcPr>
            <w:tcW w:w="900" w:type="dxa"/>
          </w:tcPr>
          <w:p w:rsidR="00E64851" w:rsidRDefault="00E64851" w:rsidP="00694417">
            <w:pPr>
              <w:jc w:val="center"/>
            </w:pPr>
            <w:r>
              <w:t>0.14</w:t>
            </w:r>
          </w:p>
        </w:tc>
        <w:tc>
          <w:tcPr>
            <w:tcW w:w="900" w:type="dxa"/>
          </w:tcPr>
          <w:p w:rsidR="00E64851" w:rsidRDefault="00E64851" w:rsidP="00694417">
            <w:pPr>
              <w:jc w:val="center"/>
            </w:pPr>
            <w:r>
              <w:t>10.4</w:t>
            </w:r>
          </w:p>
        </w:tc>
        <w:tc>
          <w:tcPr>
            <w:tcW w:w="900" w:type="dxa"/>
          </w:tcPr>
          <w:p w:rsidR="00E64851" w:rsidRDefault="00E64851" w:rsidP="00694417">
            <w:pPr>
              <w:jc w:val="center"/>
            </w:pPr>
            <w:r>
              <w:t>0.34</w:t>
            </w:r>
          </w:p>
        </w:tc>
      </w:tr>
      <w:tr w:rsidR="00E64851" w:rsidTr="00694417">
        <w:tc>
          <w:tcPr>
            <w:tcW w:w="1335" w:type="dxa"/>
            <w:tcBorders>
              <w:bottom w:val="single" w:sz="4" w:space="0" w:color="auto"/>
            </w:tcBorders>
          </w:tcPr>
          <w:p w:rsidR="00E64851" w:rsidRDefault="00E64851" w:rsidP="00694417">
            <w:r>
              <w:t>7500</w:t>
            </w:r>
          </w:p>
        </w:tc>
        <w:tc>
          <w:tcPr>
            <w:tcW w:w="820" w:type="dxa"/>
            <w:tcBorders>
              <w:bottom w:val="single" w:sz="4" w:space="0" w:color="auto"/>
            </w:tcBorders>
          </w:tcPr>
          <w:p w:rsidR="00E64851" w:rsidRDefault="00E64851" w:rsidP="00694417">
            <w:pPr>
              <w:jc w:val="center"/>
            </w:pPr>
            <w:r>
              <w:t>8.2</w:t>
            </w:r>
          </w:p>
        </w:tc>
        <w:tc>
          <w:tcPr>
            <w:tcW w:w="900" w:type="dxa"/>
            <w:tcBorders>
              <w:bottom w:val="single" w:sz="4" w:space="0" w:color="auto"/>
            </w:tcBorders>
          </w:tcPr>
          <w:p w:rsidR="00E64851" w:rsidRDefault="00E64851" w:rsidP="00694417">
            <w:pPr>
              <w:jc w:val="center"/>
            </w:pPr>
            <w:r>
              <w:t>0.06</w:t>
            </w:r>
          </w:p>
        </w:tc>
        <w:tc>
          <w:tcPr>
            <w:tcW w:w="900" w:type="dxa"/>
            <w:tcBorders>
              <w:bottom w:val="single" w:sz="4" w:space="0" w:color="auto"/>
            </w:tcBorders>
          </w:tcPr>
          <w:p w:rsidR="00E64851" w:rsidRDefault="00E64851" w:rsidP="00694417">
            <w:pPr>
              <w:jc w:val="center"/>
            </w:pPr>
            <w:r>
              <w:t>8.8</w:t>
            </w:r>
          </w:p>
        </w:tc>
        <w:tc>
          <w:tcPr>
            <w:tcW w:w="900" w:type="dxa"/>
            <w:tcBorders>
              <w:bottom w:val="single" w:sz="4" w:space="0" w:color="auto"/>
            </w:tcBorders>
          </w:tcPr>
          <w:p w:rsidR="00E64851" w:rsidRDefault="00E64851" w:rsidP="00694417">
            <w:pPr>
              <w:jc w:val="center"/>
            </w:pPr>
            <w:r>
              <w:t>0.05</w:t>
            </w:r>
          </w:p>
        </w:tc>
        <w:tc>
          <w:tcPr>
            <w:tcW w:w="900" w:type="dxa"/>
            <w:tcBorders>
              <w:bottom w:val="single" w:sz="4" w:space="0" w:color="auto"/>
            </w:tcBorders>
          </w:tcPr>
          <w:p w:rsidR="00E64851" w:rsidRDefault="00E64851" w:rsidP="00694417">
            <w:pPr>
              <w:jc w:val="center"/>
            </w:pPr>
            <w:r>
              <w:t>13.9</w:t>
            </w:r>
          </w:p>
        </w:tc>
        <w:tc>
          <w:tcPr>
            <w:tcW w:w="900" w:type="dxa"/>
            <w:tcBorders>
              <w:bottom w:val="single" w:sz="4" w:space="0" w:color="auto"/>
            </w:tcBorders>
          </w:tcPr>
          <w:p w:rsidR="00E64851" w:rsidRDefault="00E64851" w:rsidP="00694417">
            <w:pPr>
              <w:jc w:val="center"/>
            </w:pPr>
            <w:r>
              <w:t>0.85</w:t>
            </w:r>
          </w:p>
        </w:tc>
      </w:tr>
      <w:tr w:rsidR="00E64851" w:rsidTr="00694417">
        <w:tc>
          <w:tcPr>
            <w:tcW w:w="6655" w:type="dxa"/>
            <w:gridSpan w:val="7"/>
            <w:tcBorders>
              <w:top w:val="single" w:sz="4" w:space="0" w:color="auto"/>
            </w:tcBorders>
          </w:tcPr>
          <w:p w:rsidR="00E64851" w:rsidRDefault="00E64851" w:rsidP="00694417">
            <w:pPr>
              <w:jc w:val="both"/>
            </w:pPr>
            <w:r w:rsidRPr="00B615DB">
              <w:rPr>
                <w:i/>
                <w:vertAlign w:val="superscript"/>
              </w:rPr>
              <w:t>a</w:t>
            </w:r>
            <w:r>
              <w:t>Each tissue sample was spiked with different amounts of SN-38, diluted in water (serum) or homogenized in water (liver and feces), then extracted with precipitating media.  Triplicate HPLC runs were used to determine the percent difference between the expected and measured concentrations (% Diff), with its associated % coefficient of variance (% CV).</w:t>
            </w:r>
          </w:p>
        </w:tc>
      </w:tr>
    </w:tbl>
    <w:p w:rsidR="00E64851" w:rsidRDefault="00E64851" w:rsidP="00E64851"/>
    <w:p w:rsidR="00E64851" w:rsidRDefault="00E64851" w:rsidP="00E64851"/>
    <w:p w:rsidR="00E64851" w:rsidRDefault="00E64851" w:rsidP="00E64851"/>
    <w:p w:rsidR="00E271DE" w:rsidRDefault="00E64851">
      <w:r>
        <w:br w:type="page"/>
      </w:r>
    </w:p>
    <w:p w:rsidR="00E271DE" w:rsidRDefault="00E271DE"/>
    <w:tbl>
      <w:tblPr>
        <w:tblpPr w:leftFromText="180" w:rightFromText="180" w:horzAnchor="margin" w:tblpY="1905"/>
        <w:tblW w:w="9510" w:type="dxa"/>
        <w:tblLayout w:type="fixed"/>
        <w:tblCellMar>
          <w:left w:w="30" w:type="dxa"/>
          <w:right w:w="30" w:type="dxa"/>
        </w:tblCellMar>
        <w:tblLook w:val="0000" w:firstRow="0" w:lastRow="0" w:firstColumn="0" w:lastColumn="0" w:noHBand="0" w:noVBand="0"/>
      </w:tblPr>
      <w:tblGrid>
        <w:gridCol w:w="2580"/>
        <w:gridCol w:w="1440"/>
        <w:gridCol w:w="900"/>
        <w:gridCol w:w="1170"/>
        <w:gridCol w:w="166"/>
        <w:gridCol w:w="1184"/>
        <w:gridCol w:w="990"/>
        <w:gridCol w:w="1080"/>
      </w:tblGrid>
      <w:tr w:rsidR="00E271DE" w:rsidRPr="00E271DE" w:rsidTr="00965E29">
        <w:trPr>
          <w:trHeight w:val="290"/>
        </w:trPr>
        <w:tc>
          <w:tcPr>
            <w:tcW w:w="9510" w:type="dxa"/>
            <w:gridSpan w:val="8"/>
            <w:tcBorders>
              <w:top w:val="nil"/>
              <w:left w:val="nil"/>
              <w:bottom w:val="nil"/>
              <w:right w:val="nil"/>
            </w:tcBorders>
          </w:tcPr>
          <w:p w:rsidR="00E271DE" w:rsidRDefault="00E271DE" w:rsidP="00E271DE">
            <w:pPr>
              <w:autoSpaceDE w:val="0"/>
              <w:autoSpaceDN w:val="0"/>
              <w:adjustRightInd w:val="0"/>
              <w:spacing w:after="0" w:line="240" w:lineRule="auto"/>
              <w:rPr>
                <w:rFonts w:ascii="Arial" w:hAnsi="Arial" w:cs="Arial"/>
                <w:b/>
                <w:bCs/>
                <w:color w:val="000000"/>
              </w:rPr>
            </w:pPr>
            <w:r w:rsidRPr="00E271DE">
              <w:rPr>
                <w:rFonts w:ascii="Arial" w:hAnsi="Arial" w:cs="Arial"/>
                <w:b/>
                <w:bCs/>
                <w:color w:val="000000"/>
              </w:rPr>
              <w:t>Table S3</w:t>
            </w:r>
            <w:r>
              <w:rPr>
                <w:rFonts w:ascii="Arial" w:hAnsi="Arial" w:cs="Arial"/>
                <w:b/>
                <w:bCs/>
                <w:color w:val="000000"/>
              </w:rPr>
              <w:t>. Area under the curve (AUC) analysis of various products in the serum of nude mice given irinotecan or IMMU-132.</w:t>
            </w:r>
          </w:p>
          <w:p w:rsidR="00E271DE" w:rsidRPr="00E271DE" w:rsidRDefault="00E271DE" w:rsidP="00E271DE">
            <w:pPr>
              <w:autoSpaceDE w:val="0"/>
              <w:autoSpaceDN w:val="0"/>
              <w:adjustRightInd w:val="0"/>
              <w:spacing w:after="0" w:line="240" w:lineRule="auto"/>
              <w:rPr>
                <w:rFonts w:ascii="Arial" w:hAnsi="Arial" w:cs="Arial"/>
                <w:b/>
                <w:bCs/>
                <w:color w:val="000000"/>
              </w:rPr>
            </w:pPr>
          </w:p>
        </w:tc>
      </w:tr>
      <w:tr w:rsidR="00E271DE" w:rsidRPr="00E271DE" w:rsidTr="00663A8B">
        <w:trPr>
          <w:trHeight w:val="290"/>
        </w:trPr>
        <w:tc>
          <w:tcPr>
            <w:tcW w:w="2580" w:type="dxa"/>
            <w:tcBorders>
              <w:top w:val="nil"/>
              <w:left w:val="nil"/>
              <w:bottom w:val="nil"/>
              <w:right w:val="nil"/>
            </w:tcBorders>
          </w:tcPr>
          <w:p w:rsidR="00E271DE" w:rsidRPr="00E271DE" w:rsidRDefault="00E271DE" w:rsidP="00663A8B">
            <w:pPr>
              <w:autoSpaceDE w:val="0"/>
              <w:autoSpaceDN w:val="0"/>
              <w:adjustRightInd w:val="0"/>
              <w:spacing w:after="0" w:line="240" w:lineRule="auto"/>
              <w:jc w:val="right"/>
              <w:rPr>
                <w:rFonts w:ascii="Arial" w:hAnsi="Arial" w:cs="Arial"/>
                <w:color w:val="000000"/>
              </w:rPr>
            </w:pPr>
          </w:p>
        </w:tc>
        <w:tc>
          <w:tcPr>
            <w:tcW w:w="6930" w:type="dxa"/>
            <w:gridSpan w:val="7"/>
            <w:tcBorders>
              <w:top w:val="nil"/>
              <w:left w:val="nil"/>
              <w:bottom w:val="nil"/>
              <w:right w:val="nil"/>
            </w:tcBorders>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r w:rsidRPr="00E271DE">
              <w:rPr>
                <w:rFonts w:ascii="Arial" w:hAnsi="Arial" w:cs="Arial"/>
                <w:b/>
                <w:bCs/>
                <w:color w:val="000000"/>
              </w:rPr>
              <w:t>AUC (µg/mL</w:t>
            </w:r>
            <w:r w:rsidRPr="00E271DE">
              <w:rPr>
                <w:rFonts w:ascii="Arial" w:hAnsi="Arial" w:cs="Arial"/>
                <w:b/>
                <w:bCs/>
                <w:color w:val="000000"/>
              </w:rPr>
              <w:sym w:font="Symbol" w:char="F0D7"/>
            </w:r>
            <w:r w:rsidRPr="00E271DE">
              <w:rPr>
                <w:rFonts w:ascii="Arial" w:hAnsi="Arial" w:cs="Arial"/>
                <w:b/>
                <w:bCs/>
                <w:color w:val="000000"/>
              </w:rPr>
              <w:t>h)</w:t>
            </w:r>
          </w:p>
        </w:tc>
      </w:tr>
      <w:tr w:rsidR="00E271DE" w:rsidRPr="00E271DE" w:rsidTr="00663A8B">
        <w:trPr>
          <w:trHeight w:val="290"/>
        </w:trPr>
        <w:tc>
          <w:tcPr>
            <w:tcW w:w="2580" w:type="dxa"/>
            <w:tcBorders>
              <w:top w:val="nil"/>
              <w:left w:val="nil"/>
              <w:bottom w:val="nil"/>
              <w:right w:val="nil"/>
            </w:tcBorders>
          </w:tcPr>
          <w:p w:rsidR="00E271DE" w:rsidRPr="00E271DE" w:rsidRDefault="00E271DE" w:rsidP="00663A8B">
            <w:pPr>
              <w:autoSpaceDE w:val="0"/>
              <w:autoSpaceDN w:val="0"/>
              <w:adjustRightInd w:val="0"/>
              <w:spacing w:after="0" w:line="240" w:lineRule="auto"/>
              <w:jc w:val="right"/>
              <w:rPr>
                <w:rFonts w:ascii="Arial" w:hAnsi="Arial" w:cs="Arial"/>
                <w:color w:val="000000"/>
              </w:rPr>
            </w:pPr>
          </w:p>
        </w:tc>
        <w:tc>
          <w:tcPr>
            <w:tcW w:w="3510" w:type="dxa"/>
            <w:gridSpan w:val="3"/>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r w:rsidRPr="00E271DE">
              <w:rPr>
                <w:rFonts w:ascii="Arial" w:hAnsi="Arial" w:cs="Arial"/>
                <w:b/>
                <w:bCs/>
                <w:color w:val="000000"/>
              </w:rPr>
              <w:t>Irinotecan-treated</w:t>
            </w:r>
          </w:p>
        </w:tc>
        <w:tc>
          <w:tcPr>
            <w:tcW w:w="166" w:type="dxa"/>
            <w:tcBorders>
              <w:top w:val="nil"/>
              <w:left w:val="nil"/>
              <w:bottom w:val="nil"/>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p>
        </w:tc>
        <w:tc>
          <w:tcPr>
            <w:tcW w:w="3254" w:type="dxa"/>
            <w:gridSpan w:val="3"/>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r w:rsidRPr="00E271DE">
              <w:rPr>
                <w:rFonts w:ascii="Arial" w:hAnsi="Arial" w:cs="Arial"/>
                <w:b/>
                <w:bCs/>
                <w:color w:val="000000"/>
              </w:rPr>
              <w:t>IMMU-132-treated</w:t>
            </w:r>
          </w:p>
        </w:tc>
      </w:tr>
      <w:tr w:rsidR="00E271DE" w:rsidRPr="00E271DE" w:rsidTr="00663A8B">
        <w:trPr>
          <w:trHeight w:val="678"/>
        </w:trPr>
        <w:tc>
          <w:tcPr>
            <w:tcW w:w="2580" w:type="dxa"/>
            <w:tcBorders>
              <w:top w:val="nil"/>
              <w:left w:val="nil"/>
              <w:bottom w:val="nil"/>
              <w:right w:val="nil"/>
            </w:tcBorders>
          </w:tcPr>
          <w:p w:rsidR="00E271DE" w:rsidRPr="00E271DE" w:rsidRDefault="00E271DE" w:rsidP="00663A8B">
            <w:pPr>
              <w:autoSpaceDE w:val="0"/>
              <w:autoSpaceDN w:val="0"/>
              <w:adjustRightInd w:val="0"/>
              <w:spacing w:after="0" w:line="240" w:lineRule="auto"/>
              <w:jc w:val="right"/>
              <w:rPr>
                <w:rFonts w:ascii="Arial" w:hAnsi="Arial" w:cs="Arial"/>
                <w:color w:val="000000"/>
              </w:rPr>
            </w:pPr>
          </w:p>
        </w:tc>
        <w:tc>
          <w:tcPr>
            <w:tcW w:w="144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r w:rsidRPr="00E271DE">
              <w:rPr>
                <w:rFonts w:ascii="Arial" w:hAnsi="Arial" w:cs="Arial"/>
                <w:b/>
                <w:bCs/>
                <w:color w:val="000000"/>
              </w:rPr>
              <w:t>Irinotecan</w:t>
            </w:r>
          </w:p>
        </w:tc>
        <w:tc>
          <w:tcPr>
            <w:tcW w:w="90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r w:rsidRPr="00E271DE">
              <w:rPr>
                <w:rFonts w:ascii="Arial" w:hAnsi="Arial" w:cs="Arial"/>
                <w:b/>
                <w:bCs/>
                <w:color w:val="000000"/>
              </w:rPr>
              <w:t>SN-38</w:t>
            </w:r>
          </w:p>
        </w:tc>
        <w:tc>
          <w:tcPr>
            <w:tcW w:w="117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r w:rsidRPr="00E271DE">
              <w:rPr>
                <w:rFonts w:ascii="Arial" w:hAnsi="Arial" w:cs="Arial"/>
                <w:b/>
                <w:bCs/>
                <w:color w:val="000000"/>
              </w:rPr>
              <w:t>SN-38G</w:t>
            </w:r>
          </w:p>
        </w:tc>
        <w:tc>
          <w:tcPr>
            <w:tcW w:w="166" w:type="dxa"/>
            <w:tcBorders>
              <w:top w:val="nil"/>
              <w:left w:val="nil"/>
              <w:bottom w:val="single" w:sz="6" w:space="0" w:color="auto"/>
              <w:right w:val="nil"/>
            </w:tcBorders>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p>
        </w:tc>
        <w:tc>
          <w:tcPr>
            <w:tcW w:w="1184"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r w:rsidRPr="00E271DE">
              <w:rPr>
                <w:rFonts w:ascii="Arial" w:hAnsi="Arial" w:cs="Arial"/>
                <w:b/>
                <w:bCs/>
                <w:color w:val="000000"/>
              </w:rPr>
              <w:t>SN-38 [TOTAL]</w:t>
            </w:r>
          </w:p>
        </w:tc>
        <w:tc>
          <w:tcPr>
            <w:tcW w:w="99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r w:rsidRPr="00E271DE">
              <w:rPr>
                <w:rFonts w:ascii="Arial" w:hAnsi="Arial" w:cs="Arial"/>
                <w:b/>
                <w:bCs/>
                <w:color w:val="000000"/>
              </w:rPr>
              <w:t>SN-38 (Free)</w:t>
            </w:r>
          </w:p>
        </w:tc>
        <w:tc>
          <w:tcPr>
            <w:tcW w:w="108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
                <w:bCs/>
                <w:color w:val="000000"/>
              </w:rPr>
            </w:pPr>
            <w:r w:rsidRPr="00E271DE">
              <w:rPr>
                <w:rFonts w:ascii="Arial" w:hAnsi="Arial" w:cs="Arial"/>
                <w:b/>
                <w:bCs/>
                <w:color w:val="000000"/>
              </w:rPr>
              <w:t>SN-38G (Free)</w:t>
            </w:r>
          </w:p>
        </w:tc>
      </w:tr>
      <w:tr w:rsidR="00E271DE" w:rsidRPr="00E271DE" w:rsidTr="00663A8B">
        <w:trPr>
          <w:trHeight w:val="372"/>
        </w:trPr>
        <w:tc>
          <w:tcPr>
            <w:tcW w:w="2580" w:type="dxa"/>
            <w:tcBorders>
              <w:top w:val="nil"/>
              <w:left w:val="nil"/>
              <w:bottom w:val="nil"/>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Cs/>
                <w:color w:val="000000"/>
              </w:rPr>
            </w:pPr>
            <w:r w:rsidRPr="00E271DE">
              <w:rPr>
                <w:rFonts w:ascii="Arial" w:hAnsi="Arial" w:cs="Arial"/>
                <w:bCs/>
                <w:color w:val="000000"/>
              </w:rPr>
              <w:t>Study 1 (Capan-1)</w:t>
            </w:r>
          </w:p>
        </w:tc>
        <w:tc>
          <w:tcPr>
            <w:tcW w:w="1440" w:type="dxa"/>
            <w:tcBorders>
              <w:top w:val="nil"/>
              <w:left w:val="nil"/>
              <w:bottom w:val="nil"/>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21.04</w:t>
            </w:r>
          </w:p>
        </w:tc>
        <w:tc>
          <w:tcPr>
            <w:tcW w:w="900" w:type="dxa"/>
            <w:tcBorders>
              <w:top w:val="nil"/>
              <w:left w:val="nil"/>
              <w:bottom w:val="nil"/>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2.52</w:t>
            </w:r>
          </w:p>
        </w:tc>
        <w:tc>
          <w:tcPr>
            <w:tcW w:w="1170" w:type="dxa"/>
            <w:tcBorders>
              <w:top w:val="nil"/>
              <w:left w:val="nil"/>
              <w:bottom w:val="nil"/>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2.84</w:t>
            </w:r>
          </w:p>
        </w:tc>
        <w:tc>
          <w:tcPr>
            <w:tcW w:w="166" w:type="dxa"/>
            <w:tcBorders>
              <w:top w:val="nil"/>
              <w:left w:val="nil"/>
              <w:bottom w:val="nil"/>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p>
        </w:tc>
        <w:tc>
          <w:tcPr>
            <w:tcW w:w="1184" w:type="dxa"/>
            <w:tcBorders>
              <w:top w:val="nil"/>
              <w:left w:val="nil"/>
              <w:bottom w:val="nil"/>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145.34</w:t>
            </w:r>
          </w:p>
        </w:tc>
        <w:tc>
          <w:tcPr>
            <w:tcW w:w="990" w:type="dxa"/>
            <w:tcBorders>
              <w:top w:val="nil"/>
              <w:left w:val="nil"/>
              <w:bottom w:val="nil"/>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5.04</w:t>
            </w:r>
          </w:p>
        </w:tc>
        <w:tc>
          <w:tcPr>
            <w:tcW w:w="1080" w:type="dxa"/>
            <w:tcBorders>
              <w:top w:val="nil"/>
              <w:left w:val="nil"/>
              <w:bottom w:val="nil"/>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ND</w:t>
            </w:r>
          </w:p>
        </w:tc>
      </w:tr>
      <w:tr w:rsidR="00E271DE" w:rsidRPr="00E271DE" w:rsidTr="00663A8B">
        <w:trPr>
          <w:trHeight w:val="405"/>
        </w:trPr>
        <w:tc>
          <w:tcPr>
            <w:tcW w:w="258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bCs/>
                <w:color w:val="000000"/>
              </w:rPr>
            </w:pPr>
            <w:r w:rsidRPr="00E271DE">
              <w:rPr>
                <w:rFonts w:ascii="Arial" w:hAnsi="Arial" w:cs="Arial"/>
                <w:bCs/>
                <w:color w:val="000000"/>
              </w:rPr>
              <w:t>Study 3 (NCI-N87)</w:t>
            </w:r>
          </w:p>
        </w:tc>
        <w:tc>
          <w:tcPr>
            <w:tcW w:w="144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24.51</w:t>
            </w:r>
          </w:p>
        </w:tc>
        <w:tc>
          <w:tcPr>
            <w:tcW w:w="90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3.21</w:t>
            </w:r>
          </w:p>
        </w:tc>
        <w:tc>
          <w:tcPr>
            <w:tcW w:w="117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3.00</w:t>
            </w:r>
          </w:p>
        </w:tc>
        <w:tc>
          <w:tcPr>
            <w:tcW w:w="166"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p>
        </w:tc>
        <w:tc>
          <w:tcPr>
            <w:tcW w:w="1184"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171.72</w:t>
            </w:r>
          </w:p>
        </w:tc>
        <w:tc>
          <w:tcPr>
            <w:tcW w:w="99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3.88</w:t>
            </w:r>
          </w:p>
        </w:tc>
        <w:tc>
          <w:tcPr>
            <w:tcW w:w="1080" w:type="dxa"/>
            <w:tcBorders>
              <w:top w:val="nil"/>
              <w:left w:val="nil"/>
              <w:bottom w:val="single" w:sz="6" w:space="0" w:color="auto"/>
              <w:right w:val="nil"/>
            </w:tcBorders>
            <w:vAlign w:val="bottom"/>
          </w:tcPr>
          <w:p w:rsidR="00E271DE" w:rsidRPr="00E271DE" w:rsidRDefault="00E271DE" w:rsidP="00663A8B">
            <w:pPr>
              <w:autoSpaceDE w:val="0"/>
              <w:autoSpaceDN w:val="0"/>
              <w:adjustRightInd w:val="0"/>
              <w:spacing w:after="0" w:line="240" w:lineRule="auto"/>
              <w:jc w:val="center"/>
              <w:rPr>
                <w:rFonts w:ascii="Arial" w:hAnsi="Arial" w:cs="Arial"/>
                <w:color w:val="000000"/>
              </w:rPr>
            </w:pPr>
            <w:r w:rsidRPr="00E271DE">
              <w:rPr>
                <w:rFonts w:ascii="Arial" w:hAnsi="Arial" w:cs="Arial"/>
                <w:color w:val="000000"/>
              </w:rPr>
              <w:t>1.39</w:t>
            </w:r>
          </w:p>
        </w:tc>
      </w:tr>
      <w:tr w:rsidR="00E271DE" w:rsidRPr="00E271DE" w:rsidTr="00663A8B">
        <w:trPr>
          <w:trHeight w:val="290"/>
        </w:trPr>
        <w:tc>
          <w:tcPr>
            <w:tcW w:w="9510" w:type="dxa"/>
            <w:gridSpan w:val="8"/>
            <w:tcBorders>
              <w:top w:val="nil"/>
              <w:left w:val="nil"/>
              <w:bottom w:val="nil"/>
              <w:right w:val="nil"/>
            </w:tcBorders>
          </w:tcPr>
          <w:p w:rsidR="00E271DE" w:rsidRPr="00E271DE" w:rsidRDefault="00E271DE" w:rsidP="00663A8B">
            <w:pPr>
              <w:autoSpaceDE w:val="0"/>
              <w:autoSpaceDN w:val="0"/>
              <w:adjustRightInd w:val="0"/>
              <w:spacing w:after="0" w:line="240" w:lineRule="auto"/>
              <w:rPr>
                <w:rFonts w:ascii="Arial" w:hAnsi="Arial" w:cs="Arial"/>
                <w:color w:val="000000"/>
              </w:rPr>
            </w:pPr>
            <w:r w:rsidRPr="00E271DE">
              <w:rPr>
                <w:rFonts w:ascii="Arial" w:hAnsi="Arial" w:cs="Arial"/>
                <w:color w:val="000000"/>
              </w:rPr>
              <w:t>ND, not determined (&lt;3 samples)</w:t>
            </w:r>
          </w:p>
        </w:tc>
      </w:tr>
    </w:tbl>
    <w:p w:rsidR="00E271DE" w:rsidRDefault="00E271DE"/>
    <w:p w:rsidR="00E271DE" w:rsidRDefault="00E271DE"/>
    <w:p w:rsidR="00E271DE" w:rsidRDefault="00E271DE"/>
    <w:p w:rsidR="00E271DE" w:rsidRDefault="00E271DE"/>
    <w:p w:rsidR="00E271DE" w:rsidRDefault="00E271DE"/>
    <w:p w:rsidR="00E271DE" w:rsidRDefault="00E271DE"/>
    <w:p w:rsidR="00E271DE" w:rsidRDefault="00E271DE">
      <w:r>
        <w:br w:type="page"/>
      </w:r>
    </w:p>
    <w:p w:rsidR="00E64851" w:rsidRDefault="00E64851" w:rsidP="00E648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530"/>
        <w:gridCol w:w="1260"/>
        <w:gridCol w:w="1260"/>
        <w:gridCol w:w="1248"/>
      </w:tblGrid>
      <w:tr w:rsidR="00E64851" w:rsidTr="0020723A">
        <w:tc>
          <w:tcPr>
            <w:tcW w:w="7813" w:type="dxa"/>
            <w:gridSpan w:val="5"/>
          </w:tcPr>
          <w:p w:rsidR="00E64851" w:rsidRPr="00BA0B26" w:rsidRDefault="00E64851" w:rsidP="00E271DE">
            <w:r w:rsidRPr="00CD0682">
              <w:rPr>
                <w:b/>
              </w:rPr>
              <w:t xml:space="preserve">Table </w:t>
            </w:r>
            <w:r>
              <w:rPr>
                <w:b/>
              </w:rPr>
              <w:t>S</w:t>
            </w:r>
            <w:r w:rsidR="00E271DE">
              <w:rPr>
                <w:b/>
              </w:rPr>
              <w:t>4</w:t>
            </w:r>
            <w:r w:rsidRPr="00CD0682">
              <w:rPr>
                <w:b/>
              </w:rPr>
              <w:t>.</w:t>
            </w:r>
            <w:r w:rsidRPr="00CD0682">
              <w:t xml:space="preserve">  </w:t>
            </w:r>
            <w:r w:rsidRPr="00735D9A">
              <w:rPr>
                <w:b/>
                <w:i/>
              </w:rPr>
              <w:t>In vitro</w:t>
            </w:r>
            <w:r>
              <w:rPr>
                <w:b/>
              </w:rPr>
              <w:t xml:space="preserve"> glucuronidation assay</w:t>
            </w:r>
            <w:r w:rsidRPr="00735D9A">
              <w:rPr>
                <w:b/>
                <w:i/>
                <w:vertAlign w:val="superscript"/>
              </w:rPr>
              <w:t>a</w:t>
            </w:r>
            <w:r w:rsidR="00BA0B26">
              <w:rPr>
                <w:b/>
                <w:i/>
              </w:rPr>
              <w:t>.</w:t>
            </w:r>
          </w:p>
        </w:tc>
      </w:tr>
      <w:tr w:rsidR="00E64851" w:rsidTr="0020723A">
        <w:tc>
          <w:tcPr>
            <w:tcW w:w="2515" w:type="dxa"/>
          </w:tcPr>
          <w:p w:rsidR="00E64851" w:rsidRDefault="00E64851" w:rsidP="00694417"/>
        </w:tc>
        <w:tc>
          <w:tcPr>
            <w:tcW w:w="1530" w:type="dxa"/>
            <w:tcBorders>
              <w:bottom w:val="single" w:sz="4" w:space="0" w:color="auto"/>
            </w:tcBorders>
            <w:vAlign w:val="bottom"/>
          </w:tcPr>
          <w:p w:rsidR="00E64851" w:rsidRDefault="00E64851" w:rsidP="00694417">
            <w:r>
              <w:t>Sample</w:t>
            </w:r>
          </w:p>
        </w:tc>
        <w:tc>
          <w:tcPr>
            <w:tcW w:w="1260" w:type="dxa"/>
            <w:tcBorders>
              <w:bottom w:val="single" w:sz="4" w:space="0" w:color="auto"/>
            </w:tcBorders>
            <w:vAlign w:val="bottom"/>
          </w:tcPr>
          <w:p w:rsidR="00E64851" w:rsidRDefault="00E64851" w:rsidP="00694417">
            <w:pPr>
              <w:jc w:val="center"/>
            </w:pPr>
            <w:r>
              <w:t>SN-38</w:t>
            </w:r>
          </w:p>
        </w:tc>
        <w:tc>
          <w:tcPr>
            <w:tcW w:w="1260" w:type="dxa"/>
            <w:tcBorders>
              <w:bottom w:val="single" w:sz="4" w:space="0" w:color="auto"/>
            </w:tcBorders>
            <w:vAlign w:val="bottom"/>
          </w:tcPr>
          <w:p w:rsidR="00E64851" w:rsidRDefault="00E64851" w:rsidP="00694417">
            <w:pPr>
              <w:jc w:val="center"/>
            </w:pPr>
            <w:r>
              <w:t>SN-38G</w:t>
            </w:r>
          </w:p>
        </w:tc>
        <w:tc>
          <w:tcPr>
            <w:tcW w:w="1248" w:type="dxa"/>
            <w:tcBorders>
              <w:bottom w:val="single" w:sz="4" w:space="0" w:color="auto"/>
            </w:tcBorders>
            <w:vAlign w:val="center"/>
          </w:tcPr>
          <w:p w:rsidR="00E64851" w:rsidRDefault="00E64851" w:rsidP="00694417">
            <w:pPr>
              <w:jc w:val="center"/>
            </w:pPr>
            <w:r>
              <w:t>% conversion</w:t>
            </w:r>
          </w:p>
        </w:tc>
      </w:tr>
      <w:tr w:rsidR="00E64851" w:rsidTr="0020723A">
        <w:tc>
          <w:tcPr>
            <w:tcW w:w="2515" w:type="dxa"/>
            <w:vMerge w:val="restart"/>
            <w:tcBorders>
              <w:top w:val="single" w:sz="4" w:space="0" w:color="auto"/>
            </w:tcBorders>
            <w:vAlign w:val="center"/>
          </w:tcPr>
          <w:p w:rsidR="00E64851" w:rsidRPr="0062475E" w:rsidRDefault="00E64851" w:rsidP="00694417">
            <w:pPr>
              <w:jc w:val="center"/>
            </w:pPr>
            <w:r>
              <w:t>Non-hydrolyzed samples</w:t>
            </w:r>
          </w:p>
        </w:tc>
        <w:tc>
          <w:tcPr>
            <w:tcW w:w="1530" w:type="dxa"/>
            <w:tcBorders>
              <w:top w:val="single" w:sz="4" w:space="0" w:color="auto"/>
            </w:tcBorders>
          </w:tcPr>
          <w:p w:rsidR="00E64851" w:rsidRDefault="00E64851" w:rsidP="00694417">
            <w:r>
              <w:t>SN-38</w:t>
            </w:r>
          </w:p>
        </w:tc>
        <w:tc>
          <w:tcPr>
            <w:tcW w:w="1260" w:type="dxa"/>
            <w:tcBorders>
              <w:top w:val="single" w:sz="4" w:space="0" w:color="auto"/>
            </w:tcBorders>
            <w:vAlign w:val="center"/>
          </w:tcPr>
          <w:p w:rsidR="00E64851" w:rsidRDefault="00E64851" w:rsidP="00694417">
            <w:pPr>
              <w:jc w:val="center"/>
            </w:pPr>
            <w:r>
              <w:t>157.4</w:t>
            </w:r>
          </w:p>
        </w:tc>
        <w:tc>
          <w:tcPr>
            <w:tcW w:w="1260" w:type="dxa"/>
            <w:tcBorders>
              <w:top w:val="single" w:sz="4" w:space="0" w:color="auto"/>
            </w:tcBorders>
            <w:vAlign w:val="center"/>
          </w:tcPr>
          <w:p w:rsidR="00E64851" w:rsidRDefault="00E64851" w:rsidP="00694417">
            <w:pPr>
              <w:jc w:val="center"/>
            </w:pPr>
            <w:r>
              <w:t>139.5</w:t>
            </w:r>
          </w:p>
        </w:tc>
        <w:tc>
          <w:tcPr>
            <w:tcW w:w="1248" w:type="dxa"/>
            <w:tcBorders>
              <w:top w:val="single" w:sz="4" w:space="0" w:color="auto"/>
            </w:tcBorders>
            <w:vAlign w:val="center"/>
          </w:tcPr>
          <w:p w:rsidR="00E64851" w:rsidRDefault="00E64851" w:rsidP="00694417">
            <w:pPr>
              <w:jc w:val="center"/>
            </w:pPr>
            <w:r>
              <w:t>47.0</w:t>
            </w:r>
          </w:p>
        </w:tc>
      </w:tr>
      <w:tr w:rsidR="00E64851" w:rsidTr="0020723A">
        <w:tc>
          <w:tcPr>
            <w:tcW w:w="2515" w:type="dxa"/>
            <w:vMerge/>
          </w:tcPr>
          <w:p w:rsidR="00E64851" w:rsidRDefault="00E64851" w:rsidP="00694417"/>
        </w:tc>
        <w:tc>
          <w:tcPr>
            <w:tcW w:w="1530" w:type="dxa"/>
          </w:tcPr>
          <w:p w:rsidR="00E64851" w:rsidRDefault="00E64851" w:rsidP="00694417">
            <w:r>
              <w:t>IMMU-132</w:t>
            </w:r>
          </w:p>
        </w:tc>
        <w:tc>
          <w:tcPr>
            <w:tcW w:w="1260" w:type="dxa"/>
            <w:vAlign w:val="center"/>
          </w:tcPr>
          <w:p w:rsidR="00E64851" w:rsidRDefault="00E64851" w:rsidP="00694417">
            <w:pPr>
              <w:jc w:val="center"/>
            </w:pPr>
            <w:r>
              <w:t>16.1</w:t>
            </w:r>
          </w:p>
        </w:tc>
        <w:tc>
          <w:tcPr>
            <w:tcW w:w="1260" w:type="dxa"/>
            <w:vAlign w:val="center"/>
          </w:tcPr>
          <w:p w:rsidR="00E64851" w:rsidRDefault="00E64851" w:rsidP="00694417">
            <w:pPr>
              <w:jc w:val="center"/>
            </w:pPr>
            <w:r>
              <w:t>7.1</w:t>
            </w:r>
          </w:p>
        </w:tc>
        <w:tc>
          <w:tcPr>
            <w:tcW w:w="1248" w:type="dxa"/>
            <w:vAlign w:val="center"/>
          </w:tcPr>
          <w:p w:rsidR="00E64851" w:rsidRDefault="00E64851" w:rsidP="00694417">
            <w:pPr>
              <w:jc w:val="center"/>
            </w:pPr>
            <w:r>
              <w:t>30.6</w:t>
            </w:r>
          </w:p>
        </w:tc>
      </w:tr>
      <w:tr w:rsidR="00E64851" w:rsidTr="0020723A">
        <w:tc>
          <w:tcPr>
            <w:tcW w:w="7813" w:type="dxa"/>
            <w:gridSpan w:val="5"/>
            <w:shd w:val="clear" w:color="auto" w:fill="auto"/>
            <w:vAlign w:val="center"/>
          </w:tcPr>
          <w:p w:rsidR="00E64851" w:rsidRDefault="00E64851" w:rsidP="00694417">
            <w:pPr>
              <w:jc w:val="center"/>
            </w:pPr>
          </w:p>
        </w:tc>
      </w:tr>
      <w:tr w:rsidR="0020723A" w:rsidTr="0020723A">
        <w:trPr>
          <w:trHeight w:val="305"/>
        </w:trPr>
        <w:tc>
          <w:tcPr>
            <w:tcW w:w="2515" w:type="dxa"/>
            <w:tcBorders>
              <w:bottom w:val="single" w:sz="4" w:space="0" w:color="auto"/>
            </w:tcBorders>
            <w:vAlign w:val="center"/>
          </w:tcPr>
          <w:p w:rsidR="0020723A" w:rsidRPr="0062475E" w:rsidRDefault="0020723A" w:rsidP="0020723A">
            <w:pPr>
              <w:jc w:val="center"/>
            </w:pPr>
            <w:r>
              <w:t>Acid-hydrolyzed samples</w:t>
            </w:r>
          </w:p>
        </w:tc>
        <w:tc>
          <w:tcPr>
            <w:tcW w:w="1530" w:type="dxa"/>
            <w:tcBorders>
              <w:bottom w:val="single" w:sz="4" w:space="0" w:color="auto"/>
            </w:tcBorders>
            <w:vAlign w:val="center"/>
          </w:tcPr>
          <w:p w:rsidR="0020723A" w:rsidRDefault="0020723A" w:rsidP="0020723A">
            <w:r>
              <w:t>IMMU-132</w:t>
            </w:r>
          </w:p>
        </w:tc>
        <w:tc>
          <w:tcPr>
            <w:tcW w:w="1260" w:type="dxa"/>
            <w:tcBorders>
              <w:bottom w:val="single" w:sz="4" w:space="0" w:color="auto"/>
            </w:tcBorders>
            <w:vAlign w:val="center"/>
          </w:tcPr>
          <w:p w:rsidR="0020723A" w:rsidRDefault="0020723A" w:rsidP="0020723A">
            <w:pPr>
              <w:jc w:val="center"/>
            </w:pPr>
            <w:r>
              <w:t>452.6</w:t>
            </w:r>
          </w:p>
        </w:tc>
        <w:tc>
          <w:tcPr>
            <w:tcW w:w="1260" w:type="dxa"/>
            <w:tcBorders>
              <w:bottom w:val="single" w:sz="4" w:space="0" w:color="auto"/>
            </w:tcBorders>
            <w:vAlign w:val="center"/>
          </w:tcPr>
          <w:p w:rsidR="0020723A" w:rsidRDefault="0020723A" w:rsidP="0020723A">
            <w:pPr>
              <w:jc w:val="center"/>
            </w:pPr>
            <w:r>
              <w:t>4.5</w:t>
            </w:r>
          </w:p>
        </w:tc>
        <w:tc>
          <w:tcPr>
            <w:tcW w:w="1248" w:type="dxa"/>
            <w:tcBorders>
              <w:bottom w:val="single" w:sz="4" w:space="0" w:color="auto"/>
            </w:tcBorders>
            <w:vAlign w:val="center"/>
          </w:tcPr>
          <w:p w:rsidR="0020723A" w:rsidRDefault="0020723A" w:rsidP="0020723A">
            <w:pPr>
              <w:jc w:val="center"/>
            </w:pPr>
            <w:r>
              <w:t>1.0</w:t>
            </w:r>
          </w:p>
        </w:tc>
      </w:tr>
      <w:tr w:rsidR="0020723A" w:rsidTr="0020723A">
        <w:trPr>
          <w:trHeight w:val="1403"/>
        </w:trPr>
        <w:tc>
          <w:tcPr>
            <w:tcW w:w="7813" w:type="dxa"/>
            <w:gridSpan w:val="5"/>
            <w:tcBorders>
              <w:top w:val="single" w:sz="4" w:space="0" w:color="auto"/>
            </w:tcBorders>
            <w:vAlign w:val="bottom"/>
          </w:tcPr>
          <w:p w:rsidR="0020723A" w:rsidRDefault="0020723A" w:rsidP="0020723A">
            <w:r w:rsidRPr="00735D9A">
              <w:rPr>
                <w:b/>
                <w:i/>
                <w:vertAlign w:val="superscript"/>
              </w:rPr>
              <w:t>a</w:t>
            </w:r>
            <w:r>
              <w:t>All concentrations expressed in nM and are based on a volume of 150 µL (i.e., 50 µL sample + 100 µL serum). Expected concentration = 425.3 nM (assuming SN-38 = 392 Da; SN-38G = 550 Da).   Control samples for both the non-hydrolyzed and acid hydrolyzed samples that did not include the UGT1A1 supersomes found no SN-38G (not shown).</w:t>
            </w:r>
          </w:p>
        </w:tc>
      </w:tr>
    </w:tbl>
    <w:p w:rsidR="00E64851" w:rsidRDefault="00E64851" w:rsidP="00E64851"/>
    <w:p w:rsidR="00E64851" w:rsidRDefault="00E64851" w:rsidP="00E64851">
      <w:r>
        <w:br w:type="page"/>
      </w:r>
      <w:bookmarkStart w:id="0" w:name="_GoBack"/>
      <w:bookmarkEnd w:id="0"/>
    </w:p>
    <w:tbl>
      <w:tblPr>
        <w:tblStyle w:val="TableGrid"/>
        <w:tblW w:w="9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350"/>
        <w:gridCol w:w="1355"/>
        <w:gridCol w:w="1255"/>
        <w:gridCol w:w="1355"/>
        <w:gridCol w:w="1255"/>
        <w:gridCol w:w="1530"/>
      </w:tblGrid>
      <w:tr w:rsidR="00E64851" w:rsidRPr="00136DE4" w:rsidTr="00694417">
        <w:trPr>
          <w:trHeight w:val="620"/>
          <w:jc w:val="center"/>
        </w:trPr>
        <w:tc>
          <w:tcPr>
            <w:tcW w:w="9265" w:type="dxa"/>
            <w:gridSpan w:val="7"/>
            <w:vAlign w:val="center"/>
          </w:tcPr>
          <w:p w:rsidR="00E64851" w:rsidRPr="00136DE4" w:rsidRDefault="00E271DE" w:rsidP="00694417">
            <w:pPr>
              <w:rPr>
                <w:rFonts w:ascii="Arial" w:hAnsi="Arial" w:cs="Arial"/>
                <w:sz w:val="16"/>
              </w:rPr>
            </w:pPr>
            <w:r>
              <w:rPr>
                <w:rFonts w:ascii="Arial" w:hAnsi="Arial" w:cs="Arial"/>
                <w:b/>
                <w:sz w:val="16"/>
              </w:rPr>
              <w:lastRenderedPageBreak/>
              <w:t>Table S5</w:t>
            </w:r>
            <w:r w:rsidR="00E64851" w:rsidRPr="00136DE4">
              <w:rPr>
                <w:rFonts w:ascii="Arial" w:hAnsi="Arial" w:cs="Arial"/>
                <w:b/>
                <w:sz w:val="16"/>
              </w:rPr>
              <w:t>.  Analysis of products in the large intestine of animals given irinote</w:t>
            </w:r>
            <w:r w:rsidR="00E64851">
              <w:rPr>
                <w:rFonts w:ascii="Arial" w:hAnsi="Arial" w:cs="Arial"/>
                <w:b/>
                <w:sz w:val="16"/>
              </w:rPr>
              <w:t>can or IMMU-132 (S</w:t>
            </w:r>
            <w:r w:rsidR="00E64851" w:rsidRPr="00136DE4">
              <w:rPr>
                <w:rFonts w:ascii="Arial" w:hAnsi="Arial" w:cs="Arial"/>
                <w:b/>
                <w:sz w:val="16"/>
              </w:rPr>
              <w:t>tudy 2).</w:t>
            </w:r>
            <w:r w:rsidR="00E64851">
              <w:rPr>
                <w:rFonts w:ascii="Arial" w:hAnsi="Arial" w:cs="Arial"/>
                <w:sz w:val="16"/>
              </w:rPr>
              <w:t xml:space="preserve"> Values represent the mean ± S</w:t>
            </w:r>
            <w:r w:rsidR="00523C2B">
              <w:rPr>
                <w:rFonts w:ascii="Arial" w:hAnsi="Arial" w:cs="Arial"/>
                <w:sz w:val="16"/>
              </w:rPr>
              <w:t>D (N = 3) and are expressed in µ</w:t>
            </w:r>
            <w:r w:rsidR="00E64851">
              <w:rPr>
                <w:rFonts w:ascii="Arial" w:hAnsi="Arial" w:cs="Arial"/>
                <w:sz w:val="16"/>
              </w:rPr>
              <w:t>g</w:t>
            </w:r>
            <w:r w:rsidR="00E64851" w:rsidRPr="003C018A">
              <w:rPr>
                <w:rFonts w:ascii="Arial" w:hAnsi="Arial" w:cs="Arial"/>
                <w:i/>
                <w:sz w:val="16"/>
                <w:vertAlign w:val="superscript"/>
              </w:rPr>
              <w:t>a</w:t>
            </w:r>
            <w:r w:rsidR="00A72B0E" w:rsidRPr="003C2157">
              <w:rPr>
                <w:rFonts w:ascii="Arial" w:hAnsi="Arial" w:cs="Arial"/>
                <w:i/>
                <w:sz w:val="16"/>
              </w:rPr>
              <w:t>.</w:t>
            </w:r>
          </w:p>
        </w:tc>
      </w:tr>
      <w:tr w:rsidR="00E64851" w:rsidRPr="00136DE4" w:rsidTr="00523C2B">
        <w:trPr>
          <w:jc w:val="center"/>
        </w:trPr>
        <w:tc>
          <w:tcPr>
            <w:tcW w:w="1165" w:type="dxa"/>
            <w:vMerge w:val="restart"/>
            <w:tcBorders>
              <w:bottom w:val="single" w:sz="4" w:space="0" w:color="auto"/>
            </w:tcBorders>
            <w:vAlign w:val="bottom"/>
          </w:tcPr>
          <w:p w:rsidR="00E64851" w:rsidRPr="00136DE4" w:rsidRDefault="00E64851" w:rsidP="00694417">
            <w:pPr>
              <w:jc w:val="center"/>
              <w:rPr>
                <w:rFonts w:ascii="Arial" w:hAnsi="Arial" w:cs="Arial"/>
                <w:sz w:val="16"/>
              </w:rPr>
            </w:pPr>
            <w:r>
              <w:rPr>
                <w:rFonts w:ascii="Arial" w:hAnsi="Arial" w:cs="Arial"/>
                <w:sz w:val="16"/>
              </w:rPr>
              <w:t>Administered agent</w:t>
            </w:r>
          </w:p>
        </w:tc>
        <w:tc>
          <w:tcPr>
            <w:tcW w:w="2705" w:type="dxa"/>
            <w:gridSpan w:val="2"/>
            <w:tcBorders>
              <w:bottom w:val="single" w:sz="4" w:space="0" w:color="auto"/>
            </w:tcBorders>
            <w:vAlign w:val="center"/>
          </w:tcPr>
          <w:p w:rsidR="00E64851" w:rsidRPr="00136DE4" w:rsidRDefault="00E64851" w:rsidP="00694417">
            <w:pPr>
              <w:jc w:val="center"/>
              <w:rPr>
                <w:rFonts w:ascii="Arial" w:hAnsi="Arial" w:cs="Arial"/>
                <w:sz w:val="16"/>
              </w:rPr>
            </w:pPr>
            <w:r w:rsidRPr="00136DE4">
              <w:rPr>
                <w:rFonts w:ascii="Arial" w:hAnsi="Arial" w:cs="Arial"/>
                <w:sz w:val="16"/>
              </w:rPr>
              <w:t>SN-38</w:t>
            </w:r>
          </w:p>
        </w:tc>
        <w:tc>
          <w:tcPr>
            <w:tcW w:w="2610" w:type="dxa"/>
            <w:gridSpan w:val="2"/>
            <w:tcBorders>
              <w:bottom w:val="single" w:sz="4" w:space="0" w:color="auto"/>
            </w:tcBorders>
            <w:vAlign w:val="center"/>
          </w:tcPr>
          <w:p w:rsidR="00E64851" w:rsidRPr="00136DE4" w:rsidRDefault="00E64851" w:rsidP="00694417">
            <w:pPr>
              <w:jc w:val="center"/>
              <w:rPr>
                <w:rFonts w:ascii="Arial" w:hAnsi="Arial" w:cs="Arial"/>
                <w:sz w:val="16"/>
              </w:rPr>
            </w:pPr>
            <w:r w:rsidRPr="00136DE4">
              <w:rPr>
                <w:rFonts w:ascii="Arial" w:hAnsi="Arial" w:cs="Arial"/>
                <w:sz w:val="16"/>
              </w:rPr>
              <w:t>SN-38G</w:t>
            </w:r>
          </w:p>
        </w:tc>
        <w:tc>
          <w:tcPr>
            <w:tcW w:w="2785" w:type="dxa"/>
            <w:gridSpan w:val="2"/>
            <w:tcBorders>
              <w:bottom w:val="single" w:sz="4" w:space="0" w:color="auto"/>
            </w:tcBorders>
            <w:vAlign w:val="center"/>
          </w:tcPr>
          <w:p w:rsidR="00E64851" w:rsidRPr="00136DE4" w:rsidRDefault="00E64851" w:rsidP="00694417">
            <w:pPr>
              <w:jc w:val="center"/>
              <w:rPr>
                <w:rFonts w:ascii="Arial" w:hAnsi="Arial" w:cs="Arial"/>
                <w:sz w:val="16"/>
              </w:rPr>
            </w:pPr>
            <w:r w:rsidRPr="00136DE4">
              <w:rPr>
                <w:rFonts w:ascii="Arial" w:hAnsi="Arial" w:cs="Arial"/>
                <w:sz w:val="16"/>
              </w:rPr>
              <w:t>Irinotecan</w:t>
            </w:r>
          </w:p>
        </w:tc>
      </w:tr>
      <w:tr w:rsidR="00E64851" w:rsidRPr="00136DE4" w:rsidTr="00523C2B">
        <w:trPr>
          <w:trHeight w:val="350"/>
          <w:jc w:val="center"/>
        </w:trPr>
        <w:tc>
          <w:tcPr>
            <w:tcW w:w="1165" w:type="dxa"/>
            <w:vMerge/>
            <w:tcBorders>
              <w:top w:val="single" w:sz="4" w:space="0" w:color="auto"/>
              <w:bottom w:val="single" w:sz="4" w:space="0" w:color="auto"/>
            </w:tcBorders>
            <w:vAlign w:val="center"/>
          </w:tcPr>
          <w:p w:rsidR="00E64851" w:rsidRPr="00136DE4" w:rsidRDefault="00E64851" w:rsidP="00694417">
            <w:pPr>
              <w:spacing w:line="360" w:lineRule="auto"/>
              <w:jc w:val="center"/>
              <w:rPr>
                <w:rFonts w:ascii="Arial" w:hAnsi="Arial" w:cs="Arial"/>
                <w:sz w:val="16"/>
              </w:rPr>
            </w:pPr>
          </w:p>
        </w:tc>
        <w:tc>
          <w:tcPr>
            <w:tcW w:w="1350" w:type="dxa"/>
            <w:tcBorders>
              <w:top w:val="single" w:sz="4" w:space="0" w:color="auto"/>
              <w:bottom w:val="single" w:sz="4" w:space="0" w:color="auto"/>
            </w:tcBorders>
            <w:vAlign w:val="bottom"/>
          </w:tcPr>
          <w:p w:rsidR="00E64851" w:rsidRPr="00136DE4" w:rsidRDefault="00E64851" w:rsidP="00694417">
            <w:pPr>
              <w:jc w:val="center"/>
              <w:rPr>
                <w:rFonts w:ascii="Arial" w:hAnsi="Arial" w:cs="Arial"/>
                <w:sz w:val="16"/>
              </w:rPr>
            </w:pPr>
            <w:r w:rsidRPr="00136DE4">
              <w:rPr>
                <w:rFonts w:ascii="Arial" w:hAnsi="Arial" w:cs="Arial"/>
                <w:sz w:val="16"/>
              </w:rPr>
              <w:t>1 h</w:t>
            </w:r>
          </w:p>
        </w:tc>
        <w:tc>
          <w:tcPr>
            <w:tcW w:w="1355" w:type="dxa"/>
            <w:tcBorders>
              <w:top w:val="single" w:sz="4" w:space="0" w:color="auto"/>
              <w:bottom w:val="single" w:sz="4" w:space="0" w:color="auto"/>
            </w:tcBorders>
            <w:vAlign w:val="bottom"/>
          </w:tcPr>
          <w:p w:rsidR="00E64851" w:rsidRPr="00136DE4" w:rsidRDefault="00E64851" w:rsidP="00694417">
            <w:pPr>
              <w:jc w:val="center"/>
              <w:rPr>
                <w:rFonts w:ascii="Arial" w:hAnsi="Arial" w:cs="Arial"/>
                <w:sz w:val="16"/>
              </w:rPr>
            </w:pPr>
            <w:r w:rsidRPr="00136DE4">
              <w:rPr>
                <w:rFonts w:ascii="Arial" w:hAnsi="Arial" w:cs="Arial"/>
                <w:sz w:val="16"/>
              </w:rPr>
              <w:t>6 h</w:t>
            </w:r>
          </w:p>
        </w:tc>
        <w:tc>
          <w:tcPr>
            <w:tcW w:w="1255" w:type="dxa"/>
            <w:tcBorders>
              <w:top w:val="single" w:sz="4" w:space="0" w:color="auto"/>
              <w:bottom w:val="single" w:sz="4" w:space="0" w:color="auto"/>
            </w:tcBorders>
            <w:vAlign w:val="bottom"/>
          </w:tcPr>
          <w:p w:rsidR="00E64851" w:rsidRPr="00136DE4" w:rsidRDefault="00E64851" w:rsidP="00694417">
            <w:pPr>
              <w:jc w:val="center"/>
              <w:rPr>
                <w:rFonts w:ascii="Arial" w:hAnsi="Arial" w:cs="Arial"/>
                <w:sz w:val="16"/>
              </w:rPr>
            </w:pPr>
            <w:r w:rsidRPr="00136DE4">
              <w:rPr>
                <w:rFonts w:ascii="Arial" w:hAnsi="Arial" w:cs="Arial"/>
                <w:sz w:val="16"/>
              </w:rPr>
              <w:t>1 h</w:t>
            </w:r>
          </w:p>
        </w:tc>
        <w:tc>
          <w:tcPr>
            <w:tcW w:w="1355" w:type="dxa"/>
            <w:tcBorders>
              <w:top w:val="single" w:sz="4" w:space="0" w:color="auto"/>
              <w:bottom w:val="single" w:sz="4" w:space="0" w:color="auto"/>
            </w:tcBorders>
            <w:vAlign w:val="bottom"/>
          </w:tcPr>
          <w:p w:rsidR="00E64851" w:rsidRPr="00136DE4" w:rsidRDefault="00E64851" w:rsidP="00694417">
            <w:pPr>
              <w:jc w:val="center"/>
              <w:rPr>
                <w:rFonts w:ascii="Arial" w:hAnsi="Arial" w:cs="Arial"/>
                <w:sz w:val="16"/>
              </w:rPr>
            </w:pPr>
            <w:r w:rsidRPr="00136DE4">
              <w:rPr>
                <w:rFonts w:ascii="Arial" w:hAnsi="Arial" w:cs="Arial"/>
                <w:sz w:val="16"/>
              </w:rPr>
              <w:t>6 h</w:t>
            </w:r>
          </w:p>
        </w:tc>
        <w:tc>
          <w:tcPr>
            <w:tcW w:w="1255" w:type="dxa"/>
            <w:tcBorders>
              <w:top w:val="single" w:sz="4" w:space="0" w:color="auto"/>
              <w:bottom w:val="single" w:sz="4" w:space="0" w:color="auto"/>
            </w:tcBorders>
            <w:vAlign w:val="bottom"/>
          </w:tcPr>
          <w:p w:rsidR="00E64851" w:rsidRPr="00136DE4" w:rsidRDefault="00E64851" w:rsidP="00694417">
            <w:pPr>
              <w:jc w:val="center"/>
              <w:rPr>
                <w:rFonts w:ascii="Arial" w:hAnsi="Arial" w:cs="Arial"/>
                <w:sz w:val="16"/>
              </w:rPr>
            </w:pPr>
            <w:r w:rsidRPr="00136DE4">
              <w:rPr>
                <w:rFonts w:ascii="Arial" w:hAnsi="Arial" w:cs="Arial"/>
                <w:sz w:val="16"/>
              </w:rPr>
              <w:t>1 h</w:t>
            </w:r>
          </w:p>
        </w:tc>
        <w:tc>
          <w:tcPr>
            <w:tcW w:w="1530" w:type="dxa"/>
            <w:tcBorders>
              <w:top w:val="single" w:sz="4" w:space="0" w:color="auto"/>
              <w:bottom w:val="single" w:sz="4" w:space="0" w:color="auto"/>
            </w:tcBorders>
            <w:vAlign w:val="bottom"/>
          </w:tcPr>
          <w:p w:rsidR="00E64851" w:rsidRPr="00136DE4" w:rsidRDefault="00E64851" w:rsidP="00694417">
            <w:pPr>
              <w:jc w:val="center"/>
              <w:rPr>
                <w:rFonts w:ascii="Arial" w:hAnsi="Arial" w:cs="Arial"/>
                <w:sz w:val="16"/>
              </w:rPr>
            </w:pPr>
            <w:r w:rsidRPr="00136DE4">
              <w:rPr>
                <w:rFonts w:ascii="Arial" w:hAnsi="Arial" w:cs="Arial"/>
                <w:sz w:val="16"/>
              </w:rPr>
              <w:t>6 h</w:t>
            </w:r>
          </w:p>
        </w:tc>
      </w:tr>
      <w:tr w:rsidR="00E64851" w:rsidRPr="00136DE4" w:rsidTr="00523C2B">
        <w:trPr>
          <w:trHeight w:val="503"/>
          <w:jc w:val="center"/>
        </w:trPr>
        <w:tc>
          <w:tcPr>
            <w:tcW w:w="1165" w:type="dxa"/>
            <w:tcBorders>
              <w:top w:val="single" w:sz="4" w:space="0" w:color="auto"/>
            </w:tcBorders>
            <w:vAlign w:val="center"/>
          </w:tcPr>
          <w:p w:rsidR="00E64851" w:rsidRPr="00136DE4" w:rsidRDefault="00E64851" w:rsidP="00694417">
            <w:pPr>
              <w:spacing w:line="360" w:lineRule="auto"/>
              <w:jc w:val="center"/>
              <w:rPr>
                <w:rFonts w:ascii="Arial" w:hAnsi="Arial" w:cs="Arial"/>
                <w:sz w:val="16"/>
              </w:rPr>
            </w:pPr>
            <w:r w:rsidRPr="00136DE4">
              <w:rPr>
                <w:rFonts w:ascii="Arial" w:hAnsi="Arial" w:cs="Arial"/>
                <w:sz w:val="16"/>
              </w:rPr>
              <w:t>Irinotecan</w:t>
            </w:r>
          </w:p>
        </w:tc>
        <w:tc>
          <w:tcPr>
            <w:tcW w:w="1350" w:type="dxa"/>
            <w:tcBorders>
              <w:top w:val="single" w:sz="4" w:space="0" w:color="auto"/>
            </w:tcBorders>
            <w:vAlign w:val="center"/>
          </w:tcPr>
          <w:p w:rsidR="00E64851" w:rsidRPr="00136DE4" w:rsidRDefault="00BD73BF" w:rsidP="00694417">
            <w:pPr>
              <w:spacing w:line="360" w:lineRule="auto"/>
              <w:jc w:val="center"/>
              <w:rPr>
                <w:rFonts w:ascii="Arial" w:hAnsi="Arial" w:cs="Arial"/>
                <w:sz w:val="16"/>
              </w:rPr>
            </w:pPr>
            <w:r>
              <w:rPr>
                <w:rFonts w:ascii="Arial" w:hAnsi="Arial" w:cs="Arial"/>
                <w:sz w:val="16"/>
              </w:rPr>
              <w:t>0.723</w:t>
            </w:r>
            <w:r w:rsidR="00E64851" w:rsidRPr="00136DE4">
              <w:rPr>
                <w:rFonts w:ascii="Arial" w:hAnsi="Arial" w:cs="Arial"/>
                <w:sz w:val="16"/>
              </w:rPr>
              <w:t xml:space="preserve"> ± </w:t>
            </w:r>
            <w:r>
              <w:rPr>
                <w:rFonts w:ascii="Arial" w:hAnsi="Arial" w:cs="Arial"/>
                <w:sz w:val="16"/>
              </w:rPr>
              <w:t>0.184</w:t>
            </w:r>
          </w:p>
        </w:tc>
        <w:tc>
          <w:tcPr>
            <w:tcW w:w="1355" w:type="dxa"/>
            <w:tcBorders>
              <w:top w:val="single" w:sz="4" w:space="0" w:color="auto"/>
            </w:tcBorders>
            <w:vAlign w:val="center"/>
          </w:tcPr>
          <w:p w:rsidR="00E64851" w:rsidRPr="00136DE4" w:rsidRDefault="00BD73BF" w:rsidP="00694417">
            <w:pPr>
              <w:spacing w:line="360" w:lineRule="auto"/>
              <w:jc w:val="center"/>
              <w:rPr>
                <w:rFonts w:ascii="Arial" w:hAnsi="Arial" w:cs="Arial"/>
                <w:sz w:val="16"/>
              </w:rPr>
            </w:pPr>
            <w:r>
              <w:rPr>
                <w:rFonts w:ascii="Arial" w:hAnsi="Arial" w:cs="Arial"/>
                <w:sz w:val="16"/>
              </w:rPr>
              <w:t>20.74 ± 3.72</w:t>
            </w:r>
          </w:p>
        </w:tc>
        <w:tc>
          <w:tcPr>
            <w:tcW w:w="1255" w:type="dxa"/>
            <w:tcBorders>
              <w:top w:val="single" w:sz="4" w:space="0" w:color="auto"/>
            </w:tcBorders>
            <w:vAlign w:val="center"/>
          </w:tcPr>
          <w:p w:rsidR="00E64851" w:rsidRPr="00136DE4" w:rsidRDefault="00E64851" w:rsidP="00694417">
            <w:pPr>
              <w:spacing w:line="360" w:lineRule="auto"/>
              <w:jc w:val="center"/>
              <w:rPr>
                <w:rFonts w:ascii="Arial" w:hAnsi="Arial" w:cs="Arial"/>
                <w:sz w:val="16"/>
              </w:rPr>
            </w:pPr>
            <w:r w:rsidRPr="00136DE4">
              <w:rPr>
                <w:rFonts w:ascii="Arial" w:hAnsi="Arial" w:cs="Arial"/>
                <w:sz w:val="16"/>
              </w:rPr>
              <w:t>Not detected</w:t>
            </w:r>
          </w:p>
        </w:tc>
        <w:tc>
          <w:tcPr>
            <w:tcW w:w="1355" w:type="dxa"/>
            <w:tcBorders>
              <w:top w:val="single" w:sz="4" w:space="0" w:color="auto"/>
            </w:tcBorders>
            <w:vAlign w:val="center"/>
          </w:tcPr>
          <w:p w:rsidR="00E64851" w:rsidRPr="00136DE4" w:rsidRDefault="00E53023" w:rsidP="00694417">
            <w:pPr>
              <w:spacing w:line="360" w:lineRule="auto"/>
              <w:jc w:val="center"/>
              <w:rPr>
                <w:rFonts w:ascii="Arial" w:hAnsi="Arial" w:cs="Arial"/>
                <w:sz w:val="16"/>
              </w:rPr>
            </w:pPr>
            <w:r>
              <w:rPr>
                <w:rFonts w:ascii="Arial" w:hAnsi="Arial" w:cs="Arial"/>
                <w:sz w:val="16"/>
              </w:rPr>
              <w:t>0.036.1 ± 0.002</w:t>
            </w:r>
          </w:p>
        </w:tc>
        <w:tc>
          <w:tcPr>
            <w:tcW w:w="1255" w:type="dxa"/>
            <w:tcBorders>
              <w:top w:val="single" w:sz="4" w:space="0" w:color="auto"/>
            </w:tcBorders>
            <w:vAlign w:val="center"/>
          </w:tcPr>
          <w:p w:rsidR="00E64851" w:rsidRPr="00136DE4" w:rsidRDefault="00523C2B" w:rsidP="00694417">
            <w:pPr>
              <w:spacing w:line="360" w:lineRule="auto"/>
              <w:jc w:val="center"/>
              <w:rPr>
                <w:rFonts w:ascii="Arial" w:hAnsi="Arial" w:cs="Arial"/>
                <w:sz w:val="16"/>
              </w:rPr>
            </w:pPr>
            <w:r>
              <w:rPr>
                <w:rFonts w:ascii="Arial" w:hAnsi="Arial" w:cs="Arial"/>
                <w:sz w:val="16"/>
              </w:rPr>
              <w:t>22.45</w:t>
            </w:r>
            <w:r w:rsidR="00E64851" w:rsidRPr="00136DE4">
              <w:rPr>
                <w:rFonts w:ascii="Arial" w:hAnsi="Arial" w:cs="Arial"/>
                <w:sz w:val="16"/>
              </w:rPr>
              <w:t xml:space="preserve"> ± </w:t>
            </w:r>
            <w:r>
              <w:rPr>
                <w:rFonts w:ascii="Arial" w:hAnsi="Arial" w:cs="Arial"/>
                <w:sz w:val="16"/>
              </w:rPr>
              <w:t>3.13</w:t>
            </w:r>
          </w:p>
        </w:tc>
        <w:tc>
          <w:tcPr>
            <w:tcW w:w="1530" w:type="dxa"/>
            <w:tcBorders>
              <w:top w:val="single" w:sz="4" w:space="0" w:color="auto"/>
            </w:tcBorders>
            <w:vAlign w:val="center"/>
          </w:tcPr>
          <w:p w:rsidR="00E64851" w:rsidRPr="00136DE4" w:rsidRDefault="00523C2B" w:rsidP="00694417">
            <w:pPr>
              <w:spacing w:line="360" w:lineRule="auto"/>
              <w:jc w:val="center"/>
              <w:rPr>
                <w:rFonts w:ascii="Arial" w:hAnsi="Arial" w:cs="Arial"/>
                <w:sz w:val="16"/>
              </w:rPr>
            </w:pPr>
            <w:r>
              <w:rPr>
                <w:rFonts w:ascii="Arial" w:hAnsi="Arial" w:cs="Arial"/>
                <w:sz w:val="16"/>
              </w:rPr>
              <w:t>136.9 ± 40.76</w:t>
            </w:r>
          </w:p>
        </w:tc>
      </w:tr>
      <w:tr w:rsidR="00E64851" w:rsidRPr="00136DE4" w:rsidTr="00523C2B">
        <w:trPr>
          <w:trHeight w:val="710"/>
          <w:jc w:val="center"/>
        </w:trPr>
        <w:tc>
          <w:tcPr>
            <w:tcW w:w="1165" w:type="dxa"/>
            <w:vAlign w:val="center"/>
          </w:tcPr>
          <w:p w:rsidR="00E64851" w:rsidRPr="00136DE4" w:rsidRDefault="00E64851" w:rsidP="00694417">
            <w:pPr>
              <w:spacing w:line="360" w:lineRule="auto"/>
              <w:jc w:val="center"/>
              <w:rPr>
                <w:rFonts w:ascii="Arial" w:hAnsi="Arial" w:cs="Arial"/>
                <w:sz w:val="16"/>
              </w:rPr>
            </w:pPr>
            <w:r w:rsidRPr="00136DE4">
              <w:rPr>
                <w:rFonts w:ascii="Arial" w:hAnsi="Arial" w:cs="Arial"/>
                <w:sz w:val="16"/>
              </w:rPr>
              <w:t>IMMU-132</w:t>
            </w:r>
          </w:p>
        </w:tc>
        <w:tc>
          <w:tcPr>
            <w:tcW w:w="1350" w:type="dxa"/>
            <w:vAlign w:val="center"/>
          </w:tcPr>
          <w:p w:rsidR="00E64851" w:rsidRPr="00136DE4" w:rsidRDefault="00BD73BF" w:rsidP="00694417">
            <w:pPr>
              <w:spacing w:line="360" w:lineRule="auto"/>
              <w:jc w:val="center"/>
              <w:rPr>
                <w:rFonts w:ascii="Arial" w:hAnsi="Arial" w:cs="Arial"/>
                <w:sz w:val="16"/>
              </w:rPr>
            </w:pPr>
            <w:r>
              <w:rPr>
                <w:rFonts w:ascii="Arial" w:hAnsi="Arial" w:cs="Arial"/>
                <w:sz w:val="16"/>
              </w:rPr>
              <w:t>0.195</w:t>
            </w:r>
            <w:r w:rsidR="00E64851" w:rsidRPr="00136DE4">
              <w:rPr>
                <w:rFonts w:ascii="Arial" w:hAnsi="Arial" w:cs="Arial"/>
                <w:sz w:val="16"/>
              </w:rPr>
              <w:t xml:space="preserve"> ± </w:t>
            </w:r>
            <w:r>
              <w:rPr>
                <w:rFonts w:ascii="Arial" w:hAnsi="Arial" w:cs="Arial"/>
                <w:sz w:val="16"/>
              </w:rPr>
              <w:t>0.052</w:t>
            </w:r>
          </w:p>
        </w:tc>
        <w:tc>
          <w:tcPr>
            <w:tcW w:w="1355" w:type="dxa"/>
            <w:vAlign w:val="center"/>
          </w:tcPr>
          <w:p w:rsidR="00E64851" w:rsidRPr="00136DE4" w:rsidRDefault="00E64851" w:rsidP="00694417">
            <w:pPr>
              <w:spacing w:line="360" w:lineRule="auto"/>
              <w:jc w:val="center"/>
              <w:rPr>
                <w:rFonts w:ascii="Arial" w:hAnsi="Arial" w:cs="Arial"/>
                <w:sz w:val="16"/>
              </w:rPr>
            </w:pPr>
            <w:r w:rsidRPr="00136DE4">
              <w:rPr>
                <w:rFonts w:ascii="Arial" w:hAnsi="Arial" w:cs="Arial"/>
                <w:sz w:val="16"/>
              </w:rPr>
              <w:t>1</w:t>
            </w:r>
            <w:r w:rsidR="00BD73BF">
              <w:rPr>
                <w:rFonts w:ascii="Arial" w:hAnsi="Arial" w:cs="Arial"/>
                <w:sz w:val="16"/>
              </w:rPr>
              <w:t>.</w:t>
            </w:r>
            <w:r w:rsidRPr="00136DE4">
              <w:rPr>
                <w:rFonts w:ascii="Arial" w:hAnsi="Arial" w:cs="Arial"/>
                <w:sz w:val="16"/>
              </w:rPr>
              <w:t xml:space="preserve">135 ± </w:t>
            </w:r>
            <w:r w:rsidR="00523C2B">
              <w:rPr>
                <w:rFonts w:ascii="Arial" w:hAnsi="Arial" w:cs="Arial"/>
                <w:sz w:val="16"/>
              </w:rPr>
              <w:t>0.302</w:t>
            </w:r>
          </w:p>
          <w:p w:rsidR="00E64851" w:rsidRPr="003C018A" w:rsidRDefault="00E64851" w:rsidP="00694417">
            <w:pPr>
              <w:spacing w:line="360" w:lineRule="auto"/>
              <w:jc w:val="center"/>
              <w:rPr>
                <w:rFonts w:ascii="Arial" w:hAnsi="Arial" w:cs="Arial"/>
                <w:sz w:val="16"/>
              </w:rPr>
            </w:pPr>
            <w:r w:rsidRPr="00136DE4">
              <w:rPr>
                <w:rFonts w:ascii="Arial" w:hAnsi="Arial" w:cs="Arial"/>
                <w:sz w:val="16"/>
              </w:rPr>
              <w:t>(</w:t>
            </w:r>
            <w:r w:rsidR="00523C2B">
              <w:rPr>
                <w:rFonts w:ascii="Arial" w:hAnsi="Arial" w:cs="Arial"/>
                <w:sz w:val="16"/>
              </w:rPr>
              <w:t>0.663</w:t>
            </w:r>
            <w:r w:rsidRPr="00136DE4">
              <w:rPr>
                <w:rFonts w:ascii="Arial" w:hAnsi="Arial" w:cs="Arial"/>
                <w:sz w:val="16"/>
              </w:rPr>
              <w:t xml:space="preserve"> ± </w:t>
            </w:r>
            <w:r w:rsidR="00523C2B">
              <w:rPr>
                <w:rFonts w:ascii="Arial" w:hAnsi="Arial" w:cs="Arial"/>
                <w:sz w:val="16"/>
              </w:rPr>
              <w:t>0.157</w:t>
            </w:r>
            <w:r w:rsidRPr="00136DE4">
              <w:rPr>
                <w:rFonts w:ascii="Arial" w:hAnsi="Arial" w:cs="Arial"/>
                <w:sz w:val="16"/>
              </w:rPr>
              <w:t>)</w:t>
            </w:r>
          </w:p>
        </w:tc>
        <w:tc>
          <w:tcPr>
            <w:tcW w:w="1255" w:type="dxa"/>
            <w:vAlign w:val="center"/>
          </w:tcPr>
          <w:p w:rsidR="00E64851" w:rsidRPr="00136DE4" w:rsidRDefault="00523C2B" w:rsidP="00694417">
            <w:pPr>
              <w:spacing w:line="360" w:lineRule="auto"/>
              <w:jc w:val="center"/>
              <w:rPr>
                <w:rFonts w:ascii="Arial" w:hAnsi="Arial" w:cs="Arial"/>
                <w:sz w:val="16"/>
              </w:rPr>
            </w:pPr>
            <w:r>
              <w:rPr>
                <w:rFonts w:ascii="Arial" w:hAnsi="Arial" w:cs="Arial"/>
                <w:sz w:val="16"/>
              </w:rPr>
              <w:t>0.042</w:t>
            </w:r>
            <w:r w:rsidR="00E64851" w:rsidRPr="00136DE4">
              <w:rPr>
                <w:rFonts w:ascii="Arial" w:hAnsi="Arial" w:cs="Arial"/>
                <w:sz w:val="16"/>
              </w:rPr>
              <w:t xml:space="preserve"> ± </w:t>
            </w:r>
            <w:r>
              <w:rPr>
                <w:rFonts w:ascii="Arial" w:hAnsi="Arial" w:cs="Arial"/>
                <w:sz w:val="16"/>
              </w:rPr>
              <w:t>0.012</w:t>
            </w:r>
          </w:p>
        </w:tc>
        <w:tc>
          <w:tcPr>
            <w:tcW w:w="1355" w:type="dxa"/>
            <w:vAlign w:val="center"/>
          </w:tcPr>
          <w:p w:rsidR="00E64851" w:rsidRPr="00136DE4" w:rsidRDefault="00523C2B" w:rsidP="00694417">
            <w:pPr>
              <w:spacing w:line="360" w:lineRule="auto"/>
              <w:jc w:val="center"/>
              <w:rPr>
                <w:rFonts w:ascii="Arial" w:hAnsi="Arial" w:cs="Arial"/>
                <w:sz w:val="16"/>
              </w:rPr>
            </w:pPr>
            <w:r>
              <w:rPr>
                <w:rFonts w:ascii="Arial" w:hAnsi="Arial" w:cs="Arial"/>
                <w:sz w:val="16"/>
              </w:rPr>
              <w:t>0.036</w:t>
            </w:r>
            <w:r w:rsidR="00E64851" w:rsidRPr="00136DE4">
              <w:rPr>
                <w:rFonts w:ascii="Arial" w:hAnsi="Arial" w:cs="Arial"/>
                <w:sz w:val="16"/>
              </w:rPr>
              <w:t xml:space="preserve"> ± </w:t>
            </w:r>
            <w:r>
              <w:rPr>
                <w:rFonts w:ascii="Arial" w:hAnsi="Arial" w:cs="Arial"/>
                <w:sz w:val="16"/>
              </w:rPr>
              <w:t>0.007</w:t>
            </w:r>
          </w:p>
          <w:p w:rsidR="00E64851" w:rsidRPr="003C018A" w:rsidRDefault="00E64851" w:rsidP="00694417">
            <w:pPr>
              <w:spacing w:line="360" w:lineRule="auto"/>
              <w:jc w:val="center"/>
              <w:rPr>
                <w:rFonts w:ascii="Arial" w:hAnsi="Arial" w:cs="Arial"/>
                <w:sz w:val="16"/>
              </w:rPr>
            </w:pPr>
            <w:r w:rsidRPr="00136DE4">
              <w:rPr>
                <w:rFonts w:ascii="Arial" w:hAnsi="Arial" w:cs="Arial"/>
                <w:sz w:val="16"/>
              </w:rPr>
              <w:t>(</w:t>
            </w:r>
            <w:r w:rsidR="00523C2B">
              <w:rPr>
                <w:rFonts w:ascii="Arial" w:hAnsi="Arial" w:cs="Arial"/>
                <w:sz w:val="16"/>
              </w:rPr>
              <w:t>0.064</w:t>
            </w:r>
            <w:r w:rsidRPr="00136DE4">
              <w:rPr>
                <w:rFonts w:ascii="Arial" w:hAnsi="Arial" w:cs="Arial"/>
                <w:sz w:val="16"/>
              </w:rPr>
              <w:t xml:space="preserve"> ± </w:t>
            </w:r>
            <w:r w:rsidR="00523C2B">
              <w:rPr>
                <w:rFonts w:ascii="Arial" w:hAnsi="Arial" w:cs="Arial"/>
                <w:sz w:val="16"/>
              </w:rPr>
              <w:t>0.017</w:t>
            </w:r>
            <w:r w:rsidRPr="00136DE4">
              <w:rPr>
                <w:rFonts w:ascii="Arial" w:hAnsi="Arial" w:cs="Arial"/>
                <w:sz w:val="16"/>
              </w:rPr>
              <w:t>)</w:t>
            </w:r>
          </w:p>
        </w:tc>
        <w:tc>
          <w:tcPr>
            <w:tcW w:w="1255" w:type="dxa"/>
            <w:vAlign w:val="center"/>
          </w:tcPr>
          <w:p w:rsidR="00E64851" w:rsidRPr="00136DE4" w:rsidRDefault="00E64851" w:rsidP="00694417">
            <w:pPr>
              <w:spacing w:line="360" w:lineRule="auto"/>
              <w:jc w:val="center"/>
              <w:rPr>
                <w:rFonts w:ascii="Arial" w:hAnsi="Arial" w:cs="Arial"/>
                <w:sz w:val="16"/>
              </w:rPr>
            </w:pPr>
            <w:r>
              <w:rPr>
                <w:rFonts w:ascii="Arial" w:hAnsi="Arial" w:cs="Arial"/>
                <w:sz w:val="16"/>
              </w:rPr>
              <w:t>NA</w:t>
            </w:r>
          </w:p>
        </w:tc>
        <w:tc>
          <w:tcPr>
            <w:tcW w:w="1530" w:type="dxa"/>
            <w:vAlign w:val="center"/>
          </w:tcPr>
          <w:p w:rsidR="00E64851" w:rsidRPr="00136DE4" w:rsidRDefault="00E64851" w:rsidP="00694417">
            <w:pPr>
              <w:spacing w:line="360" w:lineRule="auto"/>
              <w:jc w:val="center"/>
              <w:rPr>
                <w:rFonts w:ascii="Arial" w:hAnsi="Arial" w:cs="Arial"/>
                <w:sz w:val="16"/>
              </w:rPr>
            </w:pPr>
            <w:r>
              <w:rPr>
                <w:rFonts w:ascii="Arial" w:hAnsi="Arial" w:cs="Arial"/>
                <w:sz w:val="16"/>
              </w:rPr>
              <w:t>NA</w:t>
            </w:r>
          </w:p>
        </w:tc>
      </w:tr>
      <w:tr w:rsidR="00E64851" w:rsidRPr="00136DE4" w:rsidTr="00694417">
        <w:trPr>
          <w:trHeight w:val="710"/>
          <w:jc w:val="center"/>
        </w:trPr>
        <w:tc>
          <w:tcPr>
            <w:tcW w:w="9265" w:type="dxa"/>
            <w:gridSpan w:val="7"/>
            <w:vAlign w:val="center"/>
          </w:tcPr>
          <w:p w:rsidR="00E64851" w:rsidRDefault="00E64851" w:rsidP="00694417">
            <w:pPr>
              <w:spacing w:line="360" w:lineRule="auto"/>
              <w:rPr>
                <w:rFonts w:ascii="Arial" w:hAnsi="Arial" w:cs="Arial"/>
                <w:sz w:val="16"/>
              </w:rPr>
            </w:pPr>
            <w:r w:rsidRPr="003C018A">
              <w:rPr>
                <w:rFonts w:ascii="Arial" w:hAnsi="Arial" w:cs="Arial"/>
                <w:i/>
                <w:sz w:val="16"/>
                <w:vertAlign w:val="superscript"/>
              </w:rPr>
              <w:t>a</w:t>
            </w:r>
            <w:r>
              <w:rPr>
                <w:rFonts w:ascii="Arial" w:hAnsi="Arial" w:cs="Arial"/>
                <w:sz w:val="16"/>
              </w:rPr>
              <w:t xml:space="preserve"> Values in parentheses after the 6-h data for the IMMU-132 animals are the concentrations found in the 24-h feces samples </w:t>
            </w:r>
          </w:p>
          <w:p w:rsidR="00E64851" w:rsidRPr="00136DE4" w:rsidRDefault="00E64851" w:rsidP="00694417">
            <w:pPr>
              <w:spacing w:line="360" w:lineRule="auto"/>
              <w:rPr>
                <w:rFonts w:ascii="Arial" w:hAnsi="Arial" w:cs="Arial"/>
                <w:sz w:val="16"/>
              </w:rPr>
            </w:pPr>
            <w:r>
              <w:rPr>
                <w:rFonts w:ascii="Arial" w:hAnsi="Arial" w:cs="Arial"/>
                <w:sz w:val="16"/>
              </w:rPr>
              <w:t>NA, not applicable.</w:t>
            </w:r>
          </w:p>
        </w:tc>
      </w:tr>
    </w:tbl>
    <w:p w:rsidR="00E64851" w:rsidRDefault="00E64851" w:rsidP="00E64851"/>
    <w:p w:rsidR="00E64851" w:rsidRDefault="00E64851" w:rsidP="00E64851"/>
    <w:p w:rsidR="00E64851" w:rsidRDefault="00E64851" w:rsidP="00E64851"/>
    <w:sectPr w:rsidR="00E648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09" w:rsidRDefault="00795109" w:rsidP="0022489A">
      <w:pPr>
        <w:spacing w:after="0" w:line="240" w:lineRule="auto"/>
      </w:pPr>
      <w:r>
        <w:separator/>
      </w:r>
    </w:p>
  </w:endnote>
  <w:endnote w:type="continuationSeparator" w:id="0">
    <w:p w:rsidR="00795109" w:rsidRDefault="00795109" w:rsidP="002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9A" w:rsidRDefault="00224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517074"/>
      <w:docPartObj>
        <w:docPartGallery w:val="Page Numbers (Bottom of Page)"/>
        <w:docPartUnique/>
      </w:docPartObj>
    </w:sdtPr>
    <w:sdtEndPr>
      <w:rPr>
        <w:noProof/>
      </w:rPr>
    </w:sdtEndPr>
    <w:sdtContent>
      <w:p w:rsidR="0022489A" w:rsidRDefault="0022489A">
        <w:pPr>
          <w:pStyle w:val="Footer"/>
          <w:jc w:val="right"/>
        </w:pPr>
        <w:r>
          <w:fldChar w:fldCharType="begin"/>
        </w:r>
        <w:r>
          <w:instrText xml:space="preserve"> PAGE   \* MERGEFORMAT </w:instrText>
        </w:r>
        <w:r>
          <w:fldChar w:fldCharType="separate"/>
        </w:r>
        <w:r w:rsidR="007F121F">
          <w:rPr>
            <w:noProof/>
          </w:rPr>
          <w:t>12</w:t>
        </w:r>
        <w:r>
          <w:rPr>
            <w:noProof/>
          </w:rPr>
          <w:fldChar w:fldCharType="end"/>
        </w:r>
      </w:p>
    </w:sdtContent>
  </w:sdt>
  <w:p w:rsidR="0022489A" w:rsidRDefault="00224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9A" w:rsidRDefault="00224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09" w:rsidRDefault="00795109" w:rsidP="0022489A">
      <w:pPr>
        <w:spacing w:after="0" w:line="240" w:lineRule="auto"/>
      </w:pPr>
      <w:r>
        <w:separator/>
      </w:r>
    </w:p>
  </w:footnote>
  <w:footnote w:type="continuationSeparator" w:id="0">
    <w:p w:rsidR="00795109" w:rsidRDefault="00795109" w:rsidP="00224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9A" w:rsidRDefault="00224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9A" w:rsidRDefault="00224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89A" w:rsidRDefault="00224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01826"/>
    <w:multiLevelType w:val="hybridMultilevel"/>
    <w:tmpl w:val="211233D8"/>
    <w:lvl w:ilvl="0" w:tplc="554E08B8">
      <w:start w:val="1"/>
      <w:numFmt w:val="bullet"/>
      <w:lvlText w:val="•"/>
      <w:lvlJc w:val="left"/>
      <w:pPr>
        <w:tabs>
          <w:tab w:val="num" w:pos="720"/>
        </w:tabs>
        <w:ind w:left="720" w:hanging="360"/>
      </w:pPr>
      <w:rPr>
        <w:rFonts w:ascii="Arial" w:hAnsi="Arial" w:hint="default"/>
      </w:rPr>
    </w:lvl>
    <w:lvl w:ilvl="1" w:tplc="D0B2BE12" w:tentative="1">
      <w:start w:val="1"/>
      <w:numFmt w:val="bullet"/>
      <w:lvlText w:val="•"/>
      <w:lvlJc w:val="left"/>
      <w:pPr>
        <w:tabs>
          <w:tab w:val="num" w:pos="1440"/>
        </w:tabs>
        <w:ind w:left="1440" w:hanging="360"/>
      </w:pPr>
      <w:rPr>
        <w:rFonts w:ascii="Arial" w:hAnsi="Arial" w:hint="default"/>
      </w:rPr>
    </w:lvl>
    <w:lvl w:ilvl="2" w:tplc="694AD0B8" w:tentative="1">
      <w:start w:val="1"/>
      <w:numFmt w:val="bullet"/>
      <w:lvlText w:val="•"/>
      <w:lvlJc w:val="left"/>
      <w:pPr>
        <w:tabs>
          <w:tab w:val="num" w:pos="2160"/>
        </w:tabs>
        <w:ind w:left="2160" w:hanging="360"/>
      </w:pPr>
      <w:rPr>
        <w:rFonts w:ascii="Arial" w:hAnsi="Arial" w:hint="default"/>
      </w:rPr>
    </w:lvl>
    <w:lvl w:ilvl="3" w:tplc="A24CEA1E" w:tentative="1">
      <w:start w:val="1"/>
      <w:numFmt w:val="bullet"/>
      <w:lvlText w:val="•"/>
      <w:lvlJc w:val="left"/>
      <w:pPr>
        <w:tabs>
          <w:tab w:val="num" w:pos="2880"/>
        </w:tabs>
        <w:ind w:left="2880" w:hanging="360"/>
      </w:pPr>
      <w:rPr>
        <w:rFonts w:ascii="Arial" w:hAnsi="Arial" w:hint="default"/>
      </w:rPr>
    </w:lvl>
    <w:lvl w:ilvl="4" w:tplc="1362D458" w:tentative="1">
      <w:start w:val="1"/>
      <w:numFmt w:val="bullet"/>
      <w:lvlText w:val="•"/>
      <w:lvlJc w:val="left"/>
      <w:pPr>
        <w:tabs>
          <w:tab w:val="num" w:pos="3600"/>
        </w:tabs>
        <w:ind w:left="3600" w:hanging="360"/>
      </w:pPr>
      <w:rPr>
        <w:rFonts w:ascii="Arial" w:hAnsi="Arial" w:hint="default"/>
      </w:rPr>
    </w:lvl>
    <w:lvl w:ilvl="5" w:tplc="B0BE122A" w:tentative="1">
      <w:start w:val="1"/>
      <w:numFmt w:val="bullet"/>
      <w:lvlText w:val="•"/>
      <w:lvlJc w:val="left"/>
      <w:pPr>
        <w:tabs>
          <w:tab w:val="num" w:pos="4320"/>
        </w:tabs>
        <w:ind w:left="4320" w:hanging="360"/>
      </w:pPr>
      <w:rPr>
        <w:rFonts w:ascii="Arial" w:hAnsi="Arial" w:hint="default"/>
      </w:rPr>
    </w:lvl>
    <w:lvl w:ilvl="6" w:tplc="4872D028" w:tentative="1">
      <w:start w:val="1"/>
      <w:numFmt w:val="bullet"/>
      <w:lvlText w:val="•"/>
      <w:lvlJc w:val="left"/>
      <w:pPr>
        <w:tabs>
          <w:tab w:val="num" w:pos="5040"/>
        </w:tabs>
        <w:ind w:left="5040" w:hanging="360"/>
      </w:pPr>
      <w:rPr>
        <w:rFonts w:ascii="Arial" w:hAnsi="Arial" w:hint="default"/>
      </w:rPr>
    </w:lvl>
    <w:lvl w:ilvl="7" w:tplc="0592FF1E" w:tentative="1">
      <w:start w:val="1"/>
      <w:numFmt w:val="bullet"/>
      <w:lvlText w:val="•"/>
      <w:lvlJc w:val="left"/>
      <w:pPr>
        <w:tabs>
          <w:tab w:val="num" w:pos="5760"/>
        </w:tabs>
        <w:ind w:left="5760" w:hanging="360"/>
      </w:pPr>
      <w:rPr>
        <w:rFonts w:ascii="Arial" w:hAnsi="Arial" w:hint="default"/>
      </w:rPr>
    </w:lvl>
    <w:lvl w:ilvl="8" w:tplc="B7BAE1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2epesttweex8e2wsbvp098fver0f5wfrpz&quot;&gt;Sharkey-Tissue SN-38&lt;record-ids&gt;&lt;item&gt;12&lt;/item&gt;&lt;/record-ids&gt;&lt;/item&gt;&lt;/Libraries&gt;"/>
  </w:docVars>
  <w:rsids>
    <w:rsidRoot w:val="00766BCD"/>
    <w:rsid w:val="000930C3"/>
    <w:rsid w:val="00093725"/>
    <w:rsid w:val="000A6A78"/>
    <w:rsid w:val="0020723A"/>
    <w:rsid w:val="0022489A"/>
    <w:rsid w:val="00242208"/>
    <w:rsid w:val="003C2157"/>
    <w:rsid w:val="0048224F"/>
    <w:rsid w:val="00523C2B"/>
    <w:rsid w:val="0059074B"/>
    <w:rsid w:val="00653DB8"/>
    <w:rsid w:val="006C30A5"/>
    <w:rsid w:val="00766BCD"/>
    <w:rsid w:val="00795109"/>
    <w:rsid w:val="007F121F"/>
    <w:rsid w:val="00924012"/>
    <w:rsid w:val="00A72B0E"/>
    <w:rsid w:val="00AC2727"/>
    <w:rsid w:val="00AF24AB"/>
    <w:rsid w:val="00BA0B26"/>
    <w:rsid w:val="00BD73BF"/>
    <w:rsid w:val="00D87D1A"/>
    <w:rsid w:val="00E271DE"/>
    <w:rsid w:val="00E53023"/>
    <w:rsid w:val="00E64851"/>
    <w:rsid w:val="00EA7338"/>
    <w:rsid w:val="00F9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6DD5045-1904-4BD6-833B-594132DE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6485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64851"/>
    <w:rPr>
      <w:rFonts w:ascii="Calibri" w:hAnsi="Calibri"/>
      <w:noProof/>
    </w:rPr>
  </w:style>
  <w:style w:type="paragraph" w:customStyle="1" w:styleId="EndNoteBibliography">
    <w:name w:val="EndNote Bibliography"/>
    <w:basedOn w:val="Normal"/>
    <w:link w:val="EndNoteBibliographyChar"/>
    <w:rsid w:val="00E6485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64851"/>
    <w:rPr>
      <w:rFonts w:ascii="Calibri" w:hAnsi="Calibri"/>
      <w:noProof/>
    </w:rPr>
  </w:style>
  <w:style w:type="paragraph" w:styleId="BalloonText">
    <w:name w:val="Balloon Text"/>
    <w:basedOn w:val="Normal"/>
    <w:link w:val="BalloonTextChar"/>
    <w:uiPriority w:val="99"/>
    <w:semiHidden/>
    <w:unhideWhenUsed/>
    <w:rsid w:val="00207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3A"/>
    <w:rPr>
      <w:rFonts w:ascii="Segoe UI" w:hAnsi="Segoe UI" w:cs="Segoe UI"/>
      <w:sz w:val="18"/>
      <w:szCs w:val="18"/>
    </w:rPr>
  </w:style>
  <w:style w:type="paragraph" w:styleId="NormalWeb">
    <w:name w:val="Normal (Web)"/>
    <w:basedOn w:val="Normal"/>
    <w:uiPriority w:val="99"/>
    <w:semiHidden/>
    <w:unhideWhenUsed/>
    <w:rsid w:val="0009372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A6A78"/>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9A"/>
  </w:style>
  <w:style w:type="paragraph" w:styleId="Footer">
    <w:name w:val="footer"/>
    <w:basedOn w:val="Normal"/>
    <w:link w:val="FooterChar"/>
    <w:uiPriority w:val="99"/>
    <w:unhideWhenUsed/>
    <w:rsid w:val="002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Immunomedics</Company>
  <LinksUpToDate>false</LinksUpToDate>
  <CharactersWithSpaces>20014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Bob</dc:creator>
  <cp:lastModifiedBy>Sharkey, Bob</cp:lastModifiedBy>
  <cp:revision>2</cp:revision>
  <dcterms:created xsi:type="dcterms:W3CDTF">2015-05-18T18:53:00Z</dcterms:created>
  <dcterms:modified xsi:type="dcterms:W3CDTF">2015-05-18T18:53:00Z</dcterms:modified>
</cp:coreProperties>
</file>