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59" w:rsidRPr="00D44173" w:rsidRDefault="00BB5323" w:rsidP="00BB5323">
      <w:pPr>
        <w:rPr>
          <w:rFonts w:ascii="Times New Roman" w:hAnsi="Times New Roman"/>
          <w:b/>
          <w:sz w:val="24"/>
          <w:szCs w:val="24"/>
        </w:rPr>
      </w:pPr>
      <w:bookmarkStart w:id="0" w:name="_GoBack"/>
      <w:bookmarkEnd w:id="0"/>
      <w:r w:rsidRPr="00D44173">
        <w:rPr>
          <w:rFonts w:ascii="Times New Roman" w:hAnsi="Times New Roman"/>
          <w:b/>
          <w:sz w:val="24"/>
          <w:szCs w:val="24"/>
        </w:rPr>
        <w:t>S</w:t>
      </w:r>
      <w:r w:rsidR="00C87D59" w:rsidRPr="00D44173">
        <w:rPr>
          <w:rFonts w:ascii="Times New Roman" w:hAnsi="Times New Roman"/>
          <w:b/>
          <w:sz w:val="24"/>
          <w:szCs w:val="24"/>
        </w:rPr>
        <w:t>UPPLEMENTAL METHODS</w:t>
      </w:r>
    </w:p>
    <w:p w:rsidR="00BB5323" w:rsidRPr="00D44173" w:rsidRDefault="00C87D59" w:rsidP="00BB5323">
      <w:pPr>
        <w:rPr>
          <w:rFonts w:ascii="Times New Roman" w:hAnsi="Times New Roman"/>
          <w:b/>
          <w:sz w:val="24"/>
          <w:szCs w:val="24"/>
        </w:rPr>
      </w:pPr>
      <w:proofErr w:type="spellStart"/>
      <w:r w:rsidRPr="00D44173">
        <w:rPr>
          <w:rFonts w:ascii="Times New Roman" w:hAnsi="Times New Roman"/>
          <w:b/>
          <w:sz w:val="24"/>
          <w:szCs w:val="24"/>
        </w:rPr>
        <w:t>Immunohistochemical</w:t>
      </w:r>
      <w:proofErr w:type="spellEnd"/>
      <w:r w:rsidRPr="00D44173">
        <w:rPr>
          <w:rFonts w:ascii="Times New Roman" w:hAnsi="Times New Roman"/>
          <w:b/>
          <w:sz w:val="24"/>
          <w:szCs w:val="24"/>
        </w:rPr>
        <w:t xml:space="preserve"> Analysis of GTPase Targets</w:t>
      </w:r>
    </w:p>
    <w:p w:rsidR="00C87D59" w:rsidRPr="00D44173" w:rsidRDefault="00C87D59" w:rsidP="00C87D59">
      <w:pPr>
        <w:spacing w:line="480" w:lineRule="auto"/>
        <w:rPr>
          <w:rFonts w:ascii="Times New Roman" w:hAnsi="Times New Roman"/>
          <w:sz w:val="24"/>
          <w:szCs w:val="24"/>
        </w:rPr>
      </w:pPr>
      <w:r w:rsidRPr="00D44173">
        <w:rPr>
          <w:rFonts w:ascii="Times New Roman" w:hAnsi="Times New Roman"/>
          <w:sz w:val="24"/>
          <w:szCs w:val="24"/>
        </w:rPr>
        <w:t xml:space="preserve">Specimens were </w:t>
      </w:r>
      <w:proofErr w:type="spellStart"/>
      <w:r w:rsidRPr="00D44173">
        <w:rPr>
          <w:rFonts w:ascii="Times New Roman" w:hAnsi="Times New Roman"/>
          <w:sz w:val="24"/>
          <w:szCs w:val="24"/>
        </w:rPr>
        <w:t>deparaffinized</w:t>
      </w:r>
      <w:proofErr w:type="spellEnd"/>
      <w:r w:rsidRPr="00D44173">
        <w:rPr>
          <w:rFonts w:ascii="Times New Roman" w:hAnsi="Times New Roman"/>
          <w:sz w:val="24"/>
          <w:szCs w:val="24"/>
        </w:rPr>
        <w:t xml:space="preserve"> and hydrated using xylene and graded ethanol solutions finishing with phosphate buffered saline. Epitopes were retrieved using a Tissue </w:t>
      </w:r>
      <w:proofErr w:type="spellStart"/>
      <w:r w:rsidRPr="00D44173">
        <w:rPr>
          <w:rFonts w:ascii="Times New Roman" w:hAnsi="Times New Roman"/>
          <w:sz w:val="24"/>
          <w:szCs w:val="24"/>
        </w:rPr>
        <w:t>Tek</w:t>
      </w:r>
      <w:proofErr w:type="spellEnd"/>
      <w:r w:rsidRPr="00D44173">
        <w:rPr>
          <w:rFonts w:ascii="Times New Roman" w:hAnsi="Times New Roman"/>
          <w:sz w:val="24"/>
          <w:szCs w:val="24"/>
        </w:rPr>
        <w:t xml:space="preserve"> </w:t>
      </w:r>
      <w:proofErr w:type="spellStart"/>
      <w:r w:rsidRPr="00D44173">
        <w:rPr>
          <w:rFonts w:ascii="Times New Roman" w:hAnsi="Times New Roman"/>
          <w:sz w:val="24"/>
          <w:szCs w:val="24"/>
        </w:rPr>
        <w:t>decloaking</w:t>
      </w:r>
      <w:proofErr w:type="spellEnd"/>
      <w:r w:rsidRPr="00D44173">
        <w:rPr>
          <w:rFonts w:ascii="Times New Roman" w:hAnsi="Times New Roman"/>
          <w:sz w:val="24"/>
          <w:szCs w:val="24"/>
        </w:rPr>
        <w:t xml:space="preserve"> chamber (</w:t>
      </w:r>
      <w:proofErr w:type="spellStart"/>
      <w:r w:rsidRPr="00D44173">
        <w:rPr>
          <w:rFonts w:ascii="Times New Roman" w:hAnsi="Times New Roman"/>
          <w:sz w:val="24"/>
          <w:szCs w:val="24"/>
        </w:rPr>
        <w:t>Biocare</w:t>
      </w:r>
      <w:proofErr w:type="spellEnd"/>
      <w:r w:rsidRPr="00D44173">
        <w:rPr>
          <w:rFonts w:ascii="Times New Roman" w:hAnsi="Times New Roman"/>
          <w:sz w:val="24"/>
          <w:szCs w:val="24"/>
        </w:rPr>
        <w:t xml:space="preserve"> Medical) at 120.5°C for 15 min and allowed to cool slowly to room temperature. Pretreatment with hydrogen peroxide (3%) in phosphate buffered saline was used to reduce background.</w:t>
      </w:r>
    </w:p>
    <w:p w:rsidR="00C87D59" w:rsidRPr="00D44173" w:rsidRDefault="00C87D59" w:rsidP="00C87D59">
      <w:pPr>
        <w:spacing w:line="480" w:lineRule="auto"/>
        <w:rPr>
          <w:rFonts w:ascii="Times New Roman" w:hAnsi="Times New Roman"/>
          <w:sz w:val="24"/>
          <w:szCs w:val="24"/>
        </w:rPr>
      </w:pPr>
      <w:r w:rsidRPr="00D44173">
        <w:rPr>
          <w:rFonts w:ascii="Times New Roman" w:hAnsi="Times New Roman"/>
          <w:sz w:val="24"/>
          <w:szCs w:val="24"/>
        </w:rPr>
        <w:t xml:space="preserve">To optimize staining conditions, selected cases representing residual, </w:t>
      </w:r>
      <w:proofErr w:type="spellStart"/>
      <w:r w:rsidRPr="00D44173">
        <w:rPr>
          <w:rFonts w:ascii="Times New Roman" w:hAnsi="Times New Roman"/>
          <w:sz w:val="24"/>
          <w:szCs w:val="24"/>
        </w:rPr>
        <w:t>deidentified</w:t>
      </w:r>
      <w:proofErr w:type="spellEnd"/>
      <w:r w:rsidRPr="00D44173">
        <w:rPr>
          <w:rFonts w:ascii="Times New Roman" w:hAnsi="Times New Roman"/>
          <w:sz w:val="24"/>
          <w:szCs w:val="24"/>
        </w:rPr>
        <w:t xml:space="preserve"> specimens from patients who had undergone diagnostic and therapeutic surgery for malignant (primary ovarian cancer, or prostate, breast or colorectal cancer as case controls) and non-malignant diseases (benign ovarian neoplasms, or benign prostate, breast or colorectal </w:t>
      </w:r>
      <w:proofErr w:type="spellStart"/>
      <w:r w:rsidRPr="00D44173">
        <w:rPr>
          <w:rFonts w:ascii="Times New Roman" w:hAnsi="Times New Roman"/>
          <w:sz w:val="24"/>
          <w:szCs w:val="24"/>
        </w:rPr>
        <w:t>neplasms</w:t>
      </w:r>
      <w:proofErr w:type="spellEnd"/>
      <w:r w:rsidRPr="00D44173">
        <w:rPr>
          <w:rFonts w:ascii="Times New Roman" w:hAnsi="Times New Roman"/>
          <w:sz w:val="24"/>
          <w:szCs w:val="24"/>
        </w:rPr>
        <w:t xml:space="preserve"> as case controls) were obtained through the UNM Human Tissue Repository under an approved IRB</w:t>
      </w:r>
      <w:r w:rsidR="004278C0" w:rsidRPr="00D44173">
        <w:rPr>
          <w:rFonts w:ascii="Times New Roman" w:hAnsi="Times New Roman"/>
          <w:sz w:val="24"/>
          <w:szCs w:val="24"/>
        </w:rPr>
        <w:t xml:space="preserve"> </w:t>
      </w:r>
      <w:r w:rsidRPr="00D44173">
        <w:rPr>
          <w:rFonts w:ascii="Times New Roman" w:hAnsi="Times New Roman"/>
          <w:sz w:val="24"/>
          <w:szCs w:val="24"/>
        </w:rPr>
        <w:t>protocol (SRC001-10). Colon cancers overexpressing Rac1 and Cdc42 served as a positive control and ovarian tumor tissue was comparatively evaluate</w:t>
      </w:r>
      <w:r w:rsidR="00AA5F72" w:rsidRPr="00D44173">
        <w:rPr>
          <w:rFonts w:ascii="Times New Roman" w:hAnsi="Times New Roman"/>
          <w:sz w:val="24"/>
          <w:szCs w:val="24"/>
        </w:rPr>
        <w:t xml:space="preserve">d </w:t>
      </w:r>
      <w:r w:rsidRPr="00D44173">
        <w:rPr>
          <w:rFonts w:ascii="Times New Roman" w:hAnsi="Times New Roman"/>
          <w:sz w:val="24"/>
          <w:szCs w:val="24"/>
        </w:rPr>
        <w:t xml:space="preserve">against </w:t>
      </w:r>
      <w:r w:rsidR="00AA5F72" w:rsidRPr="00D44173">
        <w:rPr>
          <w:rFonts w:ascii="Times New Roman" w:hAnsi="Times New Roman"/>
          <w:sz w:val="24"/>
          <w:szCs w:val="24"/>
        </w:rPr>
        <w:t>benign</w:t>
      </w:r>
      <w:r w:rsidRPr="00D44173">
        <w:rPr>
          <w:rFonts w:ascii="Times New Roman" w:hAnsi="Times New Roman"/>
          <w:sz w:val="24"/>
          <w:szCs w:val="24"/>
        </w:rPr>
        <w:t xml:space="preserve"> ovarian tissue.</w:t>
      </w:r>
    </w:p>
    <w:p w:rsidR="00BB5323" w:rsidRPr="00D44173" w:rsidRDefault="00BB5323" w:rsidP="00BB5323">
      <w:pPr>
        <w:rPr>
          <w:rFonts w:ascii="Times New Roman" w:hAnsi="Times New Roman"/>
          <w:b/>
          <w:sz w:val="24"/>
          <w:szCs w:val="24"/>
        </w:rPr>
      </w:pPr>
      <w:proofErr w:type="spellStart"/>
      <w:proofErr w:type="gramStart"/>
      <w:r w:rsidRPr="00D44173">
        <w:rPr>
          <w:rFonts w:ascii="Times New Roman" w:hAnsi="Times New Roman"/>
          <w:b/>
          <w:sz w:val="24"/>
          <w:szCs w:val="24"/>
        </w:rPr>
        <w:t>qPCR</w:t>
      </w:r>
      <w:proofErr w:type="spellEnd"/>
      <w:proofErr w:type="gramEnd"/>
      <w:r w:rsidR="00C87D59" w:rsidRPr="00D44173">
        <w:rPr>
          <w:rFonts w:ascii="Times New Roman" w:hAnsi="Times New Roman"/>
          <w:b/>
          <w:sz w:val="24"/>
          <w:szCs w:val="24"/>
        </w:rPr>
        <w:t xml:space="preserve"> of Ovarian Cancer cDNA Arrays</w:t>
      </w:r>
    </w:p>
    <w:p w:rsidR="00C87D59" w:rsidRPr="00D44173" w:rsidRDefault="00444D84" w:rsidP="00C87D59">
      <w:pPr>
        <w:spacing w:line="480" w:lineRule="auto"/>
        <w:rPr>
          <w:rFonts w:ascii="Times New Roman" w:hAnsi="Times New Roman"/>
          <w:color w:val="222222"/>
          <w:sz w:val="24"/>
          <w:szCs w:val="24"/>
          <w:shd w:val="clear" w:color="auto" w:fill="FFFFFF"/>
        </w:rPr>
      </w:pPr>
      <w:proofErr w:type="spellStart"/>
      <w:proofErr w:type="gramStart"/>
      <w:r w:rsidRPr="00D44173">
        <w:rPr>
          <w:rFonts w:ascii="Times New Roman" w:hAnsi="Times New Roman"/>
          <w:sz w:val="24"/>
          <w:szCs w:val="24"/>
        </w:rPr>
        <w:t>qPCR</w:t>
      </w:r>
      <w:proofErr w:type="spellEnd"/>
      <w:proofErr w:type="gramEnd"/>
      <w:r w:rsidRPr="00D44173">
        <w:rPr>
          <w:rFonts w:ascii="Times New Roman" w:hAnsi="Times New Roman"/>
          <w:sz w:val="24"/>
          <w:szCs w:val="24"/>
        </w:rPr>
        <w:t xml:space="preserve"> was performed using </w:t>
      </w:r>
      <w:proofErr w:type="spellStart"/>
      <w:r w:rsidRPr="00D44173">
        <w:rPr>
          <w:rFonts w:ascii="Times New Roman" w:hAnsi="Times New Roman"/>
          <w:sz w:val="24"/>
          <w:szCs w:val="24"/>
        </w:rPr>
        <w:t>Origene</w:t>
      </w:r>
      <w:proofErr w:type="spellEnd"/>
      <w:r w:rsidRPr="00D44173">
        <w:rPr>
          <w:rFonts w:ascii="Times New Roman" w:hAnsi="Times New Roman"/>
          <w:sz w:val="24"/>
          <w:szCs w:val="24"/>
        </w:rPr>
        <w:t xml:space="preserve"> SYBR Green I master mix solution diluted to a final concentration of 1X with primers at a concentration of 0.33μM.  PCR mix was added to each well of the microarray plate and incubated on ice for 15m to dissolve the cDNA. </w:t>
      </w:r>
      <w:proofErr w:type="spellStart"/>
      <w:r w:rsidRPr="00D44173">
        <w:rPr>
          <w:rFonts w:ascii="Times New Roman" w:hAnsi="Times New Roman"/>
          <w:sz w:val="24"/>
          <w:szCs w:val="24"/>
        </w:rPr>
        <w:t>qPCR</w:t>
      </w:r>
      <w:proofErr w:type="spellEnd"/>
      <w:r w:rsidRPr="00D44173">
        <w:rPr>
          <w:rFonts w:ascii="Times New Roman" w:hAnsi="Times New Roman"/>
          <w:sz w:val="24"/>
          <w:szCs w:val="24"/>
        </w:rPr>
        <w:t xml:space="preserve"> was conducted using a Bio-Rad </w:t>
      </w:r>
      <w:proofErr w:type="spellStart"/>
      <w:r w:rsidRPr="00D44173">
        <w:rPr>
          <w:rFonts w:ascii="Times New Roman" w:hAnsi="Times New Roman"/>
          <w:sz w:val="24"/>
          <w:szCs w:val="24"/>
        </w:rPr>
        <w:t>iCycler</w:t>
      </w:r>
      <w:proofErr w:type="spellEnd"/>
      <w:r w:rsidRPr="00D44173">
        <w:rPr>
          <w:rFonts w:ascii="Times New Roman" w:hAnsi="Times New Roman"/>
          <w:sz w:val="24"/>
          <w:szCs w:val="24"/>
        </w:rPr>
        <w:t xml:space="preserve"> (Hercules, CA) under the following conditions; 95° for 5m, 30 cycles of (95° for 15s, 60° for 30s, 72° for 1m), followed by melt curve analysis, hold at 4°.  </w:t>
      </w:r>
      <w:r w:rsidR="00BB5323" w:rsidRPr="00D44173">
        <w:rPr>
          <w:rStyle w:val="apple-converted-space"/>
          <w:rFonts w:ascii="Times New Roman" w:hAnsi="Times New Roman"/>
          <w:color w:val="222222"/>
          <w:sz w:val="24"/>
          <w:szCs w:val="24"/>
          <w:shd w:val="clear" w:color="auto" w:fill="FFFFFF"/>
        </w:rPr>
        <w:t>Rac1b levels were measured using custom primers synthesized by Invitrogen</w:t>
      </w:r>
      <w:r w:rsidR="00BB5323" w:rsidRPr="00D44173">
        <w:rPr>
          <w:rFonts w:ascii="Times New Roman" w:hAnsi="Times New Roman"/>
          <w:color w:val="222222"/>
          <w:sz w:val="24"/>
          <w:szCs w:val="24"/>
          <w:shd w:val="clear" w:color="auto" w:fill="FFFFFF"/>
        </w:rPr>
        <w:t>. Rac1b forward primer, 5’-TCCGCAAACAGTTGGAGA-3’, was coupled with Rac1 reverse primer, 5’-</w:t>
      </w:r>
      <w:r w:rsidR="00BB5323" w:rsidRPr="00D44173">
        <w:rPr>
          <w:rFonts w:ascii="Times New Roman" w:hAnsi="Times New Roman"/>
          <w:color w:val="222222"/>
          <w:sz w:val="24"/>
          <w:szCs w:val="24"/>
          <w:shd w:val="clear" w:color="auto" w:fill="FFFFFF"/>
        </w:rPr>
        <w:lastRenderedPageBreak/>
        <w:t xml:space="preserve">CTACATGTTTGCGGATAGGATAGGG-3’. </w:t>
      </w:r>
      <w:r w:rsidR="00C87D59" w:rsidRPr="00D44173">
        <w:rPr>
          <w:rFonts w:ascii="Times New Roman" w:hAnsi="Times New Roman"/>
          <w:color w:val="222222"/>
          <w:sz w:val="24"/>
          <w:szCs w:val="24"/>
          <w:shd w:val="clear" w:color="auto" w:fill="FFFFFF"/>
        </w:rPr>
        <w:t xml:space="preserve"> The identity of the PCR product as Rac1b was confirmed by sequence analysis.</w:t>
      </w:r>
    </w:p>
    <w:p w:rsidR="00C0213E" w:rsidRPr="00D44173" w:rsidRDefault="00C0213E" w:rsidP="00C87D59">
      <w:pPr>
        <w:spacing w:line="480" w:lineRule="auto"/>
        <w:rPr>
          <w:rFonts w:ascii="Times New Roman" w:hAnsi="Times New Roman"/>
          <w:b/>
          <w:color w:val="222222"/>
          <w:sz w:val="24"/>
          <w:szCs w:val="24"/>
          <w:shd w:val="clear" w:color="auto" w:fill="FFFFFF"/>
        </w:rPr>
      </w:pPr>
      <w:r w:rsidRPr="00D44173">
        <w:rPr>
          <w:rFonts w:ascii="Times New Roman" w:hAnsi="Times New Roman"/>
          <w:b/>
          <w:color w:val="222222"/>
          <w:sz w:val="24"/>
          <w:szCs w:val="24"/>
          <w:shd w:val="clear" w:color="auto" w:fill="FFFFFF"/>
        </w:rPr>
        <w:t>High Performance Liquid Chromatography</w:t>
      </w:r>
    </w:p>
    <w:p w:rsidR="00FB54B5" w:rsidRPr="00D44173" w:rsidRDefault="00FB54B5" w:rsidP="004278C0">
      <w:pPr>
        <w:spacing w:line="480" w:lineRule="auto"/>
        <w:rPr>
          <w:rFonts w:ascii="Times New Roman" w:hAnsi="Times New Roman"/>
          <w:sz w:val="24"/>
        </w:rPr>
      </w:pPr>
      <w:r w:rsidRPr="00D44173">
        <w:rPr>
          <w:rFonts w:ascii="Times New Roman" w:eastAsia="Arial" w:hAnsi="Times New Roman"/>
          <w:spacing w:val="1"/>
          <w:sz w:val="24"/>
        </w:rPr>
        <w:t>HPLC analysis was performed with a 50mm long 5</w:t>
      </w:r>
      <w:r w:rsidRPr="00D44173">
        <w:rPr>
          <w:rFonts w:ascii="Times New Roman" w:eastAsia="Arial" w:hAnsi="Times New Roman"/>
          <w:spacing w:val="1"/>
          <w:sz w:val="24"/>
          <w:lang w:val="el-GR"/>
        </w:rPr>
        <w:t>μ</w:t>
      </w:r>
      <w:r w:rsidRPr="00D44173">
        <w:rPr>
          <w:rFonts w:ascii="Times New Roman" w:eastAsia="Arial" w:hAnsi="Times New Roman"/>
          <w:spacing w:val="1"/>
          <w:sz w:val="24"/>
        </w:rPr>
        <w:t xml:space="preserve">m silica guard column (Phenomenex, 03B-4053-N0) attached to a </w:t>
      </w:r>
      <w:proofErr w:type="spellStart"/>
      <w:r w:rsidRPr="00D44173">
        <w:rPr>
          <w:rFonts w:ascii="Times New Roman" w:eastAsia="Arial" w:hAnsi="Times New Roman"/>
          <w:spacing w:val="1"/>
          <w:sz w:val="24"/>
        </w:rPr>
        <w:t>Partisil</w:t>
      </w:r>
      <w:proofErr w:type="spellEnd"/>
      <w:r w:rsidRPr="00D44173">
        <w:rPr>
          <w:rFonts w:ascii="Times New Roman" w:eastAsia="Arial" w:hAnsi="Times New Roman"/>
          <w:spacing w:val="1"/>
          <w:sz w:val="24"/>
        </w:rPr>
        <w:t>® 5 µm ODS(3) 85 Å LC Column 150 x 4.6 mm (Phenomenex, 00F-0120-E0) followed by a Lux 5 µm Cellulose-3 50 x 4.6mm in reverse phase ( Phenomenex, 00G-4493-E0). The columns are equilibrated with acetonitrile/0.1% Formic acid in water (25:75) at a flow rate of 2ml/min. A standard curve of racemic ketorolac in water was generated based on an injection volume of 10</w:t>
      </w:r>
      <w:r w:rsidRPr="00D44173">
        <w:rPr>
          <w:rFonts w:ascii="Times New Roman" w:eastAsia="Arial" w:hAnsi="Times New Roman"/>
          <w:spacing w:val="1"/>
          <w:sz w:val="24"/>
          <w:lang w:val="el-GR"/>
        </w:rPr>
        <w:t>μ</w:t>
      </w:r>
      <w:r w:rsidRPr="00D44173">
        <w:rPr>
          <w:rFonts w:ascii="Times New Roman" w:eastAsia="Arial" w:hAnsi="Times New Roman"/>
          <w:spacing w:val="1"/>
          <w:sz w:val="24"/>
        </w:rPr>
        <w:t>l and ketorolac was detected on a UV310 detector. 500</w:t>
      </w:r>
      <w:r w:rsidRPr="00D44173">
        <w:rPr>
          <w:rFonts w:ascii="Times New Roman" w:eastAsia="Arial" w:hAnsi="Times New Roman"/>
          <w:spacing w:val="1"/>
          <w:sz w:val="24"/>
          <w:lang w:val="el-GR"/>
        </w:rPr>
        <w:t>μ</w:t>
      </w:r>
      <w:r w:rsidRPr="00D44173">
        <w:rPr>
          <w:rFonts w:ascii="Times New Roman" w:eastAsia="Arial" w:hAnsi="Times New Roman"/>
          <w:spacing w:val="1"/>
          <w:sz w:val="24"/>
        </w:rPr>
        <w:t>l serum (or ascites) samples were mixed with 200</w:t>
      </w:r>
      <w:r w:rsidRPr="00D44173">
        <w:rPr>
          <w:rFonts w:ascii="Times New Roman" w:eastAsia="Arial" w:hAnsi="Times New Roman"/>
          <w:spacing w:val="1"/>
          <w:sz w:val="24"/>
          <w:lang w:val="el-GR"/>
        </w:rPr>
        <w:t>μ</w:t>
      </w:r>
      <w:r w:rsidRPr="00D44173">
        <w:rPr>
          <w:rFonts w:ascii="Times New Roman" w:eastAsia="Arial" w:hAnsi="Times New Roman"/>
          <w:spacing w:val="1"/>
          <w:sz w:val="24"/>
        </w:rPr>
        <w:t xml:space="preserve">l </w:t>
      </w:r>
      <w:r w:rsidR="00AA5F72" w:rsidRPr="00D44173">
        <w:rPr>
          <w:rFonts w:ascii="Times New Roman" w:eastAsia="Arial" w:hAnsi="Times New Roman"/>
          <w:spacing w:val="1"/>
          <w:sz w:val="24"/>
        </w:rPr>
        <w:t xml:space="preserve">of </w:t>
      </w:r>
      <w:r w:rsidRPr="00D44173">
        <w:rPr>
          <w:rFonts w:ascii="Times New Roman" w:eastAsia="Arial" w:hAnsi="Times New Roman"/>
          <w:spacing w:val="1"/>
          <w:sz w:val="24"/>
        </w:rPr>
        <w:t>600mM sulfuric acid then diluted and mixed in 3ml diethyl ether. The organic layer was separated by centrifugation at 2500</w:t>
      </w:r>
      <w:r w:rsidR="00AA5F72" w:rsidRPr="00D44173">
        <w:rPr>
          <w:rFonts w:ascii="Times New Roman" w:eastAsia="Arial" w:hAnsi="Times New Roman"/>
          <w:spacing w:val="1"/>
          <w:sz w:val="24"/>
        </w:rPr>
        <w:t xml:space="preserve"> </w:t>
      </w:r>
      <w:r w:rsidRPr="00D44173">
        <w:rPr>
          <w:rFonts w:ascii="Times New Roman" w:eastAsia="Arial" w:hAnsi="Times New Roman"/>
          <w:spacing w:val="1"/>
          <w:sz w:val="24"/>
        </w:rPr>
        <w:t>rpm for 5</w:t>
      </w:r>
      <w:r w:rsidR="004278C0" w:rsidRPr="00D44173">
        <w:rPr>
          <w:rFonts w:ascii="Times New Roman" w:eastAsia="Arial" w:hAnsi="Times New Roman"/>
          <w:spacing w:val="1"/>
          <w:sz w:val="24"/>
        </w:rPr>
        <w:t xml:space="preserve"> </w:t>
      </w:r>
      <w:r w:rsidRPr="00D44173">
        <w:rPr>
          <w:rFonts w:ascii="Times New Roman" w:eastAsia="Arial" w:hAnsi="Times New Roman"/>
          <w:spacing w:val="1"/>
          <w:sz w:val="24"/>
        </w:rPr>
        <w:t>m</w:t>
      </w:r>
      <w:r w:rsidR="004278C0" w:rsidRPr="00D44173">
        <w:rPr>
          <w:rFonts w:ascii="Times New Roman" w:eastAsia="Arial" w:hAnsi="Times New Roman"/>
          <w:spacing w:val="1"/>
          <w:sz w:val="24"/>
        </w:rPr>
        <w:t xml:space="preserve">in using a </w:t>
      </w:r>
      <w:proofErr w:type="spellStart"/>
      <w:r w:rsidR="006E3854" w:rsidRPr="00D44173">
        <w:rPr>
          <w:rFonts w:ascii="Times New Roman" w:eastAsia="Arial" w:hAnsi="Times New Roman"/>
          <w:spacing w:val="1"/>
          <w:sz w:val="24"/>
        </w:rPr>
        <w:t>Hermle</w:t>
      </w:r>
      <w:proofErr w:type="spellEnd"/>
      <w:r w:rsidR="006E3854" w:rsidRPr="00D44173">
        <w:rPr>
          <w:rFonts w:ascii="Times New Roman" w:eastAsia="Arial" w:hAnsi="Times New Roman"/>
          <w:spacing w:val="1"/>
          <w:sz w:val="24"/>
        </w:rPr>
        <w:t xml:space="preserve"> Z440K</w:t>
      </w:r>
      <w:r w:rsidRPr="00D44173">
        <w:rPr>
          <w:rFonts w:ascii="Times New Roman" w:eastAsia="Arial" w:hAnsi="Times New Roman"/>
          <w:spacing w:val="1"/>
          <w:sz w:val="24"/>
        </w:rPr>
        <w:t>. The organic layer was removed and evaporated to dryness, then reconstituted in 200</w:t>
      </w:r>
      <w:r w:rsidRPr="00D44173">
        <w:rPr>
          <w:rFonts w:ascii="Times New Roman" w:eastAsia="Arial" w:hAnsi="Times New Roman"/>
          <w:spacing w:val="1"/>
          <w:sz w:val="24"/>
          <w:lang w:val="el-GR"/>
        </w:rPr>
        <w:t>μ</w:t>
      </w:r>
      <w:r w:rsidRPr="00D44173">
        <w:rPr>
          <w:rFonts w:ascii="Times New Roman" w:eastAsia="Arial" w:hAnsi="Times New Roman"/>
          <w:spacing w:val="1"/>
          <w:sz w:val="24"/>
        </w:rPr>
        <w:t xml:space="preserve">l mobile phase. </w:t>
      </w:r>
      <w:r w:rsidR="00B148F7" w:rsidRPr="00D44173">
        <w:rPr>
          <w:rFonts w:ascii="Times New Roman" w:eastAsia="Arial" w:hAnsi="Times New Roman"/>
          <w:spacing w:val="1"/>
          <w:sz w:val="24"/>
        </w:rPr>
        <w:t>Retention times for R-ketorolac and S-ketorolac were 5.1</w:t>
      </w:r>
      <w:r w:rsidR="004278C0" w:rsidRPr="00D44173">
        <w:rPr>
          <w:rFonts w:ascii="Times New Roman" w:eastAsia="Arial" w:hAnsi="Times New Roman"/>
          <w:spacing w:val="1"/>
          <w:sz w:val="24"/>
        </w:rPr>
        <w:t xml:space="preserve"> </w:t>
      </w:r>
      <w:r w:rsidR="00B148F7" w:rsidRPr="00D44173">
        <w:rPr>
          <w:rFonts w:ascii="Times New Roman" w:eastAsia="Arial" w:hAnsi="Times New Roman"/>
          <w:spacing w:val="1"/>
          <w:sz w:val="24"/>
        </w:rPr>
        <w:t>m</w:t>
      </w:r>
      <w:r w:rsidR="004278C0" w:rsidRPr="00D44173">
        <w:rPr>
          <w:rFonts w:ascii="Times New Roman" w:eastAsia="Arial" w:hAnsi="Times New Roman"/>
          <w:spacing w:val="1"/>
          <w:sz w:val="24"/>
        </w:rPr>
        <w:t>in</w:t>
      </w:r>
      <w:r w:rsidR="00B148F7" w:rsidRPr="00D44173">
        <w:rPr>
          <w:rFonts w:ascii="Times New Roman" w:eastAsia="Arial" w:hAnsi="Times New Roman"/>
          <w:spacing w:val="1"/>
          <w:sz w:val="24"/>
        </w:rPr>
        <w:t xml:space="preserve"> and 6.1</w:t>
      </w:r>
      <w:r w:rsidR="004278C0" w:rsidRPr="00D44173">
        <w:rPr>
          <w:rFonts w:ascii="Times New Roman" w:eastAsia="Arial" w:hAnsi="Times New Roman"/>
          <w:spacing w:val="1"/>
          <w:sz w:val="24"/>
        </w:rPr>
        <w:t xml:space="preserve"> </w:t>
      </w:r>
      <w:r w:rsidR="00B148F7" w:rsidRPr="00D44173">
        <w:rPr>
          <w:rFonts w:ascii="Times New Roman" w:eastAsia="Arial" w:hAnsi="Times New Roman"/>
          <w:spacing w:val="1"/>
          <w:sz w:val="24"/>
        </w:rPr>
        <w:t>m</w:t>
      </w:r>
      <w:r w:rsidR="004278C0" w:rsidRPr="00D44173">
        <w:rPr>
          <w:rFonts w:ascii="Times New Roman" w:eastAsia="Arial" w:hAnsi="Times New Roman"/>
          <w:spacing w:val="1"/>
          <w:sz w:val="24"/>
        </w:rPr>
        <w:t>in</w:t>
      </w:r>
      <w:r w:rsidR="00B148F7" w:rsidRPr="00D44173">
        <w:rPr>
          <w:rFonts w:ascii="Times New Roman" w:eastAsia="Arial" w:hAnsi="Times New Roman"/>
          <w:spacing w:val="1"/>
          <w:sz w:val="24"/>
        </w:rPr>
        <w:t xml:space="preserve"> respectively, and </w:t>
      </w:r>
      <w:r w:rsidRPr="00D44173">
        <w:rPr>
          <w:rFonts w:ascii="Times New Roman" w:eastAsia="Arial" w:hAnsi="Times New Roman"/>
          <w:spacing w:val="1"/>
          <w:sz w:val="24"/>
        </w:rPr>
        <w:t xml:space="preserve">were validated against each individual enantiomer. </w:t>
      </w:r>
    </w:p>
    <w:p w:rsidR="00C0213E" w:rsidRPr="00D44173" w:rsidRDefault="00C0213E" w:rsidP="00BB5323">
      <w:pPr>
        <w:spacing w:after="0" w:line="240" w:lineRule="auto"/>
        <w:rPr>
          <w:rFonts w:ascii="Times New Roman" w:hAnsi="Times New Roman"/>
          <w:b/>
          <w:color w:val="222222"/>
          <w:sz w:val="24"/>
          <w:szCs w:val="24"/>
          <w:shd w:val="clear" w:color="auto" w:fill="FFFFFF"/>
        </w:rPr>
      </w:pPr>
    </w:p>
    <w:p w:rsidR="00C0213E" w:rsidRPr="00D44173" w:rsidRDefault="00C0213E" w:rsidP="00C0213E">
      <w:pPr>
        <w:spacing w:after="0" w:line="240" w:lineRule="auto"/>
        <w:rPr>
          <w:rFonts w:ascii="Times New Roman" w:hAnsi="Times New Roman"/>
          <w:b/>
          <w:color w:val="222222"/>
          <w:sz w:val="24"/>
          <w:szCs w:val="24"/>
          <w:shd w:val="clear" w:color="auto" w:fill="FFFFFF"/>
        </w:rPr>
      </w:pPr>
      <w:r w:rsidRPr="00D44173">
        <w:rPr>
          <w:rFonts w:ascii="Times New Roman" w:hAnsi="Times New Roman"/>
          <w:b/>
          <w:color w:val="222222"/>
          <w:sz w:val="24"/>
          <w:szCs w:val="24"/>
          <w:shd w:val="clear" w:color="auto" w:fill="FFFFFF"/>
        </w:rPr>
        <w:t>Analysis of Patient Derived Cells</w:t>
      </w:r>
    </w:p>
    <w:p w:rsidR="00C0213E" w:rsidRPr="00D44173" w:rsidRDefault="00C0213E" w:rsidP="00C0213E">
      <w:pPr>
        <w:spacing w:after="0" w:line="240" w:lineRule="auto"/>
        <w:rPr>
          <w:rFonts w:ascii="Times New Roman" w:hAnsi="Times New Roman"/>
          <w:b/>
          <w:color w:val="222222"/>
          <w:sz w:val="24"/>
          <w:szCs w:val="24"/>
          <w:shd w:val="clear" w:color="auto" w:fill="FFFFFF"/>
        </w:rPr>
      </w:pPr>
    </w:p>
    <w:p w:rsidR="00BB5323" w:rsidRPr="00D44173" w:rsidRDefault="00C0213E" w:rsidP="00C0213E">
      <w:pPr>
        <w:spacing w:after="0" w:line="480" w:lineRule="auto"/>
        <w:rPr>
          <w:rFonts w:ascii="Times New Roman" w:hAnsi="Times New Roman"/>
          <w:color w:val="222222"/>
          <w:sz w:val="24"/>
          <w:szCs w:val="24"/>
          <w:shd w:val="clear" w:color="auto" w:fill="FFFFFF"/>
        </w:rPr>
      </w:pPr>
      <w:r w:rsidRPr="00D44173">
        <w:rPr>
          <w:rFonts w:ascii="Times New Roman" w:hAnsi="Times New Roman"/>
          <w:color w:val="222222"/>
          <w:sz w:val="24"/>
          <w:szCs w:val="24"/>
          <w:shd w:val="clear" w:color="auto" w:fill="FFFFFF"/>
        </w:rPr>
        <w:t>To purify ovarian cancer cells from ascites, c</w:t>
      </w:r>
      <w:r w:rsidR="00BB5323" w:rsidRPr="00D44173">
        <w:rPr>
          <w:rFonts w:ascii="Times New Roman" w:hAnsi="Times New Roman"/>
          <w:color w:val="222222"/>
          <w:sz w:val="24"/>
          <w:szCs w:val="24"/>
          <w:shd w:val="clear" w:color="auto" w:fill="FFFFFF"/>
        </w:rPr>
        <w:t xml:space="preserve">ells were recovered from ascites samples by low speed centrifugation at 1000 rpm. The cell pellets were gently </w:t>
      </w:r>
      <w:proofErr w:type="spellStart"/>
      <w:r w:rsidR="00BB5323" w:rsidRPr="00D44173">
        <w:rPr>
          <w:rFonts w:ascii="Times New Roman" w:hAnsi="Times New Roman"/>
          <w:color w:val="222222"/>
          <w:sz w:val="24"/>
          <w:szCs w:val="24"/>
          <w:shd w:val="clear" w:color="auto" w:fill="FFFFFF"/>
        </w:rPr>
        <w:t>resuspended</w:t>
      </w:r>
      <w:proofErr w:type="spellEnd"/>
      <w:r w:rsidR="00BB5323" w:rsidRPr="00D44173">
        <w:rPr>
          <w:rFonts w:ascii="Times New Roman" w:hAnsi="Times New Roman"/>
          <w:color w:val="222222"/>
          <w:sz w:val="24"/>
          <w:szCs w:val="24"/>
          <w:shd w:val="clear" w:color="auto" w:fill="FFFFFF"/>
        </w:rPr>
        <w:t xml:space="preserve"> and overlaid on a </w:t>
      </w:r>
      <w:proofErr w:type="spellStart"/>
      <w:r w:rsidR="00BB5323" w:rsidRPr="00D44173">
        <w:rPr>
          <w:rFonts w:ascii="Times New Roman" w:hAnsi="Times New Roman"/>
          <w:color w:val="222222"/>
          <w:sz w:val="24"/>
          <w:szCs w:val="24"/>
          <w:shd w:val="clear" w:color="auto" w:fill="FFFFFF"/>
        </w:rPr>
        <w:t>Ficoll</w:t>
      </w:r>
      <w:proofErr w:type="spellEnd"/>
      <w:r w:rsidR="00BB5323" w:rsidRPr="00D44173">
        <w:rPr>
          <w:rFonts w:ascii="Times New Roman" w:hAnsi="Times New Roman"/>
          <w:color w:val="222222"/>
          <w:sz w:val="24"/>
          <w:szCs w:val="24"/>
          <w:shd w:val="clear" w:color="auto" w:fill="FFFFFF"/>
        </w:rPr>
        <w:t xml:space="preserve"> (density 1.077±0.001 g/ml; GE </w:t>
      </w:r>
      <w:proofErr w:type="spellStart"/>
      <w:r w:rsidR="00BB5323" w:rsidRPr="00D44173">
        <w:rPr>
          <w:rFonts w:ascii="Times New Roman" w:hAnsi="Times New Roman"/>
          <w:color w:val="222222"/>
          <w:sz w:val="24"/>
          <w:szCs w:val="24"/>
          <w:shd w:val="clear" w:color="auto" w:fill="FFFFFF"/>
        </w:rPr>
        <w:t>Helathcare</w:t>
      </w:r>
      <w:proofErr w:type="spellEnd"/>
      <w:r w:rsidR="00BB5323" w:rsidRPr="00D44173">
        <w:rPr>
          <w:rFonts w:ascii="Times New Roman" w:hAnsi="Times New Roman"/>
          <w:color w:val="222222"/>
          <w:sz w:val="24"/>
          <w:szCs w:val="24"/>
          <w:shd w:val="clear" w:color="auto" w:fill="FFFFFF"/>
        </w:rPr>
        <w:t xml:space="preserve"> 17-5442-02) to separate red blood cells from lymphocytes and tumor cells per manufacturer's instructions.  Anti-CD45 beads (Life Technologies) were used to deplete lymphocytes and the resulting tumor cell fraction was analyzed visually and by flow cytometry. For flow </w:t>
      </w:r>
      <w:proofErr w:type="spellStart"/>
      <w:r w:rsidR="00BB5323" w:rsidRPr="00D44173">
        <w:rPr>
          <w:rFonts w:ascii="Times New Roman" w:hAnsi="Times New Roman"/>
          <w:color w:val="222222"/>
          <w:sz w:val="24"/>
          <w:szCs w:val="24"/>
          <w:shd w:val="clear" w:color="auto" w:fill="FFFFFF"/>
        </w:rPr>
        <w:t>cytometric</w:t>
      </w:r>
      <w:proofErr w:type="spellEnd"/>
      <w:r w:rsidR="00BB5323" w:rsidRPr="00D44173">
        <w:rPr>
          <w:rFonts w:ascii="Times New Roman" w:hAnsi="Times New Roman"/>
          <w:color w:val="222222"/>
          <w:sz w:val="24"/>
          <w:szCs w:val="24"/>
          <w:shd w:val="clear" w:color="auto" w:fill="FFFFFF"/>
        </w:rPr>
        <w:t xml:space="preserve"> analysis, cells suspended in </w:t>
      </w:r>
      <w:r w:rsidRPr="00D44173">
        <w:rPr>
          <w:rFonts w:ascii="Times New Roman" w:hAnsi="Times New Roman"/>
          <w:color w:val="222222"/>
          <w:sz w:val="24"/>
          <w:szCs w:val="24"/>
          <w:shd w:val="clear" w:color="auto" w:fill="FFFFFF"/>
        </w:rPr>
        <w:t xml:space="preserve">phosphate buffered saline (PBS) </w:t>
      </w:r>
      <w:r w:rsidR="00BB5323" w:rsidRPr="00D44173">
        <w:rPr>
          <w:rFonts w:ascii="Times New Roman" w:hAnsi="Times New Roman"/>
          <w:color w:val="222222"/>
          <w:sz w:val="24"/>
          <w:szCs w:val="24"/>
          <w:shd w:val="clear" w:color="auto" w:fill="FFFFFF"/>
        </w:rPr>
        <w:t xml:space="preserve">were fixed with formaldehyde (2-4% final concentration) for 10 </w:t>
      </w:r>
      <w:r w:rsidR="00BB5323" w:rsidRPr="00D44173">
        <w:rPr>
          <w:rFonts w:ascii="Times New Roman" w:hAnsi="Times New Roman"/>
          <w:color w:val="222222"/>
          <w:sz w:val="24"/>
          <w:szCs w:val="24"/>
          <w:shd w:val="clear" w:color="auto" w:fill="FFFFFF"/>
        </w:rPr>
        <w:lastRenderedPageBreak/>
        <w:t xml:space="preserve">min, chilled for </w:t>
      </w:r>
      <w:r w:rsidR="00D91530" w:rsidRPr="00D44173">
        <w:rPr>
          <w:rFonts w:ascii="Times New Roman" w:hAnsi="Times New Roman"/>
          <w:color w:val="222222"/>
          <w:sz w:val="24"/>
          <w:szCs w:val="24"/>
          <w:shd w:val="clear" w:color="auto" w:fill="FFFFFF"/>
        </w:rPr>
        <w:t xml:space="preserve">20 </w:t>
      </w:r>
      <w:r w:rsidR="00BB5323" w:rsidRPr="00D44173">
        <w:rPr>
          <w:rFonts w:ascii="Times New Roman" w:hAnsi="Times New Roman"/>
          <w:color w:val="222222"/>
          <w:sz w:val="24"/>
          <w:szCs w:val="24"/>
          <w:shd w:val="clear" w:color="auto" w:fill="FFFFFF"/>
        </w:rPr>
        <w:t xml:space="preserve">min and then processed for </w:t>
      </w:r>
      <w:proofErr w:type="spellStart"/>
      <w:r w:rsidR="00BB5323" w:rsidRPr="00D44173">
        <w:rPr>
          <w:rFonts w:ascii="Times New Roman" w:hAnsi="Times New Roman"/>
          <w:color w:val="222222"/>
          <w:sz w:val="24"/>
          <w:szCs w:val="24"/>
          <w:shd w:val="clear" w:color="auto" w:fill="FFFFFF"/>
        </w:rPr>
        <w:t>immunostaining</w:t>
      </w:r>
      <w:proofErr w:type="spellEnd"/>
      <w:r w:rsidR="00BB5323" w:rsidRPr="00D44173">
        <w:rPr>
          <w:rFonts w:ascii="Times New Roman" w:hAnsi="Times New Roman"/>
          <w:color w:val="222222"/>
          <w:sz w:val="24"/>
          <w:szCs w:val="24"/>
          <w:shd w:val="clear" w:color="auto" w:fill="FFFFFF"/>
        </w:rPr>
        <w:t xml:space="preserve"> as described by Cell Signaling Technology {http://www.cellsignal.com/contents/resources-protocols/flow-cytometry-protocol-(flow)/flow; webpage Accessed July 22, 2014}. Briefly, non-specific </w:t>
      </w:r>
      <w:proofErr w:type="spellStart"/>
      <w:r w:rsidR="00BB5323" w:rsidRPr="00D44173">
        <w:rPr>
          <w:rFonts w:ascii="Times New Roman" w:hAnsi="Times New Roman"/>
          <w:color w:val="222222"/>
          <w:sz w:val="24"/>
          <w:szCs w:val="24"/>
          <w:shd w:val="clear" w:color="auto" w:fill="FFFFFF"/>
        </w:rPr>
        <w:t>mAb</w:t>
      </w:r>
      <w:proofErr w:type="spellEnd"/>
      <w:r w:rsidR="00BB5323" w:rsidRPr="00D44173">
        <w:rPr>
          <w:rFonts w:ascii="Times New Roman" w:hAnsi="Times New Roman"/>
          <w:color w:val="222222"/>
          <w:sz w:val="24"/>
          <w:szCs w:val="24"/>
          <w:shd w:val="clear" w:color="auto" w:fill="FFFFFF"/>
        </w:rPr>
        <w:t xml:space="preserve"> binding to human Fc receptor was blocked by pretreatment for 10 min at room temperature with human Fc receptor binding inhibitor (14-916, </w:t>
      </w:r>
      <w:proofErr w:type="spellStart"/>
      <w:r w:rsidR="00BB5323" w:rsidRPr="00D44173">
        <w:rPr>
          <w:rFonts w:ascii="Times New Roman" w:hAnsi="Times New Roman"/>
          <w:color w:val="222222"/>
          <w:sz w:val="24"/>
          <w:szCs w:val="24"/>
          <w:shd w:val="clear" w:color="auto" w:fill="FFFFFF"/>
        </w:rPr>
        <w:t>Affymetrix</w:t>
      </w:r>
      <w:proofErr w:type="spellEnd"/>
      <w:r w:rsidR="00BB5323" w:rsidRPr="00D44173">
        <w:rPr>
          <w:rFonts w:ascii="Times New Roman" w:hAnsi="Times New Roman"/>
          <w:color w:val="222222"/>
          <w:sz w:val="24"/>
          <w:szCs w:val="24"/>
          <w:shd w:val="clear" w:color="auto" w:fill="FFFFFF"/>
        </w:rPr>
        <w:t xml:space="preserve"> </w:t>
      </w:r>
      <w:proofErr w:type="spellStart"/>
      <w:r w:rsidR="00BB5323" w:rsidRPr="00D44173">
        <w:rPr>
          <w:rFonts w:ascii="Times New Roman" w:hAnsi="Times New Roman"/>
          <w:color w:val="222222"/>
          <w:sz w:val="24"/>
          <w:szCs w:val="24"/>
          <w:shd w:val="clear" w:color="auto" w:fill="FFFFFF"/>
        </w:rPr>
        <w:t>eBioscience</w:t>
      </w:r>
      <w:proofErr w:type="spellEnd"/>
      <w:r w:rsidR="00BB5323" w:rsidRPr="00D44173">
        <w:rPr>
          <w:rFonts w:ascii="Times New Roman" w:hAnsi="Times New Roman"/>
          <w:color w:val="222222"/>
          <w:sz w:val="24"/>
          <w:szCs w:val="24"/>
          <w:shd w:val="clear" w:color="auto" w:fill="FFFFFF"/>
        </w:rPr>
        <w:t xml:space="preserve">).  Antibody staining was performed in PBS containing 0.5% BSA using 0.5-1 x106 cells/assay for one hour at room temperature. </w:t>
      </w:r>
    </w:p>
    <w:p w:rsidR="00BB5323" w:rsidRPr="00D44173" w:rsidRDefault="00BB5323" w:rsidP="00C0213E">
      <w:pPr>
        <w:spacing w:line="480" w:lineRule="auto"/>
        <w:rPr>
          <w:rFonts w:ascii="Times New Roman" w:hAnsi="Times New Roman"/>
          <w:color w:val="222222"/>
          <w:sz w:val="24"/>
          <w:szCs w:val="24"/>
          <w:shd w:val="clear" w:color="auto" w:fill="FFFFFF"/>
        </w:rPr>
      </w:pPr>
      <w:r w:rsidRPr="00D44173">
        <w:rPr>
          <w:rFonts w:ascii="Times New Roman" w:hAnsi="Times New Roman"/>
          <w:color w:val="222222"/>
          <w:sz w:val="24"/>
          <w:szCs w:val="24"/>
          <w:shd w:val="clear" w:color="auto" w:fill="FFFFFF"/>
        </w:rPr>
        <w:t xml:space="preserve">Tumor cell fractions were positive for </w:t>
      </w:r>
      <w:proofErr w:type="spellStart"/>
      <w:r w:rsidRPr="00D44173">
        <w:rPr>
          <w:rFonts w:ascii="Times New Roman" w:hAnsi="Times New Roman"/>
          <w:color w:val="222222"/>
          <w:sz w:val="24"/>
          <w:szCs w:val="24"/>
          <w:shd w:val="clear" w:color="auto" w:fill="FFFFFF"/>
        </w:rPr>
        <w:t>EpCAM</w:t>
      </w:r>
      <w:proofErr w:type="spellEnd"/>
      <w:r w:rsidRPr="00D44173">
        <w:rPr>
          <w:rFonts w:ascii="Times New Roman" w:hAnsi="Times New Roman"/>
          <w:color w:val="222222"/>
          <w:sz w:val="24"/>
          <w:szCs w:val="24"/>
          <w:shd w:val="clear" w:color="auto" w:fill="FFFFFF"/>
        </w:rPr>
        <w:t xml:space="preserve"> (detected with </w:t>
      </w:r>
      <w:proofErr w:type="spellStart"/>
      <w:r w:rsidRPr="00D44173">
        <w:rPr>
          <w:rFonts w:ascii="Times New Roman" w:hAnsi="Times New Roman"/>
          <w:color w:val="222222"/>
          <w:sz w:val="24"/>
          <w:szCs w:val="24"/>
          <w:shd w:val="clear" w:color="auto" w:fill="FFFFFF"/>
        </w:rPr>
        <w:t>mAb</w:t>
      </w:r>
      <w:proofErr w:type="spellEnd"/>
      <w:r w:rsidRPr="00D44173">
        <w:rPr>
          <w:rFonts w:ascii="Times New Roman" w:hAnsi="Times New Roman"/>
          <w:color w:val="222222"/>
          <w:sz w:val="24"/>
          <w:szCs w:val="24"/>
          <w:shd w:val="clear" w:color="auto" w:fill="FFFFFF"/>
        </w:rPr>
        <w:t xml:space="preserve"> against </w:t>
      </w:r>
      <w:proofErr w:type="spellStart"/>
      <w:r w:rsidRPr="00D44173">
        <w:rPr>
          <w:rFonts w:ascii="Times New Roman" w:hAnsi="Times New Roman"/>
          <w:color w:val="222222"/>
          <w:sz w:val="24"/>
          <w:szCs w:val="24"/>
          <w:shd w:val="clear" w:color="auto" w:fill="FFFFFF"/>
        </w:rPr>
        <w:t>EpCAM</w:t>
      </w:r>
      <w:proofErr w:type="spellEnd"/>
      <w:r w:rsidRPr="00D44173">
        <w:rPr>
          <w:rFonts w:ascii="Times New Roman" w:hAnsi="Times New Roman"/>
          <w:color w:val="222222"/>
          <w:sz w:val="24"/>
          <w:szCs w:val="24"/>
          <w:shd w:val="clear" w:color="auto" w:fill="FFFFFF"/>
        </w:rPr>
        <w:t xml:space="preserve"> clone Ber-EP4, </w:t>
      </w:r>
      <w:proofErr w:type="spellStart"/>
      <w:r w:rsidRPr="00D44173">
        <w:rPr>
          <w:rFonts w:ascii="Times New Roman" w:hAnsi="Times New Roman"/>
          <w:color w:val="222222"/>
          <w:sz w:val="24"/>
          <w:szCs w:val="24"/>
          <w:shd w:val="clear" w:color="auto" w:fill="FFFFFF"/>
        </w:rPr>
        <w:t>Dako</w:t>
      </w:r>
      <w:proofErr w:type="spellEnd"/>
      <w:r w:rsidRPr="00D44173">
        <w:rPr>
          <w:rFonts w:ascii="Times New Roman" w:hAnsi="Times New Roman"/>
          <w:color w:val="222222"/>
          <w:sz w:val="24"/>
          <w:szCs w:val="24"/>
          <w:shd w:val="clear" w:color="auto" w:fill="FFFFFF"/>
        </w:rPr>
        <w:t xml:space="preserve">) and MUC16/CA125 (detected with a Cy5-labeled rabbit </w:t>
      </w:r>
      <w:proofErr w:type="spellStart"/>
      <w:r w:rsidRPr="00D44173">
        <w:rPr>
          <w:rFonts w:ascii="Times New Roman" w:hAnsi="Times New Roman"/>
          <w:color w:val="222222"/>
          <w:sz w:val="24"/>
          <w:szCs w:val="24"/>
          <w:shd w:val="clear" w:color="auto" w:fill="FFFFFF"/>
        </w:rPr>
        <w:t>pAb</w:t>
      </w:r>
      <w:proofErr w:type="spellEnd"/>
      <w:r w:rsidRPr="00D44173">
        <w:rPr>
          <w:rFonts w:ascii="Times New Roman" w:hAnsi="Times New Roman"/>
          <w:color w:val="222222"/>
          <w:sz w:val="24"/>
          <w:szCs w:val="24"/>
          <w:shd w:val="clear" w:color="auto" w:fill="FFFFFF"/>
        </w:rPr>
        <w:t xml:space="preserve"> directed against human MUC16/CA125; bs-0091R-Cy5, </w:t>
      </w:r>
      <w:proofErr w:type="spellStart"/>
      <w:r w:rsidRPr="00D44173">
        <w:rPr>
          <w:rFonts w:ascii="Times New Roman" w:hAnsi="Times New Roman"/>
          <w:color w:val="222222"/>
          <w:sz w:val="24"/>
          <w:szCs w:val="24"/>
          <w:shd w:val="clear" w:color="auto" w:fill="FFFFFF"/>
        </w:rPr>
        <w:t>Bioss</w:t>
      </w:r>
      <w:proofErr w:type="spellEnd"/>
      <w:r w:rsidRPr="00D44173">
        <w:rPr>
          <w:rFonts w:ascii="Times New Roman" w:hAnsi="Times New Roman"/>
          <w:color w:val="222222"/>
          <w:sz w:val="24"/>
          <w:szCs w:val="24"/>
          <w:shd w:val="clear" w:color="auto" w:fill="FFFFFF"/>
        </w:rPr>
        <w:t xml:space="preserve"> Antibodies) and negative for CD45 (detected with a PE-labeled rabbit </w:t>
      </w:r>
      <w:proofErr w:type="spellStart"/>
      <w:r w:rsidRPr="00D44173">
        <w:rPr>
          <w:rFonts w:ascii="Times New Roman" w:hAnsi="Times New Roman"/>
          <w:color w:val="222222"/>
          <w:sz w:val="24"/>
          <w:szCs w:val="24"/>
          <w:shd w:val="clear" w:color="auto" w:fill="FFFFFF"/>
        </w:rPr>
        <w:t>pAb</w:t>
      </w:r>
      <w:proofErr w:type="spellEnd"/>
      <w:r w:rsidRPr="00D44173">
        <w:rPr>
          <w:rFonts w:ascii="Times New Roman" w:hAnsi="Times New Roman"/>
          <w:color w:val="222222"/>
          <w:sz w:val="24"/>
          <w:szCs w:val="24"/>
          <w:shd w:val="clear" w:color="auto" w:fill="FFFFFF"/>
        </w:rPr>
        <w:t xml:space="preserve"> directed against human CD45/LCA, 12-9459, </w:t>
      </w:r>
      <w:proofErr w:type="spellStart"/>
      <w:r w:rsidRPr="00D44173">
        <w:rPr>
          <w:rFonts w:ascii="Times New Roman" w:hAnsi="Times New Roman"/>
          <w:color w:val="222222"/>
          <w:sz w:val="24"/>
          <w:szCs w:val="24"/>
          <w:shd w:val="clear" w:color="auto" w:fill="FFFFFF"/>
        </w:rPr>
        <w:t>Affymetrix</w:t>
      </w:r>
      <w:proofErr w:type="spellEnd"/>
      <w:r w:rsidRPr="00D44173">
        <w:rPr>
          <w:rFonts w:ascii="Times New Roman" w:hAnsi="Times New Roman"/>
          <w:color w:val="222222"/>
          <w:sz w:val="24"/>
          <w:szCs w:val="24"/>
          <w:shd w:val="clear" w:color="auto" w:fill="FFFFFF"/>
        </w:rPr>
        <w:t xml:space="preserve"> </w:t>
      </w:r>
      <w:proofErr w:type="spellStart"/>
      <w:r w:rsidRPr="00D44173">
        <w:rPr>
          <w:rFonts w:ascii="Times New Roman" w:hAnsi="Times New Roman"/>
          <w:color w:val="222222"/>
          <w:sz w:val="24"/>
          <w:szCs w:val="24"/>
          <w:shd w:val="clear" w:color="auto" w:fill="FFFFFF"/>
        </w:rPr>
        <w:t>eBioscience</w:t>
      </w:r>
      <w:proofErr w:type="spellEnd"/>
      <w:r w:rsidRPr="00D44173">
        <w:rPr>
          <w:rFonts w:ascii="Times New Roman" w:hAnsi="Times New Roman"/>
          <w:color w:val="222222"/>
          <w:sz w:val="24"/>
          <w:szCs w:val="24"/>
          <w:shd w:val="clear" w:color="auto" w:fill="FFFFFF"/>
        </w:rPr>
        <w:t>) (</w:t>
      </w:r>
      <w:r w:rsidR="00D91530" w:rsidRPr="00D44173">
        <w:rPr>
          <w:rFonts w:ascii="Times New Roman" w:hAnsi="Times New Roman"/>
          <w:color w:val="222222"/>
          <w:sz w:val="24"/>
          <w:szCs w:val="24"/>
          <w:shd w:val="clear" w:color="auto" w:fill="FFFFFF"/>
        </w:rPr>
        <w:t xml:space="preserve">supplemental </w:t>
      </w:r>
      <w:r w:rsidRPr="00D44173">
        <w:rPr>
          <w:rFonts w:ascii="Times New Roman" w:hAnsi="Times New Roman"/>
          <w:color w:val="222222"/>
          <w:sz w:val="24"/>
          <w:szCs w:val="24"/>
          <w:shd w:val="clear" w:color="auto" w:fill="FFFFFF"/>
        </w:rPr>
        <w:t>Figure S</w:t>
      </w:r>
      <w:r w:rsidR="00C0213E" w:rsidRPr="00D44173">
        <w:rPr>
          <w:rFonts w:ascii="Times New Roman" w:hAnsi="Times New Roman"/>
          <w:color w:val="222222"/>
          <w:sz w:val="24"/>
          <w:szCs w:val="24"/>
          <w:shd w:val="clear" w:color="auto" w:fill="FFFFFF"/>
        </w:rPr>
        <w:t>2</w:t>
      </w:r>
      <w:r w:rsidRPr="00D44173">
        <w:rPr>
          <w:rFonts w:ascii="Times New Roman" w:hAnsi="Times New Roman"/>
          <w:color w:val="222222"/>
          <w:sz w:val="24"/>
          <w:szCs w:val="24"/>
          <w:shd w:val="clear" w:color="auto" w:fill="FFFFFF"/>
        </w:rPr>
        <w:t xml:space="preserve">).  </w:t>
      </w:r>
    </w:p>
    <w:p w:rsidR="0046093D" w:rsidRPr="00D44173" w:rsidRDefault="0046093D" w:rsidP="00C0213E">
      <w:pPr>
        <w:spacing w:line="480" w:lineRule="auto"/>
        <w:rPr>
          <w:rFonts w:ascii="Times New Roman" w:hAnsi="Times New Roman"/>
          <w:color w:val="222222"/>
          <w:sz w:val="24"/>
          <w:szCs w:val="24"/>
          <w:shd w:val="clear" w:color="auto" w:fill="FFFFFF"/>
        </w:rPr>
      </w:pPr>
      <w:r w:rsidRPr="00D44173">
        <w:rPr>
          <w:rFonts w:ascii="Times New Roman" w:hAnsi="Times New Roman"/>
          <w:sz w:val="24"/>
          <w:szCs w:val="24"/>
        </w:rPr>
        <w:t>For analysis of GTPase activity</w:t>
      </w:r>
      <w:r w:rsidR="008550F4" w:rsidRPr="00D44173">
        <w:rPr>
          <w:rFonts w:ascii="Times New Roman" w:hAnsi="Times New Roman"/>
          <w:sz w:val="24"/>
          <w:szCs w:val="24"/>
        </w:rPr>
        <w:t xml:space="preserve"> in patient-derived cells</w:t>
      </w:r>
      <w:r w:rsidRPr="00D44173">
        <w:rPr>
          <w:rFonts w:ascii="Times New Roman" w:hAnsi="Times New Roman"/>
          <w:sz w:val="24"/>
          <w:szCs w:val="24"/>
        </w:rPr>
        <w:t xml:space="preserve">, active </w:t>
      </w:r>
      <w:proofErr w:type="spellStart"/>
      <w:r w:rsidRPr="00D44173">
        <w:rPr>
          <w:rFonts w:ascii="Times New Roman" w:hAnsi="Times New Roman"/>
          <w:sz w:val="24"/>
          <w:szCs w:val="24"/>
        </w:rPr>
        <w:t>RhoA</w:t>
      </w:r>
      <w:proofErr w:type="spellEnd"/>
      <w:r w:rsidRPr="00D44173">
        <w:rPr>
          <w:rFonts w:ascii="Times New Roman" w:hAnsi="Times New Roman"/>
          <w:sz w:val="24"/>
          <w:szCs w:val="24"/>
        </w:rPr>
        <w:t xml:space="preserve"> was quantified based on binding to GST-</w:t>
      </w:r>
      <w:proofErr w:type="spellStart"/>
      <w:r w:rsidRPr="00D44173">
        <w:rPr>
          <w:rFonts w:ascii="Times New Roman" w:hAnsi="Times New Roman"/>
          <w:sz w:val="24"/>
          <w:szCs w:val="24"/>
        </w:rPr>
        <w:t>Rhotekin</w:t>
      </w:r>
      <w:proofErr w:type="spellEnd"/>
      <w:r w:rsidRPr="00D44173">
        <w:rPr>
          <w:rFonts w:ascii="Times New Roman" w:hAnsi="Times New Roman"/>
          <w:sz w:val="24"/>
          <w:szCs w:val="24"/>
        </w:rPr>
        <w:t xml:space="preserve"> (RT01, Cytoskeleton, Inc.). Antibodies specific for Cdc42 (sc-8401, Santa Cruz Biotechnology, Inc.), Rac1 (610650, BD Transduction Labs) or </w:t>
      </w:r>
      <w:proofErr w:type="spellStart"/>
      <w:r w:rsidRPr="00D44173">
        <w:rPr>
          <w:rFonts w:ascii="Times New Roman" w:hAnsi="Times New Roman"/>
          <w:sz w:val="24"/>
          <w:szCs w:val="24"/>
        </w:rPr>
        <w:t>RhoA</w:t>
      </w:r>
      <w:proofErr w:type="spellEnd"/>
      <w:r w:rsidRPr="00D44173">
        <w:rPr>
          <w:rFonts w:ascii="Times New Roman" w:hAnsi="Times New Roman"/>
          <w:sz w:val="24"/>
          <w:szCs w:val="24"/>
        </w:rPr>
        <w:t xml:space="preserve"> (26C4, sc-418, Santa Cruz Biotechnology, Inc.) and Alexa Fluor 488 donkey anti-mouse </w:t>
      </w:r>
      <w:proofErr w:type="spellStart"/>
      <w:r w:rsidRPr="00D44173">
        <w:rPr>
          <w:rFonts w:ascii="Times New Roman" w:hAnsi="Times New Roman"/>
          <w:sz w:val="24"/>
          <w:szCs w:val="24"/>
        </w:rPr>
        <w:t>lgG</w:t>
      </w:r>
      <w:proofErr w:type="spellEnd"/>
      <w:r w:rsidRPr="00D44173">
        <w:rPr>
          <w:rFonts w:ascii="Times New Roman" w:hAnsi="Times New Roman"/>
          <w:sz w:val="24"/>
          <w:szCs w:val="24"/>
        </w:rPr>
        <w:t xml:space="preserve"> (A21202, Life Technologies) were also used.</w:t>
      </w:r>
    </w:p>
    <w:p w:rsidR="00BB5323" w:rsidRPr="00D44173" w:rsidRDefault="00BB5323" w:rsidP="00BB5323">
      <w:pPr>
        <w:spacing w:after="0" w:line="240" w:lineRule="auto"/>
        <w:rPr>
          <w:rFonts w:ascii="Times New Roman" w:hAnsi="Times New Roman"/>
          <w:color w:val="222222"/>
          <w:sz w:val="24"/>
          <w:szCs w:val="24"/>
          <w:u w:val="single"/>
          <w:shd w:val="clear" w:color="auto" w:fill="FFFFFF"/>
        </w:rPr>
      </w:pPr>
      <w:r w:rsidRPr="00D44173">
        <w:rPr>
          <w:rFonts w:ascii="Times New Roman" w:hAnsi="Times New Roman"/>
          <w:color w:val="222222"/>
          <w:sz w:val="24"/>
          <w:szCs w:val="24"/>
          <w:u w:val="single"/>
          <w:shd w:val="clear" w:color="auto" w:fill="FFFFFF"/>
        </w:rPr>
        <w:br w:type="page"/>
      </w:r>
    </w:p>
    <w:p w:rsidR="00560A5B" w:rsidRPr="00D44173" w:rsidRDefault="00560A5B" w:rsidP="00BB5323">
      <w:pPr>
        <w:spacing w:line="480" w:lineRule="auto"/>
        <w:rPr>
          <w:rFonts w:ascii="Times New Roman" w:hAnsi="Times New Roman"/>
          <w:b/>
          <w:color w:val="222222"/>
          <w:sz w:val="24"/>
          <w:szCs w:val="24"/>
          <w:shd w:val="clear" w:color="auto" w:fill="FFFFFF"/>
        </w:rPr>
      </w:pPr>
      <w:r w:rsidRPr="00D44173">
        <w:rPr>
          <w:rFonts w:ascii="Times New Roman" w:hAnsi="Times New Roman"/>
          <w:b/>
          <w:color w:val="222222"/>
          <w:sz w:val="24"/>
          <w:szCs w:val="24"/>
          <w:shd w:val="clear" w:color="auto" w:fill="FFFFFF"/>
        </w:rPr>
        <w:lastRenderedPageBreak/>
        <w:t>SUPPLEMENTAL TABLES</w:t>
      </w:r>
    </w:p>
    <w:p w:rsidR="00C0213E" w:rsidRPr="00D44173" w:rsidRDefault="00C0213E" w:rsidP="00BB5323">
      <w:pPr>
        <w:spacing w:line="480" w:lineRule="auto"/>
        <w:rPr>
          <w:rFonts w:ascii="Times New Roman" w:hAnsi="Times New Roman"/>
          <w:b/>
          <w:color w:val="222222"/>
          <w:sz w:val="24"/>
          <w:szCs w:val="24"/>
          <w:shd w:val="clear" w:color="auto" w:fill="FFFFFF"/>
        </w:rPr>
      </w:pPr>
      <w:r w:rsidRPr="00D44173">
        <w:rPr>
          <w:rFonts w:ascii="Times New Roman" w:hAnsi="Times New Roman"/>
          <w:b/>
          <w:color w:val="222222"/>
          <w:sz w:val="24"/>
          <w:szCs w:val="24"/>
          <w:shd w:val="clear" w:color="auto" w:fill="FFFFFF"/>
        </w:rPr>
        <w:t xml:space="preserve">Supplemental Table S1.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050"/>
        <w:gridCol w:w="2104"/>
        <w:gridCol w:w="2352"/>
      </w:tblGrid>
      <w:tr w:rsidR="00C0213E" w:rsidRPr="00D44173" w:rsidTr="00ED7706">
        <w:trPr>
          <w:trHeight w:val="212"/>
        </w:trPr>
        <w:tc>
          <w:tcPr>
            <w:tcW w:w="7506" w:type="dxa"/>
            <w:gridSpan w:val="3"/>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Table S1. Patient Characteristics for IHC Microarrays OV1005 and OV8010</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Age</w:t>
            </w:r>
            <w:r w:rsidRPr="00D44173">
              <w:rPr>
                <w:rFonts w:ascii="Times New Roman" w:hAnsi="Times New Roman"/>
                <w:sz w:val="24"/>
                <w:szCs w:val="24"/>
                <w:vertAlign w:val="superscript"/>
              </w:rPr>
              <w:t>#</w:t>
            </w:r>
          </w:p>
        </w:tc>
        <w:tc>
          <w:tcPr>
            <w:tcW w:w="4456" w:type="dxa"/>
            <w:gridSpan w:val="2"/>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46.6 +/- 13.7 (std. dev)</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Stage I</w:t>
            </w:r>
            <w:r w:rsidRPr="00D44173">
              <w:rPr>
                <w:rFonts w:ascii="Times New Roman" w:hAnsi="Times New Roman"/>
                <w:sz w:val="24"/>
                <w:szCs w:val="24"/>
                <w:vertAlign w:val="superscript"/>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12</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A</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5</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B</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5</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C</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4</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Stage II</w:t>
            </w:r>
            <w:r w:rsidRPr="00D44173">
              <w:rPr>
                <w:rFonts w:ascii="Times New Roman" w:hAnsi="Times New Roman"/>
                <w:sz w:val="24"/>
                <w:szCs w:val="24"/>
                <w:vertAlign w:val="superscript"/>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21</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A</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13</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B</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6</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C</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3</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Stage III</w:t>
            </w:r>
            <w:r w:rsidRPr="00D44173">
              <w:rPr>
                <w:rFonts w:ascii="Times New Roman" w:hAnsi="Times New Roman"/>
                <w:sz w:val="24"/>
                <w:szCs w:val="24"/>
                <w:vertAlign w:val="superscript"/>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1</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C</w:t>
            </w: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31</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Stage IV</w:t>
            </w:r>
            <w:r w:rsidRPr="00D44173">
              <w:rPr>
                <w:rFonts w:ascii="Times New Roman" w:hAnsi="Times New Roman"/>
                <w:sz w:val="24"/>
                <w:szCs w:val="24"/>
                <w:vertAlign w:val="superscript"/>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11</w:t>
            </w:r>
          </w:p>
        </w:tc>
      </w:tr>
      <w:tr w:rsidR="00C0213E" w:rsidRPr="00D44173" w:rsidTr="00443E23">
        <w:trPr>
          <w:trHeight w:val="212"/>
        </w:trPr>
        <w:tc>
          <w:tcPr>
            <w:tcW w:w="3050" w:type="dxa"/>
            <w:tcBorders>
              <w:bottom w:val="double" w:sz="4" w:space="0" w:color="auto"/>
            </w:tcBorders>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Stage undetermined</w:t>
            </w:r>
            <w:r w:rsidRPr="00D44173">
              <w:rPr>
                <w:rFonts w:ascii="Times New Roman" w:hAnsi="Times New Roman"/>
                <w:sz w:val="24"/>
                <w:szCs w:val="24"/>
                <w:vertAlign w:val="superscript"/>
              </w:rPr>
              <w:t>#</w:t>
            </w:r>
          </w:p>
        </w:tc>
        <w:tc>
          <w:tcPr>
            <w:tcW w:w="2104" w:type="dxa"/>
            <w:tcBorders>
              <w:bottom w:val="double" w:sz="4" w:space="0" w:color="auto"/>
            </w:tcBorders>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tcBorders>
              <w:bottom w:val="double" w:sz="4" w:space="0" w:color="auto"/>
            </w:tcBorders>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51</w:t>
            </w:r>
          </w:p>
        </w:tc>
      </w:tr>
      <w:tr w:rsidR="00C0213E" w:rsidRPr="00D44173" w:rsidTr="00443E23">
        <w:trPr>
          <w:trHeight w:val="212"/>
        </w:trPr>
        <w:tc>
          <w:tcPr>
            <w:tcW w:w="3050" w:type="dxa"/>
            <w:tcBorders>
              <w:top w:val="double" w:sz="4" w:space="0" w:color="auto"/>
            </w:tcBorders>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Normal stroma</w:t>
            </w:r>
          </w:p>
        </w:tc>
        <w:tc>
          <w:tcPr>
            <w:tcW w:w="2104" w:type="dxa"/>
            <w:tcBorders>
              <w:top w:val="double" w:sz="4" w:space="0" w:color="auto"/>
            </w:tcBorders>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tcBorders>
              <w:top w:val="double" w:sz="4" w:space="0" w:color="auto"/>
            </w:tcBorders>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20</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 xml:space="preserve">Benign/borderline </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25</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0519AF" w:rsidP="00ED7706">
            <w:pPr>
              <w:spacing w:after="0"/>
              <w:rPr>
                <w:rFonts w:ascii="Times New Roman" w:hAnsi="Times New Roman"/>
                <w:sz w:val="24"/>
                <w:szCs w:val="24"/>
              </w:rPr>
            </w:pPr>
            <w:r w:rsidRPr="00D44173">
              <w:rPr>
                <w:rFonts w:ascii="Times New Roman" w:hAnsi="Times New Roman"/>
                <w:sz w:val="24"/>
                <w:szCs w:val="24"/>
              </w:rPr>
              <w:t xml:space="preserve">Grade - </w:t>
            </w:r>
            <w:r w:rsidR="00C0213E" w:rsidRPr="00D44173">
              <w:rPr>
                <w:rFonts w:ascii="Times New Roman" w:hAnsi="Times New Roman"/>
                <w:sz w:val="24"/>
                <w:szCs w:val="24"/>
              </w:rPr>
              <w:t>Low* (1</w:t>
            </w:r>
            <w:r w:rsidR="00C0213E" w:rsidRPr="00D44173">
              <w:rPr>
                <w:rFonts w:ascii="Times New Roman" w:hAnsi="Times New Roman"/>
                <w:sz w:val="24"/>
                <w:szCs w:val="24"/>
                <w:vertAlign w:val="superscript"/>
              </w:rPr>
              <w:t>#</w:t>
            </w:r>
            <w:r w:rsidR="00C0213E" w:rsidRPr="00D44173">
              <w:rPr>
                <w:rFonts w:ascii="Times New Roman" w:hAnsi="Times New Roman"/>
                <w:sz w:val="24"/>
                <w:szCs w:val="24"/>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13</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0519AF" w:rsidP="00ED7706">
            <w:pPr>
              <w:spacing w:after="0"/>
              <w:rPr>
                <w:rFonts w:ascii="Times New Roman" w:hAnsi="Times New Roman"/>
                <w:sz w:val="24"/>
                <w:szCs w:val="24"/>
              </w:rPr>
            </w:pPr>
            <w:r w:rsidRPr="00D44173">
              <w:rPr>
                <w:rFonts w:ascii="Times New Roman" w:hAnsi="Times New Roman"/>
                <w:sz w:val="24"/>
                <w:szCs w:val="24"/>
              </w:rPr>
              <w:t xml:space="preserve">Grade - </w:t>
            </w:r>
            <w:r w:rsidR="00C0213E" w:rsidRPr="00D44173">
              <w:rPr>
                <w:rFonts w:ascii="Times New Roman" w:hAnsi="Times New Roman"/>
                <w:sz w:val="24"/>
                <w:szCs w:val="24"/>
              </w:rPr>
              <w:t>Intermediate* (1-2, 2</w:t>
            </w:r>
            <w:r w:rsidR="00C0213E" w:rsidRPr="00D44173">
              <w:rPr>
                <w:rFonts w:ascii="Times New Roman" w:hAnsi="Times New Roman"/>
                <w:sz w:val="24"/>
                <w:szCs w:val="24"/>
                <w:vertAlign w:val="superscript"/>
              </w:rPr>
              <w:t>#</w:t>
            </w:r>
            <w:r w:rsidR="00C0213E" w:rsidRPr="00D44173">
              <w:rPr>
                <w:rFonts w:ascii="Times New Roman" w:hAnsi="Times New Roman"/>
                <w:sz w:val="24"/>
                <w:szCs w:val="24"/>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7</w:t>
            </w:r>
          </w:p>
        </w:tc>
      </w:tr>
      <w:tr w:rsidR="00C0213E" w:rsidRPr="00D44173" w:rsidTr="00443E23">
        <w:trPr>
          <w:trHeight w:val="212"/>
        </w:trPr>
        <w:tc>
          <w:tcPr>
            <w:tcW w:w="3050" w:type="dxa"/>
            <w:shd w:val="clear" w:color="auto" w:fill="auto"/>
            <w:tcMar>
              <w:top w:w="12" w:type="dxa"/>
              <w:left w:w="12" w:type="dxa"/>
              <w:bottom w:w="0" w:type="dxa"/>
              <w:right w:w="12" w:type="dxa"/>
            </w:tcMar>
            <w:vAlign w:val="bottom"/>
          </w:tcPr>
          <w:p w:rsidR="00C0213E" w:rsidRPr="00D44173" w:rsidRDefault="00443E23" w:rsidP="00ED7706">
            <w:pPr>
              <w:spacing w:after="0"/>
              <w:rPr>
                <w:rFonts w:ascii="Times New Roman" w:hAnsi="Times New Roman"/>
                <w:sz w:val="24"/>
                <w:szCs w:val="24"/>
              </w:rPr>
            </w:pPr>
            <w:r w:rsidRPr="00D44173">
              <w:rPr>
                <w:rFonts w:ascii="Times New Roman" w:hAnsi="Times New Roman"/>
                <w:sz w:val="24"/>
                <w:szCs w:val="24"/>
              </w:rPr>
              <w:t xml:space="preserve">Grade - </w:t>
            </w:r>
            <w:r w:rsidR="00C0213E" w:rsidRPr="00D44173">
              <w:rPr>
                <w:rFonts w:ascii="Times New Roman" w:hAnsi="Times New Roman"/>
                <w:sz w:val="24"/>
                <w:szCs w:val="24"/>
              </w:rPr>
              <w:t>High* (2, 2-3, 3</w:t>
            </w:r>
            <w:r w:rsidR="00C0213E" w:rsidRPr="00D44173">
              <w:rPr>
                <w:rFonts w:ascii="Times New Roman" w:hAnsi="Times New Roman"/>
                <w:sz w:val="24"/>
                <w:szCs w:val="24"/>
                <w:vertAlign w:val="superscript"/>
              </w:rPr>
              <w:t>#</w:t>
            </w:r>
            <w:r w:rsidR="00C0213E" w:rsidRPr="00D44173">
              <w:rPr>
                <w:rFonts w:ascii="Times New Roman" w:hAnsi="Times New Roman"/>
                <w:sz w:val="24"/>
                <w:szCs w:val="24"/>
              </w:rPr>
              <w:t>)</w:t>
            </w:r>
          </w:p>
        </w:tc>
        <w:tc>
          <w:tcPr>
            <w:tcW w:w="2104"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p>
        </w:tc>
        <w:tc>
          <w:tcPr>
            <w:tcW w:w="2352" w:type="dxa"/>
            <w:shd w:val="clear" w:color="auto" w:fill="auto"/>
            <w:tcMar>
              <w:top w:w="12" w:type="dxa"/>
              <w:left w:w="12" w:type="dxa"/>
              <w:bottom w:w="0" w:type="dxa"/>
              <w:right w:w="12" w:type="dxa"/>
            </w:tcMar>
            <w:vAlign w:val="bottom"/>
          </w:tcPr>
          <w:p w:rsidR="00C0213E" w:rsidRPr="00D44173" w:rsidRDefault="00C0213E" w:rsidP="00ED7706">
            <w:pPr>
              <w:spacing w:after="0"/>
              <w:rPr>
                <w:rFonts w:ascii="Times New Roman" w:hAnsi="Times New Roman"/>
                <w:sz w:val="24"/>
                <w:szCs w:val="24"/>
              </w:rPr>
            </w:pPr>
            <w:r w:rsidRPr="00D44173">
              <w:rPr>
                <w:rFonts w:ascii="Times New Roman" w:hAnsi="Times New Roman"/>
                <w:sz w:val="24"/>
                <w:szCs w:val="24"/>
              </w:rPr>
              <w:t>98</w:t>
            </w:r>
          </w:p>
        </w:tc>
      </w:tr>
      <w:tr w:rsidR="00C0213E" w:rsidRPr="00D44173" w:rsidTr="00ED7706">
        <w:tc>
          <w:tcPr>
            <w:tcW w:w="7506" w:type="dxa"/>
            <w:gridSpan w:val="3"/>
            <w:shd w:val="clear" w:color="auto" w:fill="auto"/>
            <w:tcMar>
              <w:top w:w="12" w:type="dxa"/>
              <w:left w:w="12" w:type="dxa"/>
              <w:bottom w:w="0" w:type="dxa"/>
              <w:right w:w="12" w:type="dxa"/>
            </w:tcMar>
            <w:vAlign w:val="bottom"/>
          </w:tcPr>
          <w:p w:rsidR="00C0213E" w:rsidRPr="00D44173" w:rsidRDefault="00C0213E" w:rsidP="00B36A1D">
            <w:pPr>
              <w:spacing w:after="0"/>
              <w:rPr>
                <w:rFonts w:ascii="Times New Roman" w:hAnsi="Times New Roman"/>
                <w:sz w:val="24"/>
                <w:szCs w:val="24"/>
              </w:rPr>
            </w:pPr>
            <w:r w:rsidRPr="00D44173">
              <w:rPr>
                <w:rFonts w:ascii="Times New Roman" w:hAnsi="Times New Roman"/>
                <w:sz w:val="24"/>
                <w:szCs w:val="24"/>
              </w:rPr>
              <w:t xml:space="preserve">*Diagnoses by board certified pathologist with gynecologic pathology specialization were as follows:  Clear cell carcinoma (4); </w:t>
            </w:r>
            <w:r w:rsidR="00B36A1D" w:rsidRPr="00D44173">
              <w:rPr>
                <w:rFonts w:ascii="Times New Roman" w:hAnsi="Times New Roman"/>
                <w:sz w:val="24"/>
                <w:szCs w:val="24"/>
              </w:rPr>
              <w:t xml:space="preserve">endometrioid </w:t>
            </w:r>
            <w:r w:rsidRPr="00D44173">
              <w:rPr>
                <w:rFonts w:ascii="Times New Roman" w:hAnsi="Times New Roman"/>
                <w:sz w:val="24"/>
                <w:szCs w:val="24"/>
              </w:rPr>
              <w:t xml:space="preserve"> carcinoma (13); </w:t>
            </w:r>
            <w:r w:rsidR="00B36A1D" w:rsidRPr="00D44173">
              <w:rPr>
                <w:rFonts w:ascii="Times New Roman" w:hAnsi="Times New Roman"/>
                <w:sz w:val="24"/>
                <w:szCs w:val="24"/>
              </w:rPr>
              <w:t xml:space="preserve">endometrioid </w:t>
            </w:r>
            <w:r w:rsidRPr="00D44173">
              <w:rPr>
                <w:rFonts w:ascii="Times New Roman" w:hAnsi="Times New Roman"/>
                <w:sz w:val="24"/>
                <w:szCs w:val="24"/>
              </w:rPr>
              <w:t>neoplasm (5); mucinous carcinoma (4); mucinous neoplasm (9); mucinous cystadenoma (5); normal stroma only-no epithelia (20); papillary serous carcinoma (7</w:t>
            </w:r>
            <w:r w:rsidR="008550F4" w:rsidRPr="00D44173">
              <w:rPr>
                <w:rFonts w:ascii="Times New Roman" w:hAnsi="Times New Roman"/>
                <w:sz w:val="24"/>
                <w:szCs w:val="24"/>
              </w:rPr>
              <w:t>8</w:t>
            </w:r>
            <w:r w:rsidRPr="00D44173">
              <w:rPr>
                <w:rFonts w:ascii="Times New Roman" w:hAnsi="Times New Roman"/>
                <w:sz w:val="24"/>
                <w:szCs w:val="24"/>
              </w:rPr>
              <w:t xml:space="preserve">); serous neoplasm (5); serous cystadenoma (4); undifferentiated carcinoma (16). There was 77% agreement with </w:t>
            </w:r>
            <w:r w:rsidRPr="00D44173">
              <w:rPr>
                <w:rFonts w:ascii="Times New Roman" w:hAnsi="Times New Roman"/>
                <w:sz w:val="24"/>
                <w:szCs w:val="24"/>
                <w:vertAlign w:val="superscript"/>
              </w:rPr>
              <w:t>#</w:t>
            </w:r>
            <w:proofErr w:type="spellStart"/>
            <w:r w:rsidRPr="00D44173">
              <w:rPr>
                <w:rFonts w:ascii="Times New Roman" w:hAnsi="Times New Roman"/>
                <w:sz w:val="24"/>
                <w:szCs w:val="24"/>
              </w:rPr>
              <w:t>BioMax</w:t>
            </w:r>
            <w:proofErr w:type="spellEnd"/>
            <w:r w:rsidRPr="00D44173">
              <w:rPr>
                <w:rFonts w:ascii="Times New Roman" w:hAnsi="Times New Roman"/>
                <w:sz w:val="24"/>
                <w:szCs w:val="24"/>
              </w:rPr>
              <w:t xml:space="preserve"> specification sheet, differences were confined to ID of rarer subtypes (</w:t>
            </w:r>
            <w:r w:rsidR="00B36A1D" w:rsidRPr="00D44173">
              <w:rPr>
                <w:rFonts w:ascii="Times New Roman" w:hAnsi="Times New Roman"/>
                <w:sz w:val="24"/>
                <w:szCs w:val="24"/>
              </w:rPr>
              <w:t>endometrioid</w:t>
            </w:r>
            <w:r w:rsidRPr="00D44173">
              <w:rPr>
                <w:rFonts w:ascii="Times New Roman" w:hAnsi="Times New Roman"/>
                <w:sz w:val="24"/>
                <w:szCs w:val="24"/>
              </w:rPr>
              <w:t xml:space="preserve">, clear cell, mucinous, transitional and serous). Samples included in analysis: 163 of 180 total (9% were excluded due to poor staining at edge of slide or no neoplasm in the section). </w:t>
            </w:r>
          </w:p>
        </w:tc>
      </w:tr>
    </w:tbl>
    <w:p w:rsidR="00C0213E" w:rsidRPr="00D44173" w:rsidRDefault="00C0213E" w:rsidP="00BB5323">
      <w:pPr>
        <w:spacing w:line="480" w:lineRule="auto"/>
        <w:rPr>
          <w:rFonts w:ascii="Times New Roman" w:hAnsi="Times New Roman"/>
          <w:b/>
          <w:color w:val="222222"/>
          <w:sz w:val="24"/>
          <w:szCs w:val="24"/>
          <w:shd w:val="clear" w:color="auto" w:fill="FFFFFF"/>
        </w:rPr>
      </w:pPr>
    </w:p>
    <w:p w:rsidR="00C0213E" w:rsidRPr="00D44173" w:rsidRDefault="00C0213E">
      <w:pPr>
        <w:spacing w:after="160" w:line="259" w:lineRule="auto"/>
        <w:rPr>
          <w:rFonts w:ascii="Times New Roman" w:hAnsi="Times New Roman"/>
          <w:b/>
          <w:color w:val="222222"/>
          <w:sz w:val="24"/>
          <w:szCs w:val="24"/>
          <w:shd w:val="clear" w:color="auto" w:fill="FFFFFF"/>
        </w:rPr>
      </w:pPr>
      <w:r w:rsidRPr="00D44173">
        <w:rPr>
          <w:rFonts w:ascii="Times New Roman" w:hAnsi="Times New Roman"/>
          <w:b/>
          <w:color w:val="222222"/>
          <w:sz w:val="24"/>
          <w:szCs w:val="24"/>
          <w:shd w:val="clear" w:color="auto" w:fill="FFFFFF"/>
        </w:rPr>
        <w:br w:type="page"/>
      </w:r>
    </w:p>
    <w:p w:rsidR="00BB5323" w:rsidRPr="00D44173" w:rsidRDefault="00C0213E" w:rsidP="00BB5323">
      <w:pPr>
        <w:spacing w:line="480" w:lineRule="auto"/>
        <w:rPr>
          <w:rFonts w:ascii="Times New Roman" w:hAnsi="Times New Roman"/>
          <w:b/>
          <w:color w:val="222222"/>
          <w:sz w:val="24"/>
          <w:szCs w:val="24"/>
          <w:shd w:val="clear" w:color="auto" w:fill="FFFFFF"/>
        </w:rPr>
      </w:pPr>
      <w:r w:rsidRPr="00D44173">
        <w:rPr>
          <w:rFonts w:ascii="Times New Roman" w:hAnsi="Times New Roman"/>
          <w:b/>
          <w:color w:val="222222"/>
          <w:sz w:val="24"/>
          <w:szCs w:val="24"/>
          <w:shd w:val="clear" w:color="auto" w:fill="FFFFFF"/>
        </w:rPr>
        <w:lastRenderedPageBreak/>
        <w:t>Supplemental Table S2.</w:t>
      </w:r>
    </w:p>
    <w:tbl>
      <w:tblPr>
        <w:tblW w:w="7100" w:type="dxa"/>
        <w:tblLayout w:type="fixed"/>
        <w:tblCellMar>
          <w:left w:w="0" w:type="dxa"/>
          <w:right w:w="0" w:type="dxa"/>
        </w:tblCellMar>
        <w:tblLook w:val="0600" w:firstRow="0" w:lastRow="0" w:firstColumn="0" w:lastColumn="0" w:noHBand="1" w:noVBand="1"/>
      </w:tblPr>
      <w:tblGrid>
        <w:gridCol w:w="3500"/>
        <w:gridCol w:w="2610"/>
        <w:gridCol w:w="990"/>
      </w:tblGrid>
      <w:tr w:rsidR="00BB5323" w:rsidRPr="00D44173" w:rsidTr="00560A5B">
        <w:trPr>
          <w:trHeight w:val="206"/>
        </w:trPr>
        <w:tc>
          <w:tcPr>
            <w:tcW w:w="710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393A4D">
            <w:pPr>
              <w:spacing w:after="0"/>
              <w:rPr>
                <w:rFonts w:ascii="Times New Roman" w:hAnsi="Times New Roman"/>
                <w:sz w:val="24"/>
                <w:szCs w:val="24"/>
              </w:rPr>
            </w:pPr>
            <w:r w:rsidRPr="00D44173">
              <w:rPr>
                <w:rFonts w:ascii="Times New Roman" w:hAnsi="Times New Roman"/>
                <w:sz w:val="24"/>
                <w:szCs w:val="24"/>
              </w:rPr>
              <w:t>Table S</w:t>
            </w:r>
            <w:r w:rsidR="00393A4D" w:rsidRPr="00D44173">
              <w:rPr>
                <w:rFonts w:ascii="Times New Roman" w:hAnsi="Times New Roman"/>
                <w:sz w:val="24"/>
                <w:szCs w:val="24"/>
              </w:rPr>
              <w:t>2</w:t>
            </w:r>
            <w:r w:rsidRPr="00D44173">
              <w:rPr>
                <w:rFonts w:ascii="Times New Roman" w:hAnsi="Times New Roman"/>
                <w:sz w:val="24"/>
                <w:szCs w:val="24"/>
              </w:rPr>
              <w:t>. Patient Characteristics for cDNA Microarray</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Age</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57.26 -/+ 14.85 (</w:t>
            </w:r>
            <w:proofErr w:type="spellStart"/>
            <w:r w:rsidRPr="00D44173">
              <w:rPr>
                <w:rFonts w:ascii="Times New Roman" w:hAnsi="Times New Roman"/>
                <w:sz w:val="24"/>
                <w:szCs w:val="24"/>
              </w:rPr>
              <w:t>st.</w:t>
            </w:r>
            <w:proofErr w:type="spellEnd"/>
            <w:r w:rsidRPr="00D44173">
              <w:rPr>
                <w:rFonts w:ascii="Times New Roman" w:hAnsi="Times New Roman"/>
                <w:sz w:val="24"/>
                <w:szCs w:val="24"/>
              </w:rPr>
              <w:t xml:space="preserve"> dev)</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Stage 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20</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8</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10</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Stage II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4</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9</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4</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Stage III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15</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17</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26</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Stage IV</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10</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 xml:space="preserve">Grade Not Reported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10</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Grade 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9</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Grade II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32</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Grade III</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60</w:t>
            </w:r>
          </w:p>
        </w:tc>
      </w:tr>
      <w:tr w:rsidR="00BB5323" w:rsidRPr="00D44173" w:rsidTr="00560A5B">
        <w:trPr>
          <w:trHeight w:val="206"/>
        </w:trPr>
        <w:tc>
          <w:tcPr>
            <w:tcW w:w="35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Grade IV</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9</w:t>
            </w:r>
          </w:p>
        </w:tc>
      </w:tr>
      <w:tr w:rsidR="00BB5323" w:rsidRPr="00D44173" w:rsidTr="00560A5B">
        <w:trPr>
          <w:trHeight w:val="2663"/>
        </w:trPr>
        <w:tc>
          <w:tcPr>
            <w:tcW w:w="710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 xml:space="preserve">Diagnoses were as follows:  Carcinoma of Ovary (2); Carcinoma of ovary, endometrioid (6); Carcinoma of ovary, papillary serous (8); </w:t>
            </w:r>
          </w:p>
          <w:p w:rsidR="00BB5323" w:rsidRPr="00D44173" w:rsidRDefault="00BB5323" w:rsidP="00ED7706">
            <w:pPr>
              <w:spacing w:after="0"/>
              <w:rPr>
                <w:rFonts w:ascii="Times New Roman" w:hAnsi="Times New Roman"/>
                <w:sz w:val="24"/>
                <w:szCs w:val="24"/>
              </w:rPr>
            </w:pPr>
            <w:r w:rsidRPr="00D44173">
              <w:rPr>
                <w:rFonts w:ascii="Times New Roman" w:hAnsi="Times New Roman"/>
                <w:sz w:val="24"/>
                <w:szCs w:val="24"/>
              </w:rPr>
              <w:t>Carcinoma of ovary, clear cell (1); Adenocarcinoma of ovary, endometrioid (23); Adenocarcinoma of ovary, papillary serous (32); Adenocarcinoma of ovary, serous (28); Adenocarcinoma of ovary, metastatic (2); Adenocarcinoma of ovary, mucinous (4); Adenocarcinoma of ovary, clear cell (5); Tumor of ovary, borderline (2); Tumor of ovary, papillary serous, borderline (2); Tumor of ovary, serous, borderline (5)</w:t>
            </w:r>
          </w:p>
          <w:p w:rsidR="00C87D59" w:rsidRPr="00D44173" w:rsidRDefault="00C87D59" w:rsidP="00ED7706">
            <w:pPr>
              <w:spacing w:after="0"/>
              <w:rPr>
                <w:rFonts w:ascii="Times New Roman" w:hAnsi="Times New Roman"/>
                <w:sz w:val="24"/>
                <w:szCs w:val="24"/>
              </w:rPr>
            </w:pPr>
            <w:r w:rsidRPr="00D44173">
              <w:rPr>
                <w:rFonts w:ascii="Times New Roman" w:hAnsi="Times New Roman"/>
                <w:sz w:val="24"/>
                <w:szCs w:val="24"/>
              </w:rPr>
              <w:t>These microarray plates consisted of 19 normal, 9 Grade I, 32 Grade II, 60 Grade III, 9 Grade IV, and 10 grade not reported patients. Patients with grade not reported were not included in grade analysis.</w:t>
            </w:r>
          </w:p>
        </w:tc>
      </w:tr>
    </w:tbl>
    <w:p w:rsidR="00BB5323" w:rsidRPr="00D44173" w:rsidRDefault="00BB5323" w:rsidP="00BB5323">
      <w:pPr>
        <w:rPr>
          <w:rFonts w:ascii="Times New Roman" w:hAnsi="Times New Roman"/>
          <w:b/>
          <w:sz w:val="24"/>
          <w:szCs w:val="24"/>
        </w:rPr>
      </w:pPr>
    </w:p>
    <w:p w:rsidR="00393A4D" w:rsidRPr="00D44173" w:rsidRDefault="00393A4D">
      <w:pPr>
        <w:spacing w:after="160" w:line="259" w:lineRule="auto"/>
        <w:rPr>
          <w:rFonts w:ascii="Times New Roman" w:hAnsi="Times New Roman"/>
          <w:b/>
          <w:sz w:val="24"/>
          <w:szCs w:val="24"/>
        </w:rPr>
      </w:pPr>
      <w:r w:rsidRPr="00D44173">
        <w:rPr>
          <w:rFonts w:ascii="Times New Roman" w:hAnsi="Times New Roman"/>
          <w:b/>
          <w:sz w:val="24"/>
          <w:szCs w:val="24"/>
        </w:rPr>
        <w:br w:type="page"/>
      </w:r>
    </w:p>
    <w:p w:rsidR="00442628" w:rsidRPr="00D44173" w:rsidRDefault="00393A4D" w:rsidP="00BB5323">
      <w:pPr>
        <w:spacing w:after="0" w:line="240" w:lineRule="auto"/>
        <w:rPr>
          <w:rFonts w:ascii="Times New Roman" w:hAnsi="Times New Roman"/>
          <w:b/>
          <w:sz w:val="24"/>
          <w:szCs w:val="24"/>
        </w:rPr>
      </w:pPr>
      <w:r w:rsidRPr="00D44173">
        <w:rPr>
          <w:rFonts w:ascii="Times New Roman" w:hAnsi="Times New Roman"/>
          <w:b/>
          <w:sz w:val="24"/>
          <w:szCs w:val="24"/>
        </w:rPr>
        <w:lastRenderedPageBreak/>
        <w:t>Supplemental Table S3.</w:t>
      </w:r>
    </w:p>
    <w:p w:rsidR="00442628" w:rsidRPr="00D44173" w:rsidRDefault="00442628" w:rsidP="00BB5323">
      <w:pPr>
        <w:spacing w:after="0" w:line="240" w:lineRule="auto"/>
        <w:rPr>
          <w:rFonts w:ascii="Times New Roman" w:hAnsi="Times New Roman"/>
          <w:b/>
          <w:sz w:val="24"/>
          <w:szCs w:val="24"/>
        </w:rPr>
      </w:pPr>
    </w:p>
    <w:tbl>
      <w:tblPr>
        <w:tblW w:w="5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60"/>
        <w:gridCol w:w="1500"/>
        <w:gridCol w:w="1520"/>
      </w:tblGrid>
      <w:tr w:rsidR="00442628" w:rsidRPr="00D44173" w:rsidTr="00ED7706">
        <w:trPr>
          <w:trHeight w:val="584"/>
        </w:trPr>
        <w:tc>
          <w:tcPr>
            <w:tcW w:w="5280" w:type="dxa"/>
            <w:gridSpan w:val="3"/>
            <w:shd w:val="clear" w:color="auto" w:fill="auto"/>
            <w:tcMar>
              <w:top w:w="72" w:type="dxa"/>
              <w:left w:w="144" w:type="dxa"/>
              <w:bottom w:w="72" w:type="dxa"/>
              <w:right w:w="144" w:type="dxa"/>
            </w:tcMar>
          </w:tcPr>
          <w:p w:rsidR="00442628" w:rsidRPr="00D44173" w:rsidRDefault="00442628" w:rsidP="00ED7706">
            <w:pPr>
              <w:spacing w:after="0" w:line="240" w:lineRule="auto"/>
              <w:rPr>
                <w:rFonts w:ascii="Times New Roman" w:hAnsi="Times New Roman"/>
                <w:sz w:val="24"/>
                <w:szCs w:val="24"/>
              </w:rPr>
            </w:pPr>
            <w:r w:rsidRPr="00D44173">
              <w:rPr>
                <w:rFonts w:ascii="Times New Roman" w:hAnsi="Times New Roman"/>
                <w:sz w:val="24"/>
                <w:szCs w:val="24"/>
              </w:rPr>
              <w:t xml:space="preserve"> Table S3. Ketorolac enantiomer concentration in serum or peritoneal fluids.</w:t>
            </w:r>
          </w:p>
        </w:tc>
      </w:tr>
      <w:tr w:rsidR="00442628" w:rsidRPr="00D44173" w:rsidTr="00ED7706">
        <w:trPr>
          <w:trHeight w:val="616"/>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Sample</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 xml:space="preserve">[R] </w:t>
            </w:r>
            <w:r w:rsidRPr="00D44173">
              <w:rPr>
                <w:rFonts w:ascii="Times New Roman" w:hAnsi="Times New Roman"/>
                <w:sz w:val="24"/>
                <w:szCs w:val="24"/>
                <w:lang w:val="el-GR"/>
              </w:rPr>
              <w:t>μ</w:t>
            </w:r>
            <w:r w:rsidRPr="00D44173">
              <w:rPr>
                <w:rFonts w:ascii="Times New Roman" w:hAnsi="Times New Roman"/>
                <w:sz w:val="24"/>
                <w:szCs w:val="24"/>
              </w:rPr>
              <w:t>M</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 xml:space="preserve">[S] </w:t>
            </w:r>
            <w:r w:rsidRPr="00D44173">
              <w:rPr>
                <w:rFonts w:ascii="Times New Roman" w:hAnsi="Times New Roman"/>
                <w:sz w:val="24"/>
                <w:szCs w:val="24"/>
                <w:lang w:val="el-GR"/>
              </w:rPr>
              <w:t>μ</w:t>
            </w:r>
            <w:r w:rsidRPr="00D44173">
              <w:rPr>
                <w:rFonts w:ascii="Times New Roman" w:hAnsi="Times New Roman"/>
                <w:sz w:val="24"/>
                <w:szCs w:val="24"/>
              </w:rPr>
              <w:t>M</w:t>
            </w:r>
          </w:p>
        </w:tc>
      </w:tr>
      <w:tr w:rsidR="00442628" w:rsidRPr="00D44173" w:rsidTr="00ED7706">
        <w:trPr>
          <w:trHeight w:val="584"/>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Serum 1h</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3.97</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1.65</w:t>
            </w:r>
          </w:p>
        </w:tc>
      </w:tr>
      <w:tr w:rsidR="00442628" w:rsidRPr="00D44173" w:rsidTr="00ED7706">
        <w:trPr>
          <w:trHeight w:val="584"/>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Serum 6h</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1.44</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0.33</w:t>
            </w:r>
          </w:p>
        </w:tc>
      </w:tr>
      <w:tr w:rsidR="00442628" w:rsidRPr="00D44173" w:rsidTr="00ED7706">
        <w:trPr>
          <w:trHeight w:val="584"/>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Serum 24h</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0.40</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0.02</w:t>
            </w:r>
          </w:p>
        </w:tc>
      </w:tr>
      <w:tr w:rsidR="00442628" w:rsidRPr="00D44173" w:rsidTr="00ED7706">
        <w:trPr>
          <w:trHeight w:val="584"/>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Ascites 1h</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0.5</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0.33</w:t>
            </w:r>
          </w:p>
        </w:tc>
      </w:tr>
      <w:tr w:rsidR="00442628" w:rsidRPr="00D44173" w:rsidTr="00ED7706">
        <w:trPr>
          <w:trHeight w:val="584"/>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Ascites 6h</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0.98</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0.32</w:t>
            </w:r>
          </w:p>
        </w:tc>
      </w:tr>
      <w:tr w:rsidR="00442628" w:rsidRPr="00D44173" w:rsidTr="00ED7706">
        <w:trPr>
          <w:trHeight w:val="584"/>
        </w:trPr>
        <w:tc>
          <w:tcPr>
            <w:tcW w:w="226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Ascites 24h</w:t>
            </w:r>
          </w:p>
        </w:tc>
        <w:tc>
          <w:tcPr>
            <w:tcW w:w="150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0.27</w:t>
            </w:r>
          </w:p>
        </w:tc>
        <w:tc>
          <w:tcPr>
            <w:tcW w:w="1520" w:type="dxa"/>
            <w:shd w:val="clear" w:color="auto" w:fill="auto"/>
            <w:tcMar>
              <w:top w:w="72" w:type="dxa"/>
              <w:left w:w="144" w:type="dxa"/>
              <w:bottom w:w="72" w:type="dxa"/>
              <w:right w:w="144" w:type="dxa"/>
            </w:tcMar>
          </w:tcPr>
          <w:p w:rsidR="00442628" w:rsidRPr="00D44173" w:rsidRDefault="00442628" w:rsidP="00ED7706">
            <w:pPr>
              <w:spacing w:after="0" w:line="240" w:lineRule="auto"/>
              <w:contextualSpacing/>
              <w:rPr>
                <w:rFonts w:ascii="Times New Roman" w:hAnsi="Times New Roman"/>
                <w:sz w:val="24"/>
                <w:szCs w:val="24"/>
              </w:rPr>
            </w:pPr>
            <w:r w:rsidRPr="00D44173">
              <w:rPr>
                <w:rFonts w:ascii="Times New Roman" w:hAnsi="Times New Roman"/>
                <w:sz w:val="24"/>
                <w:szCs w:val="24"/>
              </w:rPr>
              <w:t>0.03</w:t>
            </w:r>
          </w:p>
        </w:tc>
      </w:tr>
    </w:tbl>
    <w:p w:rsidR="00442628" w:rsidRPr="00D44173" w:rsidRDefault="00442628" w:rsidP="00442628">
      <w:pPr>
        <w:rPr>
          <w:rFonts w:ascii="Times New Roman" w:hAnsi="Times New Roman"/>
          <w:bCs/>
          <w:sz w:val="24"/>
          <w:szCs w:val="24"/>
        </w:rPr>
      </w:pPr>
    </w:p>
    <w:p w:rsidR="00BB5323" w:rsidRPr="00D44173" w:rsidRDefault="00BB5323" w:rsidP="00BB5323">
      <w:pPr>
        <w:spacing w:after="0" w:line="240" w:lineRule="auto"/>
        <w:rPr>
          <w:rFonts w:ascii="Times New Roman" w:hAnsi="Times New Roman"/>
          <w:b/>
          <w:sz w:val="24"/>
          <w:szCs w:val="24"/>
        </w:rPr>
      </w:pPr>
      <w:r w:rsidRPr="00D44173">
        <w:rPr>
          <w:rFonts w:ascii="Times New Roman" w:hAnsi="Times New Roman"/>
          <w:b/>
          <w:sz w:val="24"/>
          <w:szCs w:val="24"/>
        </w:rPr>
        <w:br w:type="page"/>
      </w:r>
    </w:p>
    <w:p w:rsidR="00BB5323" w:rsidRPr="00D44173" w:rsidRDefault="00BB5323" w:rsidP="00BB5323">
      <w:pPr>
        <w:rPr>
          <w:rFonts w:ascii="Times New Roman" w:hAnsi="Times New Roman"/>
          <w:b/>
          <w:sz w:val="24"/>
          <w:szCs w:val="24"/>
        </w:rPr>
      </w:pPr>
      <w:r w:rsidRPr="00D44173">
        <w:rPr>
          <w:rFonts w:ascii="Times New Roman" w:hAnsi="Times New Roman"/>
          <w:b/>
          <w:sz w:val="24"/>
          <w:szCs w:val="24"/>
        </w:rPr>
        <w:lastRenderedPageBreak/>
        <w:t>S</w:t>
      </w:r>
      <w:r w:rsidR="00560A5B" w:rsidRPr="00D44173">
        <w:rPr>
          <w:rFonts w:ascii="Times New Roman" w:hAnsi="Times New Roman"/>
          <w:b/>
          <w:sz w:val="24"/>
          <w:szCs w:val="24"/>
        </w:rPr>
        <w:t>UPPLEMENTAL FIGURES</w:t>
      </w:r>
    </w:p>
    <w:p w:rsidR="00C004F6" w:rsidRPr="00D44173" w:rsidRDefault="00C004F6" w:rsidP="00745948">
      <w:pPr>
        <w:spacing w:line="240" w:lineRule="auto"/>
        <w:rPr>
          <w:rFonts w:ascii="Times New Roman" w:hAnsi="Times New Roman"/>
          <w:b/>
          <w:sz w:val="24"/>
          <w:szCs w:val="24"/>
        </w:rPr>
      </w:pPr>
      <w:r w:rsidRPr="00D44173">
        <w:rPr>
          <w:rFonts w:ascii="Times New Roman" w:hAnsi="Times New Roman"/>
          <w:b/>
          <w:sz w:val="24"/>
          <w:szCs w:val="24"/>
        </w:rPr>
        <w:t>Supplemental Figure S1. Expression of Rho-family GTPases in primary patient cDNA samples analyzed by grade for serous cancer only.</w:t>
      </w:r>
    </w:p>
    <w:p w:rsidR="00A00901" w:rsidRPr="00D44173" w:rsidRDefault="00745948" w:rsidP="00C004F6">
      <w:pPr>
        <w:spacing w:line="480" w:lineRule="auto"/>
        <w:rPr>
          <w:spacing w:val="1"/>
        </w:rPr>
      </w:pPr>
      <w:r>
        <w:rPr>
          <w:rFonts w:ascii="Times New Roman" w:hAnsi="Times New Roman"/>
          <w:b/>
          <w:spacing w:val="1"/>
          <w:sz w:val="24"/>
          <w:szCs w:val="24"/>
        </w:rPr>
        <w:t xml:space="preserve">Supplemental </w:t>
      </w:r>
      <w:r w:rsidR="00A23EAE" w:rsidRPr="00D44173">
        <w:rPr>
          <w:rFonts w:ascii="Times New Roman" w:hAnsi="Times New Roman"/>
          <w:b/>
          <w:sz w:val="24"/>
          <w:szCs w:val="24"/>
        </w:rPr>
        <w:t xml:space="preserve">Figure S1: </w:t>
      </w:r>
      <w:proofErr w:type="spellStart"/>
      <w:r w:rsidR="00A639D6" w:rsidRPr="00D44173">
        <w:rPr>
          <w:rFonts w:ascii="Times New Roman" w:hAnsi="Times New Roman"/>
          <w:spacing w:val="1"/>
          <w:sz w:val="24"/>
          <w:szCs w:val="24"/>
        </w:rPr>
        <w:t>Tissuescan</w:t>
      </w:r>
      <w:proofErr w:type="spellEnd"/>
      <w:r w:rsidR="00A639D6" w:rsidRPr="00D44173">
        <w:rPr>
          <w:rFonts w:ascii="Times New Roman" w:hAnsi="Times New Roman"/>
          <w:spacing w:val="1"/>
          <w:sz w:val="24"/>
          <w:szCs w:val="24"/>
        </w:rPr>
        <w:t xml:space="preserve"> ovarian cancer cDNA microarrays (</w:t>
      </w:r>
      <w:proofErr w:type="spellStart"/>
      <w:r w:rsidR="00A639D6" w:rsidRPr="00D44173">
        <w:rPr>
          <w:rFonts w:ascii="Times New Roman" w:hAnsi="Times New Roman"/>
          <w:spacing w:val="1"/>
          <w:sz w:val="24"/>
          <w:szCs w:val="24"/>
        </w:rPr>
        <w:t>Origene</w:t>
      </w:r>
      <w:proofErr w:type="spellEnd"/>
      <w:r w:rsidR="00A639D6" w:rsidRPr="00D44173">
        <w:rPr>
          <w:rFonts w:ascii="Times New Roman" w:hAnsi="Times New Roman"/>
          <w:spacing w:val="1"/>
          <w:sz w:val="24"/>
          <w:szCs w:val="24"/>
        </w:rPr>
        <w:t xml:space="preserve">) were amplified using primers against Rac1, Rac1b, Cdc42, </w:t>
      </w:r>
      <w:proofErr w:type="spellStart"/>
      <w:r w:rsidR="00A639D6" w:rsidRPr="00D44173">
        <w:rPr>
          <w:rFonts w:ascii="Times New Roman" w:hAnsi="Times New Roman"/>
          <w:spacing w:val="1"/>
          <w:sz w:val="24"/>
          <w:szCs w:val="24"/>
        </w:rPr>
        <w:t>RhoA</w:t>
      </w:r>
      <w:proofErr w:type="spellEnd"/>
      <w:r w:rsidR="00A639D6" w:rsidRPr="00D44173">
        <w:rPr>
          <w:rFonts w:ascii="Times New Roman" w:hAnsi="Times New Roman"/>
          <w:spacing w:val="1"/>
          <w:sz w:val="24"/>
          <w:szCs w:val="24"/>
        </w:rPr>
        <w:t xml:space="preserve">, and </w:t>
      </w:r>
      <w:r w:rsidR="00A639D6" w:rsidRPr="00D44173">
        <w:rPr>
          <w:rFonts w:ascii="Times New Roman" w:hAnsi="Times New Roman"/>
          <w:spacing w:val="1"/>
          <w:sz w:val="24"/>
          <w:szCs w:val="24"/>
          <w:lang w:val="el-GR"/>
        </w:rPr>
        <w:t>β</w:t>
      </w:r>
      <w:r w:rsidR="00A639D6" w:rsidRPr="00D44173">
        <w:rPr>
          <w:rFonts w:ascii="Times New Roman" w:hAnsi="Times New Roman"/>
          <w:spacing w:val="1"/>
          <w:sz w:val="24"/>
          <w:szCs w:val="24"/>
        </w:rPr>
        <w:t xml:space="preserve">-actin as described in methods. This analysis does not include endometrioid tissue.  As per the manufacturer description, patients with leiomyoma of myometrium, follicular cysts, abscesses, or secretory endometrium, but otherwise healthy ovarian tissue, were considered normal (n=11). Data from two normal patients were not included due to Grade 3 carcinomas of adjacent tissues. </w:t>
      </w:r>
      <w:r w:rsidR="00A00901" w:rsidRPr="00D44173">
        <w:rPr>
          <w:rFonts w:ascii="Times New Roman" w:hAnsi="Times New Roman"/>
          <w:spacing w:val="1"/>
          <w:sz w:val="24"/>
          <w:szCs w:val="24"/>
        </w:rPr>
        <w:t xml:space="preserve">Tissues are grade I (n=2), grade II (n=24), grade III (n=48), or grade IV (n=9). The cDNA of 10 patients </w:t>
      </w:r>
      <w:r w:rsidR="00ED7706" w:rsidRPr="00D44173">
        <w:rPr>
          <w:rFonts w:ascii="Times New Roman" w:hAnsi="Times New Roman"/>
          <w:spacing w:val="1"/>
          <w:sz w:val="24"/>
          <w:szCs w:val="24"/>
        </w:rPr>
        <w:t xml:space="preserve">were excluded due to a lack of </w:t>
      </w:r>
      <w:r w:rsidR="00A00901" w:rsidRPr="00D44173">
        <w:rPr>
          <w:rFonts w:ascii="Times New Roman" w:hAnsi="Times New Roman"/>
          <w:spacing w:val="1"/>
          <w:sz w:val="24"/>
          <w:szCs w:val="24"/>
        </w:rPr>
        <w:t>grade information. Groups were compared to normal cDNA using a two-tailed t-test, * indicates significance is p</w:t>
      </w:r>
      <w:r w:rsidR="00A00901" w:rsidRPr="00D44173">
        <w:rPr>
          <w:rFonts w:ascii="Times New Roman" w:hAnsi="Times New Roman"/>
          <w:spacing w:val="1"/>
          <w:sz w:val="24"/>
          <w:szCs w:val="24"/>
          <w:u w:val="single"/>
        </w:rPr>
        <w:t>&lt;</w:t>
      </w:r>
      <w:r w:rsidR="00A00901" w:rsidRPr="00D44173">
        <w:rPr>
          <w:rFonts w:ascii="Times New Roman" w:hAnsi="Times New Roman"/>
          <w:spacing w:val="1"/>
          <w:sz w:val="24"/>
          <w:szCs w:val="24"/>
        </w:rPr>
        <w:t>0.05.</w:t>
      </w:r>
    </w:p>
    <w:p w:rsidR="00A23EAE" w:rsidRPr="00D44173" w:rsidRDefault="00C004F6" w:rsidP="00745948">
      <w:pPr>
        <w:spacing w:line="240" w:lineRule="auto"/>
        <w:rPr>
          <w:rFonts w:ascii="Times New Roman" w:hAnsi="Times New Roman"/>
          <w:bCs/>
          <w:sz w:val="24"/>
          <w:szCs w:val="24"/>
        </w:rPr>
      </w:pPr>
      <w:r w:rsidRPr="00D44173">
        <w:rPr>
          <w:rFonts w:ascii="Times New Roman" w:hAnsi="Times New Roman"/>
          <w:b/>
          <w:spacing w:val="1"/>
          <w:sz w:val="24"/>
          <w:szCs w:val="24"/>
        </w:rPr>
        <w:t xml:space="preserve">Supplemental Figure S2. </w:t>
      </w:r>
      <w:r w:rsidRPr="00D44173">
        <w:rPr>
          <w:rFonts w:ascii="Times New Roman" w:hAnsi="Times New Roman"/>
          <w:b/>
          <w:bCs/>
          <w:sz w:val="24"/>
          <w:szCs w:val="24"/>
        </w:rPr>
        <w:t xml:space="preserve">Purified Ovarian Tumor Cells Express </w:t>
      </w:r>
      <w:proofErr w:type="spellStart"/>
      <w:r w:rsidRPr="00D44173">
        <w:rPr>
          <w:rFonts w:ascii="Times New Roman" w:hAnsi="Times New Roman"/>
          <w:b/>
          <w:bCs/>
          <w:sz w:val="24"/>
          <w:szCs w:val="24"/>
        </w:rPr>
        <w:t>EpCam</w:t>
      </w:r>
      <w:proofErr w:type="spellEnd"/>
      <w:r w:rsidRPr="00D44173">
        <w:rPr>
          <w:rFonts w:ascii="Times New Roman" w:hAnsi="Times New Roman"/>
          <w:b/>
          <w:bCs/>
          <w:sz w:val="24"/>
          <w:szCs w:val="24"/>
        </w:rPr>
        <w:t xml:space="preserve"> and MUC16/CA125.</w:t>
      </w:r>
    </w:p>
    <w:p w:rsidR="00D66B99" w:rsidRPr="00D44173" w:rsidRDefault="00745948" w:rsidP="00D66B99">
      <w:pPr>
        <w:spacing w:line="480" w:lineRule="auto"/>
        <w:rPr>
          <w:rFonts w:ascii="Times New Roman" w:hAnsi="Times New Roman"/>
          <w:bCs/>
          <w:sz w:val="24"/>
          <w:szCs w:val="24"/>
        </w:rPr>
      </w:pPr>
      <w:r>
        <w:rPr>
          <w:rFonts w:ascii="Times New Roman" w:hAnsi="Times New Roman"/>
          <w:b/>
          <w:spacing w:val="1"/>
          <w:sz w:val="24"/>
          <w:szCs w:val="24"/>
        </w:rPr>
        <w:t xml:space="preserve">Supplemental </w:t>
      </w:r>
      <w:r w:rsidR="00D66B99" w:rsidRPr="00D44173">
        <w:rPr>
          <w:rFonts w:ascii="Times New Roman" w:hAnsi="Times New Roman"/>
          <w:b/>
          <w:bCs/>
          <w:sz w:val="24"/>
          <w:szCs w:val="24"/>
        </w:rPr>
        <w:t xml:space="preserve">Figure S2. </w:t>
      </w:r>
      <w:r w:rsidR="00D66B99" w:rsidRPr="00D44173">
        <w:rPr>
          <w:rFonts w:ascii="Times New Roman" w:hAnsi="Times New Roman"/>
          <w:bCs/>
          <w:sz w:val="24"/>
          <w:szCs w:val="24"/>
        </w:rPr>
        <w:t>Ovarian tumor cell identification</w:t>
      </w:r>
      <w:r w:rsidR="004C5DA5" w:rsidRPr="00D44173">
        <w:rPr>
          <w:rFonts w:ascii="Times New Roman" w:hAnsi="Times New Roman"/>
          <w:bCs/>
          <w:sz w:val="24"/>
          <w:szCs w:val="24"/>
        </w:rPr>
        <w:t xml:space="preserve"> by flow cytometry</w:t>
      </w:r>
      <w:r w:rsidR="00D66B99" w:rsidRPr="00D44173">
        <w:rPr>
          <w:rFonts w:ascii="Times New Roman" w:hAnsi="Times New Roman"/>
          <w:bCs/>
          <w:sz w:val="24"/>
          <w:szCs w:val="24"/>
        </w:rPr>
        <w:t xml:space="preserve"> </w:t>
      </w:r>
      <w:r w:rsidR="004C5DA5" w:rsidRPr="00D44173">
        <w:rPr>
          <w:rFonts w:ascii="Times New Roman" w:hAnsi="Times New Roman"/>
          <w:bCs/>
          <w:sz w:val="24"/>
          <w:szCs w:val="24"/>
        </w:rPr>
        <w:t xml:space="preserve">using </w:t>
      </w:r>
      <w:r w:rsidR="00D66B99" w:rsidRPr="00D44173">
        <w:rPr>
          <w:rFonts w:ascii="Times New Roman" w:hAnsi="Times New Roman"/>
          <w:bCs/>
          <w:sz w:val="24"/>
          <w:szCs w:val="24"/>
        </w:rPr>
        <w:t>patient</w:t>
      </w:r>
      <w:r w:rsidR="004C5DA5" w:rsidRPr="00D44173">
        <w:rPr>
          <w:rFonts w:ascii="Times New Roman" w:hAnsi="Times New Roman"/>
          <w:bCs/>
          <w:sz w:val="24"/>
          <w:szCs w:val="24"/>
        </w:rPr>
        <w:t xml:space="preserve"> ascites samples</w:t>
      </w:r>
      <w:r w:rsidR="00D66B99" w:rsidRPr="00D44173">
        <w:rPr>
          <w:rFonts w:ascii="Times New Roman" w:hAnsi="Times New Roman"/>
          <w:bCs/>
          <w:sz w:val="24"/>
          <w:szCs w:val="24"/>
        </w:rPr>
        <w:t xml:space="preserve"> </w:t>
      </w:r>
      <w:r w:rsidR="004C5DA5" w:rsidRPr="00D44173">
        <w:rPr>
          <w:rFonts w:ascii="Times New Roman" w:hAnsi="Times New Roman"/>
          <w:bCs/>
          <w:sz w:val="24"/>
          <w:szCs w:val="24"/>
        </w:rPr>
        <w:t xml:space="preserve">from three individuals (designated </w:t>
      </w:r>
      <w:r w:rsidR="00D66B99" w:rsidRPr="00D44173">
        <w:rPr>
          <w:rFonts w:ascii="Times New Roman" w:hAnsi="Times New Roman"/>
          <w:bCs/>
          <w:sz w:val="24"/>
          <w:szCs w:val="24"/>
        </w:rPr>
        <w:t>29, 30, and 35</w:t>
      </w:r>
      <w:r w:rsidR="004C5DA5" w:rsidRPr="00D44173">
        <w:rPr>
          <w:rFonts w:ascii="Times New Roman" w:hAnsi="Times New Roman"/>
          <w:bCs/>
          <w:sz w:val="24"/>
          <w:szCs w:val="24"/>
        </w:rPr>
        <w:t>)</w:t>
      </w:r>
      <w:r w:rsidR="00D66B99" w:rsidRPr="00D44173">
        <w:rPr>
          <w:rFonts w:ascii="Times New Roman" w:hAnsi="Times New Roman"/>
          <w:bCs/>
          <w:sz w:val="24"/>
          <w:szCs w:val="24"/>
        </w:rPr>
        <w:t xml:space="preserve">. </w:t>
      </w:r>
      <w:r w:rsidR="004C5DA5" w:rsidRPr="00D44173">
        <w:rPr>
          <w:rFonts w:ascii="Times New Roman" w:hAnsi="Times New Roman"/>
          <w:bCs/>
          <w:sz w:val="24"/>
          <w:szCs w:val="24"/>
        </w:rPr>
        <w:t>Tumor c</w:t>
      </w:r>
      <w:r w:rsidR="00D66B99" w:rsidRPr="00D44173">
        <w:rPr>
          <w:rFonts w:ascii="Times New Roman" w:hAnsi="Times New Roman"/>
          <w:bCs/>
          <w:sz w:val="24"/>
          <w:szCs w:val="24"/>
        </w:rPr>
        <w:t xml:space="preserve">ells were purified from ascites using </w:t>
      </w:r>
      <w:proofErr w:type="spellStart"/>
      <w:r w:rsidR="00D66B99" w:rsidRPr="00D44173">
        <w:rPr>
          <w:rFonts w:ascii="Times New Roman" w:hAnsi="Times New Roman"/>
          <w:bCs/>
          <w:sz w:val="24"/>
          <w:szCs w:val="24"/>
        </w:rPr>
        <w:t>Ficoll</w:t>
      </w:r>
      <w:proofErr w:type="spellEnd"/>
      <w:r w:rsidR="00D66B99" w:rsidRPr="00D44173">
        <w:rPr>
          <w:rFonts w:ascii="Times New Roman" w:hAnsi="Times New Roman"/>
          <w:bCs/>
          <w:sz w:val="24"/>
          <w:szCs w:val="24"/>
        </w:rPr>
        <w:t xml:space="preserve"> gradients to remove red blood cells and CD45 </w:t>
      </w:r>
      <w:proofErr w:type="spellStart"/>
      <w:r w:rsidR="00AA5F72" w:rsidRPr="00D44173">
        <w:rPr>
          <w:rFonts w:ascii="Times New Roman" w:hAnsi="Times New Roman"/>
          <w:bCs/>
          <w:sz w:val="24"/>
          <w:szCs w:val="24"/>
        </w:rPr>
        <w:t>microbead</w:t>
      </w:r>
      <w:proofErr w:type="spellEnd"/>
      <w:r w:rsidR="00AA5F72" w:rsidRPr="00D44173">
        <w:rPr>
          <w:rFonts w:ascii="Times New Roman" w:hAnsi="Times New Roman"/>
          <w:bCs/>
          <w:sz w:val="24"/>
          <w:szCs w:val="24"/>
        </w:rPr>
        <w:t xml:space="preserve"> </w:t>
      </w:r>
      <w:r w:rsidR="00D66B99" w:rsidRPr="00D44173">
        <w:rPr>
          <w:rFonts w:ascii="Times New Roman" w:hAnsi="Times New Roman"/>
          <w:bCs/>
          <w:sz w:val="24"/>
          <w:szCs w:val="24"/>
        </w:rPr>
        <w:t>negative selection</w:t>
      </w:r>
      <w:r w:rsidR="00AA5F72" w:rsidRPr="00D44173">
        <w:rPr>
          <w:rFonts w:ascii="Times New Roman" w:hAnsi="Times New Roman"/>
          <w:bCs/>
          <w:sz w:val="24"/>
          <w:szCs w:val="24"/>
        </w:rPr>
        <w:t xml:space="preserve"> to remove leukocytes</w:t>
      </w:r>
      <w:r w:rsidR="00D66B99" w:rsidRPr="00D44173">
        <w:rPr>
          <w:rFonts w:ascii="Times New Roman" w:hAnsi="Times New Roman"/>
          <w:bCs/>
          <w:sz w:val="24"/>
          <w:szCs w:val="24"/>
        </w:rPr>
        <w:t xml:space="preserve">. The resulting cells (gated as R3) were negative for CD45 and positive for </w:t>
      </w:r>
      <w:proofErr w:type="spellStart"/>
      <w:r w:rsidR="00D66B99" w:rsidRPr="00D44173">
        <w:rPr>
          <w:rFonts w:ascii="Times New Roman" w:hAnsi="Times New Roman"/>
          <w:bCs/>
          <w:sz w:val="24"/>
          <w:szCs w:val="24"/>
        </w:rPr>
        <w:t>EpCAM</w:t>
      </w:r>
      <w:proofErr w:type="spellEnd"/>
      <w:r w:rsidR="00D66B99" w:rsidRPr="00D44173">
        <w:rPr>
          <w:rFonts w:ascii="Times New Roman" w:hAnsi="Times New Roman"/>
          <w:bCs/>
          <w:sz w:val="24"/>
          <w:szCs w:val="24"/>
        </w:rPr>
        <w:t xml:space="preserve"> and MUC16/CA125.  Marker analyses were tracked by flow cytometry on a Becton Dickinson </w:t>
      </w:r>
      <w:proofErr w:type="spellStart"/>
      <w:r w:rsidR="00D66B99" w:rsidRPr="00D44173">
        <w:rPr>
          <w:rFonts w:ascii="Times New Roman" w:hAnsi="Times New Roman"/>
          <w:bCs/>
          <w:sz w:val="24"/>
          <w:szCs w:val="24"/>
        </w:rPr>
        <w:t>FACScalibur</w:t>
      </w:r>
      <w:proofErr w:type="spellEnd"/>
      <w:r w:rsidR="00D66B99" w:rsidRPr="00D44173">
        <w:rPr>
          <w:rFonts w:ascii="Times New Roman" w:hAnsi="Times New Roman"/>
          <w:bCs/>
          <w:sz w:val="24"/>
          <w:szCs w:val="24"/>
        </w:rPr>
        <w:t xml:space="preserve"> Flow Cytometer. </w:t>
      </w:r>
    </w:p>
    <w:p w:rsidR="00C004F6" w:rsidRPr="00D44173" w:rsidRDefault="00C004F6" w:rsidP="00C004F6">
      <w:pPr>
        <w:spacing w:after="0" w:line="240" w:lineRule="auto"/>
        <w:rPr>
          <w:rFonts w:ascii="Times New Roman" w:hAnsi="Times New Roman"/>
          <w:b/>
          <w:spacing w:val="1"/>
          <w:sz w:val="24"/>
          <w:szCs w:val="24"/>
        </w:rPr>
      </w:pPr>
    </w:p>
    <w:p w:rsidR="00BB5323" w:rsidRPr="00D44173" w:rsidRDefault="00A23EAE" w:rsidP="00745948">
      <w:pPr>
        <w:spacing w:line="240" w:lineRule="auto"/>
        <w:rPr>
          <w:rFonts w:ascii="Times New Roman" w:hAnsi="Times New Roman"/>
          <w:b/>
          <w:spacing w:val="1"/>
          <w:sz w:val="24"/>
          <w:szCs w:val="24"/>
        </w:rPr>
      </w:pPr>
      <w:r w:rsidRPr="00D44173">
        <w:rPr>
          <w:rFonts w:ascii="Times New Roman" w:hAnsi="Times New Roman"/>
          <w:b/>
          <w:spacing w:val="1"/>
          <w:sz w:val="24"/>
          <w:szCs w:val="24"/>
        </w:rPr>
        <w:t xml:space="preserve">Supplemental Figure S3. </w:t>
      </w:r>
      <w:r w:rsidR="00A91F94" w:rsidRPr="00D44173">
        <w:rPr>
          <w:rFonts w:ascii="Times New Roman" w:hAnsi="Times New Roman"/>
          <w:b/>
          <w:spacing w:val="1"/>
          <w:sz w:val="24"/>
          <w:szCs w:val="24"/>
        </w:rPr>
        <w:t xml:space="preserve"> Racemic distribution of clinical drug.</w:t>
      </w:r>
    </w:p>
    <w:p w:rsidR="00A91F94" w:rsidRPr="00D44173" w:rsidRDefault="00745948" w:rsidP="00C004F6">
      <w:pPr>
        <w:spacing w:line="480" w:lineRule="auto"/>
        <w:rPr>
          <w:rFonts w:ascii="Times New Roman" w:hAnsi="Times New Roman"/>
          <w:sz w:val="24"/>
          <w:szCs w:val="24"/>
        </w:rPr>
      </w:pPr>
      <w:r>
        <w:rPr>
          <w:rFonts w:ascii="Times New Roman" w:hAnsi="Times New Roman"/>
          <w:b/>
          <w:spacing w:val="1"/>
          <w:sz w:val="24"/>
          <w:szCs w:val="24"/>
        </w:rPr>
        <w:t xml:space="preserve">Supplemental </w:t>
      </w:r>
      <w:r w:rsidR="00A91F94" w:rsidRPr="00D44173">
        <w:rPr>
          <w:rFonts w:ascii="Times New Roman" w:hAnsi="Times New Roman"/>
          <w:b/>
          <w:spacing w:val="1"/>
          <w:sz w:val="24"/>
          <w:szCs w:val="24"/>
        </w:rPr>
        <w:t xml:space="preserve">Figure S3. </w:t>
      </w:r>
      <w:r w:rsidR="00A91F94" w:rsidRPr="00D44173">
        <w:rPr>
          <w:rFonts w:ascii="Times New Roman" w:hAnsi="Times New Roman"/>
          <w:spacing w:val="1"/>
          <w:sz w:val="24"/>
          <w:szCs w:val="24"/>
        </w:rPr>
        <w:t xml:space="preserve">To confirm that this apparent shift in racemic ratio was not due to either 1) unequal distribution of the </w:t>
      </w:r>
      <w:proofErr w:type="spellStart"/>
      <w:r w:rsidR="00A91F94" w:rsidRPr="00D44173">
        <w:rPr>
          <w:rFonts w:ascii="Times New Roman" w:hAnsi="Times New Roman"/>
          <w:spacing w:val="1"/>
          <w:sz w:val="24"/>
          <w:szCs w:val="24"/>
        </w:rPr>
        <w:t>racemates</w:t>
      </w:r>
      <w:proofErr w:type="spellEnd"/>
      <w:r w:rsidR="00A91F94" w:rsidRPr="00D44173">
        <w:rPr>
          <w:rFonts w:ascii="Times New Roman" w:hAnsi="Times New Roman"/>
          <w:spacing w:val="1"/>
          <w:sz w:val="24"/>
          <w:szCs w:val="24"/>
        </w:rPr>
        <w:t xml:space="preserve"> in the administered drug or 2) differential extraction of each </w:t>
      </w:r>
      <w:proofErr w:type="spellStart"/>
      <w:r w:rsidR="00A91F94" w:rsidRPr="00D44173">
        <w:rPr>
          <w:rFonts w:ascii="Times New Roman" w:hAnsi="Times New Roman"/>
          <w:spacing w:val="1"/>
          <w:sz w:val="24"/>
          <w:szCs w:val="24"/>
        </w:rPr>
        <w:t>racemate</w:t>
      </w:r>
      <w:proofErr w:type="spellEnd"/>
      <w:r w:rsidR="00A91F94" w:rsidRPr="00D44173">
        <w:rPr>
          <w:rFonts w:ascii="Times New Roman" w:hAnsi="Times New Roman"/>
          <w:spacing w:val="1"/>
          <w:sz w:val="24"/>
          <w:szCs w:val="24"/>
        </w:rPr>
        <w:t xml:space="preserve"> from serum proteins, we conducted control experiments. A)  </w:t>
      </w:r>
      <w:r w:rsidR="00A91F94" w:rsidRPr="00D44173">
        <w:rPr>
          <w:rFonts w:ascii="Times New Roman" w:hAnsi="Times New Roman"/>
          <w:spacing w:val="1"/>
          <w:sz w:val="24"/>
          <w:szCs w:val="24"/>
        </w:rPr>
        <w:lastRenderedPageBreak/>
        <w:t xml:space="preserve">Racemic distribution of ketorolac enantiomers of the clinically administered drug was confirmed by HPLC. B)  </w:t>
      </w:r>
      <w:r w:rsidR="00A91F94" w:rsidRPr="00D44173">
        <w:rPr>
          <w:rFonts w:ascii="Times New Roman" w:hAnsi="Times New Roman"/>
          <w:sz w:val="24"/>
          <w:szCs w:val="24"/>
        </w:rPr>
        <w:t xml:space="preserve">Clinical grade ketorolac incubated with human serum </w:t>
      </w:r>
      <w:r w:rsidR="00FB54B5" w:rsidRPr="00D44173">
        <w:rPr>
          <w:rFonts w:ascii="Times New Roman" w:hAnsi="Times New Roman"/>
          <w:sz w:val="24"/>
          <w:szCs w:val="24"/>
        </w:rPr>
        <w:t xml:space="preserve">(shown) and ascites fluid (not shown, but identical results) </w:t>
      </w:r>
      <w:r w:rsidR="00A91F94" w:rsidRPr="00D44173">
        <w:rPr>
          <w:rFonts w:ascii="Times New Roman" w:hAnsi="Times New Roman"/>
          <w:sz w:val="24"/>
          <w:szCs w:val="24"/>
        </w:rPr>
        <w:t>at 37°C for 1</w:t>
      </w:r>
      <w:r w:rsidR="00C651C1" w:rsidRPr="00D44173">
        <w:rPr>
          <w:rFonts w:ascii="Times New Roman" w:hAnsi="Times New Roman"/>
          <w:sz w:val="24"/>
          <w:szCs w:val="24"/>
        </w:rPr>
        <w:t xml:space="preserve"> </w:t>
      </w:r>
      <w:proofErr w:type="spellStart"/>
      <w:r w:rsidR="00C651C1" w:rsidRPr="00D44173">
        <w:rPr>
          <w:rFonts w:ascii="Times New Roman" w:hAnsi="Times New Roman"/>
          <w:sz w:val="24"/>
          <w:szCs w:val="24"/>
        </w:rPr>
        <w:t>h</w:t>
      </w:r>
      <w:r w:rsidR="00D91530" w:rsidRPr="00D44173">
        <w:rPr>
          <w:rFonts w:ascii="Times New Roman" w:hAnsi="Times New Roman"/>
          <w:sz w:val="24"/>
          <w:szCs w:val="24"/>
        </w:rPr>
        <w:t>r</w:t>
      </w:r>
      <w:proofErr w:type="spellEnd"/>
      <w:r w:rsidR="00A91F94" w:rsidRPr="00D44173">
        <w:rPr>
          <w:rFonts w:ascii="Times New Roman" w:hAnsi="Times New Roman"/>
          <w:sz w:val="24"/>
          <w:szCs w:val="24"/>
        </w:rPr>
        <w:t xml:space="preserve"> and the samples were then processed as for samples obtained from patients. The equal distribution of R- and S-ketorolac in the extracted control sample indicates that the difference in enantiomer composition in patient samples is not due to differential extraction from serum proteins during sample processing and more likely represents a pharmacokinetic parameter such as preferential binding of S-ketorolac to tissue proteins. </w:t>
      </w:r>
    </w:p>
    <w:p w:rsidR="00CF0A26" w:rsidRPr="00D44173" w:rsidRDefault="00CF0A26" w:rsidP="00CF0A26">
      <w:pPr>
        <w:rPr>
          <w:rFonts w:ascii="Times New Roman" w:hAnsi="Times New Roman"/>
          <w:b/>
          <w:sz w:val="24"/>
          <w:szCs w:val="24"/>
        </w:rPr>
      </w:pPr>
      <w:r w:rsidRPr="00D44173">
        <w:rPr>
          <w:rFonts w:ascii="Times New Roman" w:hAnsi="Times New Roman"/>
          <w:b/>
          <w:spacing w:val="1"/>
          <w:sz w:val="24"/>
          <w:szCs w:val="24"/>
        </w:rPr>
        <w:t>Supplemental Figure S</w:t>
      </w:r>
      <w:r w:rsidR="00230A07">
        <w:rPr>
          <w:rFonts w:ascii="Times New Roman" w:hAnsi="Times New Roman"/>
          <w:b/>
          <w:spacing w:val="1"/>
          <w:sz w:val="24"/>
          <w:szCs w:val="24"/>
        </w:rPr>
        <w:t>4</w:t>
      </w:r>
      <w:r w:rsidRPr="00D44173">
        <w:rPr>
          <w:rFonts w:ascii="Times New Roman" w:hAnsi="Times New Roman"/>
          <w:b/>
          <w:spacing w:val="1"/>
          <w:sz w:val="24"/>
          <w:szCs w:val="24"/>
        </w:rPr>
        <w:t xml:space="preserve">. </w:t>
      </w:r>
      <w:r w:rsidRPr="00D44173">
        <w:rPr>
          <w:rFonts w:ascii="Times New Roman" w:hAnsi="Times New Roman"/>
          <w:b/>
          <w:sz w:val="24"/>
          <w:szCs w:val="24"/>
        </w:rPr>
        <w:t xml:space="preserve">Survival </w:t>
      </w:r>
      <w:r w:rsidR="00503E76" w:rsidRPr="00D44173">
        <w:rPr>
          <w:rFonts w:ascii="Times New Roman" w:hAnsi="Times New Roman"/>
          <w:b/>
          <w:sz w:val="24"/>
          <w:szCs w:val="24"/>
        </w:rPr>
        <w:t>e</w:t>
      </w:r>
      <w:r w:rsidRPr="00D44173">
        <w:rPr>
          <w:rFonts w:ascii="Times New Roman" w:hAnsi="Times New Roman"/>
          <w:b/>
          <w:sz w:val="24"/>
          <w:szCs w:val="24"/>
        </w:rPr>
        <w:t>stimates</w:t>
      </w:r>
      <w:r w:rsidR="00503E76" w:rsidRPr="00D44173">
        <w:rPr>
          <w:rFonts w:ascii="Times New Roman" w:hAnsi="Times New Roman"/>
          <w:b/>
          <w:sz w:val="24"/>
          <w:szCs w:val="24"/>
        </w:rPr>
        <w:t xml:space="preserve"> based on Cox-regression for Stage I (AJCC) with completion of chemotherapy. </w:t>
      </w:r>
    </w:p>
    <w:p w:rsidR="00CF0A26" w:rsidRPr="00D44173" w:rsidRDefault="00745948" w:rsidP="00CF0A26">
      <w:pPr>
        <w:pStyle w:val="NoSpacing"/>
        <w:spacing w:after="200" w:line="480" w:lineRule="auto"/>
        <w:rPr>
          <w:rFonts w:ascii="Times New Roman" w:hAnsi="Times New Roman" w:cs="Times New Roman"/>
          <w:sz w:val="24"/>
          <w:szCs w:val="24"/>
        </w:rPr>
      </w:pPr>
      <w:r>
        <w:rPr>
          <w:rFonts w:ascii="Times New Roman" w:hAnsi="Times New Roman"/>
          <w:b/>
          <w:spacing w:val="1"/>
          <w:sz w:val="24"/>
          <w:szCs w:val="24"/>
        </w:rPr>
        <w:t xml:space="preserve">Supplemental </w:t>
      </w:r>
      <w:r w:rsidR="00CF0A26" w:rsidRPr="00D44173">
        <w:rPr>
          <w:rFonts w:ascii="Times New Roman" w:hAnsi="Times New Roman" w:cs="Times New Roman"/>
          <w:b/>
          <w:sz w:val="24"/>
          <w:szCs w:val="24"/>
        </w:rPr>
        <w:t>Figure S</w:t>
      </w:r>
      <w:r w:rsidR="00230A07">
        <w:rPr>
          <w:rFonts w:ascii="Times New Roman" w:hAnsi="Times New Roman" w:cs="Times New Roman"/>
          <w:b/>
          <w:sz w:val="24"/>
          <w:szCs w:val="24"/>
        </w:rPr>
        <w:t>4</w:t>
      </w:r>
      <w:r w:rsidR="00CF0A26" w:rsidRPr="00D44173">
        <w:rPr>
          <w:rFonts w:ascii="Times New Roman" w:hAnsi="Times New Roman" w:cs="Times New Roman"/>
          <w:b/>
          <w:sz w:val="24"/>
          <w:szCs w:val="24"/>
        </w:rPr>
        <w:t>.</w:t>
      </w:r>
      <w:r w:rsidR="00CF0A26" w:rsidRPr="00D44173">
        <w:rPr>
          <w:rFonts w:ascii="Times New Roman" w:hAnsi="Times New Roman" w:cs="Times New Roman"/>
          <w:sz w:val="24"/>
          <w:szCs w:val="24"/>
        </w:rPr>
        <w:t xml:space="preserve"> Cox proportional hazards regression was used to estimate ovarian cancer specific survival probabilities for women who did (dashed line) and did not (solid line) receive ketorolac among ovarian can</w:t>
      </w:r>
      <w:r w:rsidR="0009159D" w:rsidRPr="00D44173">
        <w:rPr>
          <w:rFonts w:ascii="Times New Roman" w:hAnsi="Times New Roman" w:cs="Times New Roman"/>
          <w:sz w:val="24"/>
          <w:szCs w:val="24"/>
        </w:rPr>
        <w:t xml:space="preserve">cer cases with AJCC Stage </w:t>
      </w:r>
      <w:r w:rsidR="00CF0A26" w:rsidRPr="00D44173">
        <w:rPr>
          <w:rFonts w:ascii="Times New Roman" w:hAnsi="Times New Roman" w:cs="Times New Roman"/>
          <w:sz w:val="24"/>
          <w:szCs w:val="24"/>
        </w:rPr>
        <w:t xml:space="preserve">I cancer, </w:t>
      </w:r>
      <w:r w:rsidR="0009159D" w:rsidRPr="00D44173">
        <w:rPr>
          <w:rFonts w:ascii="Times New Roman" w:hAnsi="Times New Roman" w:cs="Times New Roman"/>
          <w:sz w:val="24"/>
          <w:szCs w:val="24"/>
        </w:rPr>
        <w:t xml:space="preserve">sorted by age group and -/+ </w:t>
      </w:r>
      <w:proofErr w:type="spellStart"/>
      <w:r w:rsidR="0009159D" w:rsidRPr="00D44173">
        <w:rPr>
          <w:rFonts w:ascii="Times New Roman" w:hAnsi="Times New Roman" w:cs="Times New Roman"/>
          <w:sz w:val="24"/>
          <w:szCs w:val="24"/>
        </w:rPr>
        <w:t>neoadjuvant</w:t>
      </w:r>
      <w:proofErr w:type="spellEnd"/>
      <w:r w:rsidR="0009159D" w:rsidRPr="00D44173">
        <w:rPr>
          <w:rFonts w:ascii="Times New Roman" w:hAnsi="Times New Roman" w:cs="Times New Roman"/>
          <w:sz w:val="24"/>
          <w:szCs w:val="24"/>
        </w:rPr>
        <w:t xml:space="preserve"> chemotherapy.</w:t>
      </w:r>
    </w:p>
    <w:p w:rsidR="0009159D" w:rsidRPr="00D44173" w:rsidRDefault="0009159D" w:rsidP="0009159D">
      <w:pPr>
        <w:rPr>
          <w:rFonts w:ascii="Times New Roman" w:hAnsi="Times New Roman"/>
          <w:b/>
          <w:sz w:val="24"/>
          <w:szCs w:val="24"/>
        </w:rPr>
      </w:pPr>
      <w:r w:rsidRPr="00D44173">
        <w:rPr>
          <w:rFonts w:ascii="Times New Roman" w:hAnsi="Times New Roman"/>
          <w:b/>
          <w:spacing w:val="1"/>
          <w:sz w:val="24"/>
          <w:szCs w:val="24"/>
        </w:rPr>
        <w:t>Supplemental Figure S</w:t>
      </w:r>
      <w:r w:rsidR="00230A07">
        <w:rPr>
          <w:rFonts w:ascii="Times New Roman" w:hAnsi="Times New Roman"/>
          <w:b/>
          <w:spacing w:val="1"/>
          <w:sz w:val="24"/>
          <w:szCs w:val="24"/>
        </w:rPr>
        <w:t>5</w:t>
      </w:r>
      <w:r w:rsidRPr="00D44173">
        <w:rPr>
          <w:rFonts w:ascii="Times New Roman" w:hAnsi="Times New Roman"/>
          <w:b/>
          <w:spacing w:val="1"/>
          <w:sz w:val="24"/>
          <w:szCs w:val="24"/>
        </w:rPr>
        <w:t xml:space="preserve">. </w:t>
      </w:r>
      <w:r w:rsidR="00503E76" w:rsidRPr="00D44173">
        <w:rPr>
          <w:rFonts w:ascii="Times New Roman" w:hAnsi="Times New Roman"/>
          <w:b/>
          <w:sz w:val="24"/>
          <w:szCs w:val="24"/>
        </w:rPr>
        <w:t>Survival estimates based on Cox-regression for Stage II (AJCC) with completion of chemotherapy.</w:t>
      </w:r>
    </w:p>
    <w:p w:rsidR="0009159D" w:rsidRPr="00D44173" w:rsidRDefault="00745948" w:rsidP="0009159D">
      <w:pPr>
        <w:pStyle w:val="NoSpacing"/>
        <w:spacing w:after="200" w:line="480" w:lineRule="auto"/>
        <w:rPr>
          <w:rFonts w:ascii="Times New Roman" w:hAnsi="Times New Roman" w:cs="Times New Roman"/>
          <w:sz w:val="24"/>
          <w:szCs w:val="24"/>
        </w:rPr>
      </w:pPr>
      <w:r>
        <w:rPr>
          <w:rFonts w:ascii="Times New Roman" w:hAnsi="Times New Roman"/>
          <w:b/>
          <w:spacing w:val="1"/>
          <w:sz w:val="24"/>
          <w:szCs w:val="24"/>
        </w:rPr>
        <w:t xml:space="preserve">Supplemental </w:t>
      </w:r>
      <w:r w:rsidR="00230A07">
        <w:rPr>
          <w:rFonts w:ascii="Times New Roman" w:hAnsi="Times New Roman" w:cs="Times New Roman"/>
          <w:b/>
          <w:sz w:val="24"/>
          <w:szCs w:val="24"/>
        </w:rPr>
        <w:t>Figure S5</w:t>
      </w:r>
      <w:r w:rsidR="0009159D" w:rsidRPr="00D44173">
        <w:rPr>
          <w:rFonts w:ascii="Times New Roman" w:hAnsi="Times New Roman" w:cs="Times New Roman"/>
          <w:b/>
          <w:sz w:val="24"/>
          <w:szCs w:val="24"/>
        </w:rPr>
        <w:t>.</w:t>
      </w:r>
      <w:r w:rsidR="0009159D" w:rsidRPr="00D44173">
        <w:rPr>
          <w:rFonts w:ascii="Times New Roman" w:hAnsi="Times New Roman" w:cs="Times New Roman"/>
          <w:sz w:val="24"/>
          <w:szCs w:val="24"/>
        </w:rPr>
        <w:t xml:space="preserve"> Cox proportional hazards regression was used to estimate ovarian cancer specific survival probabilities for women who did (dashed line) and did not (solid line) receive ketorolac among ovarian cancer cases with AJCC Stage II cancer, sorted by age group and -/+ </w:t>
      </w:r>
      <w:proofErr w:type="spellStart"/>
      <w:r w:rsidR="0009159D" w:rsidRPr="00D44173">
        <w:rPr>
          <w:rFonts w:ascii="Times New Roman" w:hAnsi="Times New Roman" w:cs="Times New Roman"/>
          <w:sz w:val="24"/>
          <w:szCs w:val="24"/>
        </w:rPr>
        <w:t>neoadjuvant</w:t>
      </w:r>
      <w:proofErr w:type="spellEnd"/>
      <w:r w:rsidR="0009159D" w:rsidRPr="00D44173">
        <w:rPr>
          <w:rFonts w:ascii="Times New Roman" w:hAnsi="Times New Roman" w:cs="Times New Roman"/>
          <w:sz w:val="24"/>
          <w:szCs w:val="24"/>
        </w:rPr>
        <w:t xml:space="preserve"> chemotherapy.</w:t>
      </w:r>
    </w:p>
    <w:p w:rsidR="0009159D" w:rsidRPr="00D44173" w:rsidRDefault="00230A07" w:rsidP="0009159D">
      <w:pPr>
        <w:rPr>
          <w:rFonts w:ascii="Times New Roman" w:hAnsi="Times New Roman"/>
          <w:b/>
          <w:sz w:val="24"/>
          <w:szCs w:val="24"/>
        </w:rPr>
      </w:pPr>
      <w:r>
        <w:rPr>
          <w:rFonts w:ascii="Times New Roman" w:hAnsi="Times New Roman"/>
          <w:b/>
          <w:spacing w:val="1"/>
          <w:sz w:val="24"/>
          <w:szCs w:val="24"/>
        </w:rPr>
        <w:t>Supplemental Figure S6</w:t>
      </w:r>
      <w:r w:rsidR="0009159D" w:rsidRPr="00D44173">
        <w:rPr>
          <w:rFonts w:ascii="Times New Roman" w:hAnsi="Times New Roman"/>
          <w:b/>
          <w:spacing w:val="1"/>
          <w:sz w:val="24"/>
          <w:szCs w:val="24"/>
        </w:rPr>
        <w:t xml:space="preserve">. </w:t>
      </w:r>
      <w:r w:rsidR="00503E76" w:rsidRPr="00D44173">
        <w:rPr>
          <w:rFonts w:ascii="Times New Roman" w:hAnsi="Times New Roman"/>
          <w:b/>
          <w:sz w:val="24"/>
          <w:szCs w:val="24"/>
        </w:rPr>
        <w:t>Survival estimates based on Cox-regression for Stage III (AJCC) with completion of chemotherapy.</w:t>
      </w:r>
    </w:p>
    <w:p w:rsidR="0009159D" w:rsidRPr="00D44173" w:rsidRDefault="00745948" w:rsidP="0009159D">
      <w:pPr>
        <w:pStyle w:val="NoSpacing"/>
        <w:spacing w:after="200" w:line="480" w:lineRule="auto"/>
        <w:rPr>
          <w:rFonts w:ascii="Times New Roman" w:hAnsi="Times New Roman" w:cs="Times New Roman"/>
          <w:sz w:val="24"/>
          <w:szCs w:val="24"/>
        </w:rPr>
      </w:pPr>
      <w:r>
        <w:rPr>
          <w:rFonts w:ascii="Times New Roman" w:hAnsi="Times New Roman"/>
          <w:b/>
          <w:spacing w:val="1"/>
          <w:sz w:val="24"/>
          <w:szCs w:val="24"/>
        </w:rPr>
        <w:t xml:space="preserve">Supplemental </w:t>
      </w:r>
      <w:r w:rsidR="00230A07">
        <w:rPr>
          <w:rFonts w:ascii="Times New Roman" w:hAnsi="Times New Roman" w:cs="Times New Roman"/>
          <w:b/>
          <w:sz w:val="24"/>
          <w:szCs w:val="24"/>
        </w:rPr>
        <w:t>Figure S6</w:t>
      </w:r>
      <w:r w:rsidR="0009159D" w:rsidRPr="00D44173">
        <w:rPr>
          <w:rFonts w:ascii="Times New Roman" w:hAnsi="Times New Roman" w:cs="Times New Roman"/>
          <w:b/>
          <w:sz w:val="24"/>
          <w:szCs w:val="24"/>
        </w:rPr>
        <w:t>.</w:t>
      </w:r>
      <w:r w:rsidR="0009159D" w:rsidRPr="00D44173">
        <w:rPr>
          <w:rFonts w:ascii="Times New Roman" w:hAnsi="Times New Roman" w:cs="Times New Roman"/>
          <w:sz w:val="24"/>
          <w:szCs w:val="24"/>
        </w:rPr>
        <w:t xml:space="preserve"> Cox proportional hazards regression was used to estimate ovarian cancer specific survival probabilities for women who did (dashed line) and did not (solid line) </w:t>
      </w:r>
      <w:r w:rsidR="0009159D" w:rsidRPr="00D44173">
        <w:rPr>
          <w:rFonts w:ascii="Times New Roman" w:hAnsi="Times New Roman" w:cs="Times New Roman"/>
          <w:sz w:val="24"/>
          <w:szCs w:val="24"/>
        </w:rPr>
        <w:lastRenderedPageBreak/>
        <w:t xml:space="preserve">receive ketorolac among ovarian cancer cases with AJCC Stage III cancer, sorted by age group and -/+ </w:t>
      </w:r>
      <w:proofErr w:type="spellStart"/>
      <w:r w:rsidR="0009159D" w:rsidRPr="00D44173">
        <w:rPr>
          <w:rFonts w:ascii="Times New Roman" w:hAnsi="Times New Roman" w:cs="Times New Roman"/>
          <w:sz w:val="24"/>
          <w:szCs w:val="24"/>
        </w:rPr>
        <w:t>neoadjuvant</w:t>
      </w:r>
      <w:proofErr w:type="spellEnd"/>
      <w:r w:rsidR="0009159D" w:rsidRPr="00D44173">
        <w:rPr>
          <w:rFonts w:ascii="Times New Roman" w:hAnsi="Times New Roman" w:cs="Times New Roman"/>
          <w:sz w:val="24"/>
          <w:szCs w:val="24"/>
        </w:rPr>
        <w:t xml:space="preserve"> chemotherapy.</w:t>
      </w:r>
    </w:p>
    <w:p w:rsidR="0009159D" w:rsidRPr="00D44173" w:rsidRDefault="0009159D" w:rsidP="0009159D">
      <w:pPr>
        <w:rPr>
          <w:rFonts w:ascii="Times New Roman" w:hAnsi="Times New Roman"/>
          <w:b/>
          <w:sz w:val="24"/>
          <w:szCs w:val="24"/>
        </w:rPr>
      </w:pPr>
      <w:r w:rsidRPr="00D44173">
        <w:rPr>
          <w:rFonts w:ascii="Times New Roman" w:hAnsi="Times New Roman"/>
          <w:b/>
          <w:spacing w:val="1"/>
          <w:sz w:val="24"/>
          <w:szCs w:val="24"/>
        </w:rPr>
        <w:t>Supplemental Figure S</w:t>
      </w:r>
      <w:r w:rsidR="00230A07">
        <w:rPr>
          <w:rFonts w:ascii="Times New Roman" w:hAnsi="Times New Roman"/>
          <w:b/>
          <w:spacing w:val="1"/>
          <w:sz w:val="24"/>
          <w:szCs w:val="24"/>
        </w:rPr>
        <w:t>7</w:t>
      </w:r>
      <w:r w:rsidRPr="00D44173">
        <w:rPr>
          <w:rFonts w:ascii="Times New Roman" w:hAnsi="Times New Roman"/>
          <w:b/>
          <w:spacing w:val="1"/>
          <w:sz w:val="24"/>
          <w:szCs w:val="24"/>
        </w:rPr>
        <w:t xml:space="preserve">. </w:t>
      </w:r>
      <w:r w:rsidR="00503E76" w:rsidRPr="00D44173">
        <w:rPr>
          <w:rFonts w:ascii="Times New Roman" w:hAnsi="Times New Roman"/>
          <w:b/>
          <w:sz w:val="24"/>
          <w:szCs w:val="24"/>
        </w:rPr>
        <w:t>Survival estimates based on Cox-regression for Stage IV (AJCC) with completion of chemotherapy.</w:t>
      </w:r>
    </w:p>
    <w:p w:rsidR="00230A07" w:rsidRDefault="00745948" w:rsidP="00230A07">
      <w:pPr>
        <w:spacing w:line="480" w:lineRule="auto"/>
        <w:rPr>
          <w:rFonts w:ascii="Times New Roman" w:hAnsi="Times New Roman"/>
          <w:b/>
          <w:spacing w:val="1"/>
          <w:sz w:val="24"/>
          <w:szCs w:val="24"/>
        </w:rPr>
      </w:pPr>
      <w:r>
        <w:rPr>
          <w:rFonts w:ascii="Times New Roman" w:hAnsi="Times New Roman"/>
          <w:b/>
          <w:spacing w:val="1"/>
          <w:sz w:val="24"/>
          <w:szCs w:val="24"/>
        </w:rPr>
        <w:t xml:space="preserve">Supplemental </w:t>
      </w:r>
      <w:r w:rsidR="00230A07">
        <w:rPr>
          <w:rFonts w:ascii="Times New Roman" w:hAnsi="Times New Roman"/>
          <w:b/>
          <w:sz w:val="24"/>
          <w:szCs w:val="24"/>
        </w:rPr>
        <w:t>Figure S7</w:t>
      </w:r>
      <w:r w:rsidR="0009159D" w:rsidRPr="00D44173">
        <w:rPr>
          <w:rFonts w:ascii="Times New Roman" w:hAnsi="Times New Roman"/>
          <w:b/>
          <w:sz w:val="24"/>
          <w:szCs w:val="24"/>
        </w:rPr>
        <w:t>.</w:t>
      </w:r>
      <w:r w:rsidR="0009159D" w:rsidRPr="00D44173">
        <w:rPr>
          <w:rFonts w:ascii="Times New Roman" w:hAnsi="Times New Roman"/>
          <w:sz w:val="24"/>
          <w:szCs w:val="24"/>
        </w:rPr>
        <w:t xml:space="preserve"> Cox proportional hazards regression was used to estimate ovarian cancer specific survival probabilities for women who did (dashed line) and did not (solid line) receive ketorolac among ovarian cancer cases with AJCC Stage IV cancer, sorted by age group and -/+ </w:t>
      </w:r>
      <w:proofErr w:type="spellStart"/>
      <w:r w:rsidR="0009159D" w:rsidRPr="00D44173">
        <w:rPr>
          <w:rFonts w:ascii="Times New Roman" w:hAnsi="Times New Roman"/>
          <w:sz w:val="24"/>
          <w:szCs w:val="24"/>
        </w:rPr>
        <w:t>neoadjuvant</w:t>
      </w:r>
      <w:proofErr w:type="spellEnd"/>
      <w:r w:rsidR="0009159D" w:rsidRPr="00D44173">
        <w:rPr>
          <w:rFonts w:ascii="Times New Roman" w:hAnsi="Times New Roman"/>
          <w:sz w:val="24"/>
          <w:szCs w:val="24"/>
        </w:rPr>
        <w:t xml:space="preserve"> chemotherapy.</w:t>
      </w:r>
      <w:r w:rsidR="00230A07" w:rsidRPr="00230A07">
        <w:rPr>
          <w:rFonts w:ascii="Times New Roman" w:hAnsi="Times New Roman"/>
          <w:b/>
          <w:spacing w:val="1"/>
          <w:sz w:val="24"/>
          <w:szCs w:val="24"/>
        </w:rPr>
        <w:t xml:space="preserve"> </w:t>
      </w:r>
    </w:p>
    <w:p w:rsidR="00230A07" w:rsidRPr="00D44173" w:rsidRDefault="00230A07" w:rsidP="00230A07">
      <w:pPr>
        <w:rPr>
          <w:rFonts w:ascii="Times New Roman" w:hAnsi="Times New Roman"/>
          <w:b/>
          <w:bCs/>
          <w:sz w:val="24"/>
          <w:szCs w:val="24"/>
        </w:rPr>
      </w:pPr>
      <w:r>
        <w:rPr>
          <w:rFonts w:ascii="Times New Roman" w:hAnsi="Times New Roman"/>
          <w:b/>
          <w:spacing w:val="1"/>
          <w:sz w:val="24"/>
          <w:szCs w:val="24"/>
        </w:rPr>
        <w:t>Supplemental Figure S8</w:t>
      </w:r>
      <w:r w:rsidRPr="00D44173">
        <w:rPr>
          <w:rFonts w:ascii="Times New Roman" w:hAnsi="Times New Roman"/>
          <w:b/>
          <w:spacing w:val="1"/>
          <w:sz w:val="24"/>
          <w:szCs w:val="24"/>
        </w:rPr>
        <w:t xml:space="preserve">. </w:t>
      </w:r>
      <w:proofErr w:type="spellStart"/>
      <w:r w:rsidRPr="00D44173">
        <w:rPr>
          <w:rFonts w:ascii="Times New Roman" w:hAnsi="Times New Roman"/>
          <w:b/>
          <w:bCs/>
          <w:sz w:val="24"/>
          <w:szCs w:val="24"/>
        </w:rPr>
        <w:t>RhoA</w:t>
      </w:r>
      <w:proofErr w:type="spellEnd"/>
      <w:r w:rsidRPr="00D44173">
        <w:rPr>
          <w:rFonts w:ascii="Times New Roman" w:hAnsi="Times New Roman"/>
          <w:b/>
          <w:bCs/>
          <w:sz w:val="24"/>
          <w:szCs w:val="24"/>
        </w:rPr>
        <w:t xml:space="preserve"> activity is insensitive to ketorolac treatment.</w:t>
      </w:r>
    </w:p>
    <w:p w:rsidR="00650959" w:rsidRDefault="00745948" w:rsidP="00230A07">
      <w:pPr>
        <w:pStyle w:val="NoSpacing"/>
        <w:spacing w:after="200" w:line="480" w:lineRule="auto"/>
      </w:pPr>
      <w:r>
        <w:rPr>
          <w:rFonts w:ascii="Times New Roman" w:hAnsi="Times New Roman"/>
          <w:b/>
          <w:spacing w:val="1"/>
          <w:sz w:val="24"/>
          <w:szCs w:val="24"/>
        </w:rPr>
        <w:t xml:space="preserve">Supplemental </w:t>
      </w:r>
      <w:r w:rsidR="00230A07" w:rsidRPr="00D44173">
        <w:rPr>
          <w:rFonts w:ascii="Times New Roman" w:hAnsi="Times New Roman"/>
          <w:b/>
          <w:bCs/>
          <w:sz w:val="24"/>
          <w:szCs w:val="24"/>
        </w:rPr>
        <w:t>Figure S</w:t>
      </w:r>
      <w:r w:rsidR="00230A07">
        <w:rPr>
          <w:rFonts w:ascii="Times New Roman" w:hAnsi="Times New Roman"/>
          <w:b/>
          <w:bCs/>
          <w:sz w:val="24"/>
          <w:szCs w:val="24"/>
        </w:rPr>
        <w:t>8</w:t>
      </w:r>
      <w:r w:rsidR="00230A07" w:rsidRPr="00D44173">
        <w:rPr>
          <w:rFonts w:ascii="Times New Roman" w:hAnsi="Times New Roman"/>
          <w:b/>
          <w:bCs/>
          <w:sz w:val="24"/>
          <w:szCs w:val="24"/>
        </w:rPr>
        <w:t>.</w:t>
      </w:r>
      <w:r w:rsidR="00230A07" w:rsidRPr="00D44173">
        <w:rPr>
          <w:rFonts w:ascii="Times New Roman" w:hAnsi="Times New Roman"/>
          <w:bCs/>
          <w:sz w:val="24"/>
          <w:szCs w:val="24"/>
        </w:rPr>
        <w:t xml:space="preserve">  (A-</w:t>
      </w:r>
      <w:r w:rsidR="00230A07" w:rsidRPr="00D44173">
        <w:rPr>
          <w:rFonts w:ascii="Times New Roman" w:hAnsi="Times New Roman"/>
          <w:sz w:val="24"/>
          <w:szCs w:val="24"/>
        </w:rPr>
        <w:t xml:space="preserve">B) </w:t>
      </w:r>
      <w:proofErr w:type="spellStart"/>
      <w:r w:rsidR="00230A07" w:rsidRPr="00D44173">
        <w:rPr>
          <w:rFonts w:ascii="Times New Roman" w:hAnsi="Times New Roman"/>
          <w:sz w:val="24"/>
          <w:szCs w:val="24"/>
        </w:rPr>
        <w:t>RhoA</w:t>
      </w:r>
      <w:proofErr w:type="spellEnd"/>
      <w:r w:rsidR="00230A07" w:rsidRPr="00D44173">
        <w:rPr>
          <w:rFonts w:ascii="Times New Roman" w:hAnsi="Times New Roman"/>
          <w:sz w:val="24"/>
          <w:szCs w:val="24"/>
        </w:rPr>
        <w:t xml:space="preserve"> GTPase target inhibition assayed by quantification of active </w:t>
      </w:r>
      <w:proofErr w:type="spellStart"/>
      <w:r w:rsidR="00230A07" w:rsidRPr="00D44173">
        <w:rPr>
          <w:rFonts w:ascii="Times New Roman" w:hAnsi="Times New Roman"/>
          <w:sz w:val="24"/>
          <w:szCs w:val="24"/>
        </w:rPr>
        <w:t>RhoA</w:t>
      </w:r>
      <w:proofErr w:type="spellEnd"/>
      <w:r w:rsidR="00230A07" w:rsidRPr="00D44173">
        <w:rPr>
          <w:rFonts w:ascii="Times New Roman" w:hAnsi="Times New Roman"/>
          <w:sz w:val="24"/>
          <w:szCs w:val="24"/>
        </w:rPr>
        <w:t xml:space="preserve"> using a flow based </w:t>
      </w:r>
      <w:proofErr w:type="spellStart"/>
      <w:r w:rsidR="00230A07" w:rsidRPr="00D44173">
        <w:rPr>
          <w:rFonts w:ascii="Times New Roman" w:hAnsi="Times New Roman"/>
          <w:sz w:val="24"/>
          <w:szCs w:val="24"/>
        </w:rPr>
        <w:t>Rhotekin</w:t>
      </w:r>
      <w:proofErr w:type="spellEnd"/>
      <w:r w:rsidR="00230A07" w:rsidRPr="00D44173">
        <w:rPr>
          <w:rFonts w:ascii="Times New Roman" w:hAnsi="Times New Roman"/>
          <w:sz w:val="24"/>
          <w:szCs w:val="24"/>
        </w:rPr>
        <w:t xml:space="preserve"> effector binding assay. (A) Patient derived tumor cells purified from ascites fluids at the time of </w:t>
      </w:r>
      <w:proofErr w:type="spellStart"/>
      <w:r w:rsidR="00230A07" w:rsidRPr="00D44173">
        <w:rPr>
          <w:rFonts w:ascii="Times New Roman" w:hAnsi="Times New Roman"/>
          <w:sz w:val="24"/>
          <w:szCs w:val="24"/>
        </w:rPr>
        <w:t>debulking</w:t>
      </w:r>
      <w:proofErr w:type="spellEnd"/>
      <w:r w:rsidR="00230A07" w:rsidRPr="00D44173">
        <w:rPr>
          <w:rFonts w:ascii="Times New Roman" w:hAnsi="Times New Roman"/>
          <w:sz w:val="24"/>
          <w:szCs w:val="24"/>
        </w:rPr>
        <w:t xml:space="preserve"> surgery were treated </w:t>
      </w:r>
      <w:r w:rsidR="00230A07" w:rsidRPr="00D44173">
        <w:rPr>
          <w:rFonts w:ascii="Times New Roman" w:hAnsi="Times New Roman"/>
          <w:i/>
          <w:sz w:val="24"/>
          <w:szCs w:val="24"/>
        </w:rPr>
        <w:t>in vitro</w:t>
      </w:r>
      <w:r w:rsidR="00230A07" w:rsidRPr="00D44173">
        <w:rPr>
          <w:rFonts w:ascii="Times New Roman" w:hAnsi="Times New Roman"/>
          <w:sz w:val="24"/>
          <w:szCs w:val="24"/>
        </w:rPr>
        <w:t xml:space="preserve"> for 1 h with 10 µM R-ketorolac, S-ketorolac or CID2950007–a Cdc42 selective inhibitor (19, 20). Tumor cells incubated with 0.1% DMSO served as a negative control. (B) Results of administration of racemic ketorolac to ovarian cancer patients post-surgery. Cells isolated from patient ascites samples post-surgery were assayed as in (A). Patient diagnoses were stage II-III, high grade ovarian serous or papillary serous carcinoma, with one suspected primary peritoneal carcinoma (Pt 20, 21, 43). Fluorescence readings were normalized to 0.1% DMSO control or the 0 h time point drawn immediately prior to ketorolac administration. One way non-parametric ANOVA and </w:t>
      </w:r>
      <w:proofErr w:type="spellStart"/>
      <w:r w:rsidR="00230A07" w:rsidRPr="00D44173">
        <w:rPr>
          <w:rFonts w:ascii="Times New Roman" w:hAnsi="Times New Roman"/>
          <w:sz w:val="24"/>
          <w:szCs w:val="24"/>
        </w:rPr>
        <w:t>Bonferroni</w:t>
      </w:r>
      <w:proofErr w:type="spellEnd"/>
      <w:r w:rsidR="00230A07" w:rsidRPr="00D44173">
        <w:rPr>
          <w:rFonts w:ascii="Times New Roman" w:hAnsi="Times New Roman"/>
          <w:sz w:val="24"/>
          <w:szCs w:val="24"/>
        </w:rPr>
        <w:t xml:space="preserve"> multiple comparison test showed no statistically significant differences between either the </w:t>
      </w:r>
      <w:r w:rsidR="00230A07" w:rsidRPr="00D44173">
        <w:rPr>
          <w:rFonts w:ascii="Times New Roman" w:hAnsi="Times New Roman"/>
          <w:i/>
          <w:sz w:val="24"/>
          <w:szCs w:val="24"/>
        </w:rPr>
        <w:t>ex vivo</w:t>
      </w:r>
      <w:r w:rsidR="00230A07" w:rsidRPr="00D44173">
        <w:rPr>
          <w:rFonts w:ascii="Times New Roman" w:hAnsi="Times New Roman"/>
          <w:sz w:val="24"/>
          <w:szCs w:val="24"/>
        </w:rPr>
        <w:t xml:space="preserve"> or the </w:t>
      </w:r>
      <w:r w:rsidR="00230A07" w:rsidRPr="00D44173">
        <w:rPr>
          <w:rFonts w:ascii="Times New Roman" w:hAnsi="Times New Roman"/>
          <w:i/>
          <w:sz w:val="24"/>
          <w:szCs w:val="24"/>
        </w:rPr>
        <w:t>in vivo</w:t>
      </w:r>
      <w:r w:rsidR="00230A07" w:rsidRPr="00D44173">
        <w:rPr>
          <w:rFonts w:ascii="Times New Roman" w:hAnsi="Times New Roman"/>
          <w:sz w:val="24"/>
          <w:szCs w:val="24"/>
        </w:rPr>
        <w:t xml:space="preserve"> samples.</w:t>
      </w:r>
    </w:p>
    <w:sectPr w:rsidR="00650959" w:rsidSect="004426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9C" w:rsidRDefault="0000279C" w:rsidP="00B36A1D">
      <w:pPr>
        <w:spacing w:after="0" w:line="240" w:lineRule="auto"/>
      </w:pPr>
      <w:r>
        <w:separator/>
      </w:r>
    </w:p>
  </w:endnote>
  <w:endnote w:type="continuationSeparator" w:id="0">
    <w:p w:rsidR="0000279C" w:rsidRDefault="0000279C" w:rsidP="00B3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477258"/>
      <w:docPartObj>
        <w:docPartGallery w:val="Page Numbers (Bottom of Page)"/>
        <w:docPartUnique/>
      </w:docPartObj>
    </w:sdtPr>
    <w:sdtEndPr>
      <w:rPr>
        <w:noProof/>
      </w:rPr>
    </w:sdtEndPr>
    <w:sdtContent>
      <w:p w:rsidR="00890E86" w:rsidRDefault="00890E8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D7706" w:rsidRDefault="00ED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9C" w:rsidRDefault="0000279C" w:rsidP="00B36A1D">
      <w:pPr>
        <w:spacing w:after="0" w:line="240" w:lineRule="auto"/>
      </w:pPr>
      <w:r>
        <w:separator/>
      </w:r>
    </w:p>
  </w:footnote>
  <w:footnote w:type="continuationSeparator" w:id="0">
    <w:p w:rsidR="0000279C" w:rsidRDefault="0000279C" w:rsidP="00B36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3"/>
    <w:rsid w:val="0000279C"/>
    <w:rsid w:val="000303E3"/>
    <w:rsid w:val="000519AF"/>
    <w:rsid w:val="0009159D"/>
    <w:rsid w:val="000B1B52"/>
    <w:rsid w:val="000B716F"/>
    <w:rsid w:val="00185313"/>
    <w:rsid w:val="00206375"/>
    <w:rsid w:val="00230A07"/>
    <w:rsid w:val="00281647"/>
    <w:rsid w:val="002A2177"/>
    <w:rsid w:val="002D720A"/>
    <w:rsid w:val="00300DB5"/>
    <w:rsid w:val="00376DA1"/>
    <w:rsid w:val="00393A4D"/>
    <w:rsid w:val="003F7E81"/>
    <w:rsid w:val="004278C0"/>
    <w:rsid w:val="00442628"/>
    <w:rsid w:val="00443E23"/>
    <w:rsid w:val="00444D84"/>
    <w:rsid w:val="00456F05"/>
    <w:rsid w:val="0046093D"/>
    <w:rsid w:val="00462D44"/>
    <w:rsid w:val="0047011E"/>
    <w:rsid w:val="004C5DA5"/>
    <w:rsid w:val="00503E76"/>
    <w:rsid w:val="00560A5B"/>
    <w:rsid w:val="006310BF"/>
    <w:rsid w:val="00650959"/>
    <w:rsid w:val="00661218"/>
    <w:rsid w:val="00687896"/>
    <w:rsid w:val="00696AC8"/>
    <w:rsid w:val="006E3234"/>
    <w:rsid w:val="006E3854"/>
    <w:rsid w:val="00712F5A"/>
    <w:rsid w:val="007131A9"/>
    <w:rsid w:val="00745948"/>
    <w:rsid w:val="00754848"/>
    <w:rsid w:val="0076676A"/>
    <w:rsid w:val="00772D90"/>
    <w:rsid w:val="00772FED"/>
    <w:rsid w:val="007F6380"/>
    <w:rsid w:val="00810611"/>
    <w:rsid w:val="008550F4"/>
    <w:rsid w:val="00880A2D"/>
    <w:rsid w:val="00890E86"/>
    <w:rsid w:val="00912AED"/>
    <w:rsid w:val="00931DBE"/>
    <w:rsid w:val="00A00901"/>
    <w:rsid w:val="00A23EAE"/>
    <w:rsid w:val="00A639D6"/>
    <w:rsid w:val="00A67E31"/>
    <w:rsid w:val="00A91F94"/>
    <w:rsid w:val="00AA5F72"/>
    <w:rsid w:val="00B148F7"/>
    <w:rsid w:val="00B36A1D"/>
    <w:rsid w:val="00B46AD2"/>
    <w:rsid w:val="00B5753A"/>
    <w:rsid w:val="00BB34F2"/>
    <w:rsid w:val="00BB5323"/>
    <w:rsid w:val="00BF26C4"/>
    <w:rsid w:val="00C004F6"/>
    <w:rsid w:val="00C0213E"/>
    <w:rsid w:val="00C0630A"/>
    <w:rsid w:val="00C32BCC"/>
    <w:rsid w:val="00C47976"/>
    <w:rsid w:val="00C651C1"/>
    <w:rsid w:val="00C70607"/>
    <w:rsid w:val="00C80A4B"/>
    <w:rsid w:val="00C87D59"/>
    <w:rsid w:val="00CF0A26"/>
    <w:rsid w:val="00D44173"/>
    <w:rsid w:val="00D52960"/>
    <w:rsid w:val="00D66B99"/>
    <w:rsid w:val="00D91530"/>
    <w:rsid w:val="00DB29F2"/>
    <w:rsid w:val="00DB40B4"/>
    <w:rsid w:val="00DF2AA6"/>
    <w:rsid w:val="00E668D7"/>
    <w:rsid w:val="00E8445D"/>
    <w:rsid w:val="00ED7706"/>
    <w:rsid w:val="00EE4507"/>
    <w:rsid w:val="00F32AD7"/>
    <w:rsid w:val="00F83102"/>
    <w:rsid w:val="00FB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A5DA86-039F-4512-B9A8-779E24E3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B5323"/>
    <w:rPr>
      <w:rFonts w:cs="Times New Roman"/>
      <w:sz w:val="18"/>
      <w:szCs w:val="18"/>
    </w:rPr>
  </w:style>
  <w:style w:type="paragraph" w:styleId="CommentText">
    <w:name w:val="annotation text"/>
    <w:basedOn w:val="Normal"/>
    <w:link w:val="CommentTextChar"/>
    <w:uiPriority w:val="99"/>
    <w:semiHidden/>
    <w:rsid w:val="00BB5323"/>
    <w:pPr>
      <w:spacing w:line="240" w:lineRule="auto"/>
    </w:pPr>
    <w:rPr>
      <w:rFonts w:ascii="Arial" w:hAnsi="Arial" w:cs="Arial"/>
      <w:bCs/>
      <w:sz w:val="24"/>
      <w:szCs w:val="24"/>
    </w:rPr>
  </w:style>
  <w:style w:type="character" w:customStyle="1" w:styleId="CommentTextChar">
    <w:name w:val="Comment Text Char"/>
    <w:basedOn w:val="DefaultParagraphFont"/>
    <w:link w:val="CommentText"/>
    <w:uiPriority w:val="99"/>
    <w:semiHidden/>
    <w:rsid w:val="00BB5323"/>
    <w:rPr>
      <w:rFonts w:ascii="Arial" w:eastAsia="Calibri" w:hAnsi="Arial" w:cs="Arial"/>
      <w:bCs/>
      <w:sz w:val="24"/>
      <w:szCs w:val="24"/>
    </w:rPr>
  </w:style>
  <w:style w:type="character" w:customStyle="1" w:styleId="apple-converted-space">
    <w:name w:val="apple-converted-space"/>
    <w:rsid w:val="00BB5323"/>
  </w:style>
  <w:style w:type="paragraph" w:styleId="BalloonText">
    <w:name w:val="Balloon Text"/>
    <w:basedOn w:val="Normal"/>
    <w:link w:val="BalloonTextChar"/>
    <w:uiPriority w:val="99"/>
    <w:semiHidden/>
    <w:unhideWhenUsed/>
    <w:rsid w:val="00BB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23"/>
    <w:rPr>
      <w:rFonts w:ascii="Segoe UI" w:eastAsia="Calibri" w:hAnsi="Segoe UI" w:cs="Segoe UI"/>
      <w:sz w:val="18"/>
      <w:szCs w:val="18"/>
    </w:rPr>
  </w:style>
  <w:style w:type="paragraph" w:styleId="NormalWeb">
    <w:name w:val="Normal (Web)"/>
    <w:basedOn w:val="Normal"/>
    <w:uiPriority w:val="99"/>
    <w:semiHidden/>
    <w:unhideWhenUsed/>
    <w:rsid w:val="00A009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3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1D"/>
    <w:rPr>
      <w:rFonts w:ascii="Calibri" w:eastAsia="Calibri" w:hAnsi="Calibri" w:cs="Times New Roman"/>
    </w:rPr>
  </w:style>
  <w:style w:type="paragraph" w:styleId="Footer">
    <w:name w:val="footer"/>
    <w:basedOn w:val="Normal"/>
    <w:link w:val="FooterChar"/>
    <w:uiPriority w:val="99"/>
    <w:unhideWhenUsed/>
    <w:rsid w:val="00B3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1D"/>
    <w:rPr>
      <w:rFonts w:ascii="Calibri" w:eastAsia="Calibri" w:hAnsi="Calibri" w:cs="Times New Roman"/>
    </w:rPr>
  </w:style>
  <w:style w:type="paragraph" w:styleId="NoSpacing">
    <w:name w:val="No Spacing"/>
    <w:uiPriority w:val="1"/>
    <w:qFormat/>
    <w:rsid w:val="00CF0A26"/>
    <w:pPr>
      <w:spacing w:after="0" w:line="240" w:lineRule="auto"/>
    </w:pPr>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880A2D"/>
    <w:rPr>
      <w:rFonts w:ascii="Calibri" w:hAnsi="Calibri" w:cs="Times New Roman"/>
      <w:b/>
      <w:sz w:val="20"/>
      <w:szCs w:val="20"/>
    </w:rPr>
  </w:style>
  <w:style w:type="character" w:customStyle="1" w:styleId="CommentSubjectChar">
    <w:name w:val="Comment Subject Char"/>
    <w:basedOn w:val="CommentTextChar"/>
    <w:link w:val="CommentSubject"/>
    <w:uiPriority w:val="99"/>
    <w:semiHidden/>
    <w:rsid w:val="00880A2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 Hudson</dc:creator>
  <cp:lastModifiedBy>Shelby Kenney</cp:lastModifiedBy>
  <cp:revision>4</cp:revision>
  <cp:lastPrinted>2015-05-18T20:02:00Z</cp:lastPrinted>
  <dcterms:created xsi:type="dcterms:W3CDTF">2015-05-28T22:31:00Z</dcterms:created>
  <dcterms:modified xsi:type="dcterms:W3CDTF">2015-05-29T20:41:00Z</dcterms:modified>
  <cp:contentStatus/>
</cp:coreProperties>
</file>