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BF" w:rsidRPr="00313940" w:rsidRDefault="009644BF" w:rsidP="009644BF">
      <w:pPr>
        <w:tabs>
          <w:tab w:val="left" w:pos="6600"/>
        </w:tabs>
        <w:spacing w:line="480" w:lineRule="auto"/>
        <w:rPr>
          <w:b/>
          <w:szCs w:val="22"/>
          <w:lang w:val="en-US" w:eastAsia="en-GB"/>
        </w:rPr>
      </w:pPr>
      <w:r w:rsidRPr="00313940">
        <w:rPr>
          <w:b/>
          <w:szCs w:val="22"/>
          <w:lang w:val="en-US" w:eastAsia="en-GB"/>
        </w:rPr>
        <w:t xml:space="preserve">Supplementary Appendix </w:t>
      </w:r>
    </w:p>
    <w:p w:rsidR="009644BF" w:rsidRPr="00313940" w:rsidRDefault="009644BF" w:rsidP="009644BF">
      <w:pPr>
        <w:tabs>
          <w:tab w:val="left" w:pos="0"/>
        </w:tabs>
        <w:spacing w:line="480" w:lineRule="auto"/>
        <w:rPr>
          <w:szCs w:val="22"/>
          <w:lang w:val="en-US"/>
        </w:rPr>
      </w:pPr>
      <w:r w:rsidRPr="00457DC4">
        <w:rPr>
          <w:b/>
          <w:szCs w:val="22"/>
          <w:lang w:val="en-US" w:eastAsia="en-GB"/>
        </w:rPr>
        <w:t>Table S1</w:t>
      </w:r>
      <w:r>
        <w:rPr>
          <w:b/>
          <w:szCs w:val="22"/>
          <w:lang w:val="en-US" w:eastAsia="en-GB"/>
        </w:rPr>
        <w:t>.</w:t>
      </w:r>
      <w:r w:rsidRPr="00313940">
        <w:rPr>
          <w:b/>
          <w:szCs w:val="22"/>
          <w:lang w:val="en-US" w:eastAsia="en-GB"/>
        </w:rPr>
        <w:t xml:space="preserve"> </w:t>
      </w:r>
      <w:r w:rsidRPr="00457DC4">
        <w:rPr>
          <w:szCs w:val="22"/>
          <w:lang w:val="en-US"/>
        </w:rPr>
        <w:t>Baseline demographic and disease characteristics of patients with c</w:t>
      </w:r>
      <w:r w:rsidRPr="00457DC4">
        <w:rPr>
          <w:szCs w:val="22"/>
          <w:lang w:val="en-US" w:eastAsia="en-GB"/>
        </w:rPr>
        <w:t>entral Ki-67 data available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501"/>
        <w:gridCol w:w="1759"/>
        <w:gridCol w:w="1701"/>
        <w:gridCol w:w="1523"/>
      </w:tblGrid>
      <w:tr w:rsidR="009644BF" w:rsidRPr="00313940" w:rsidTr="00EC6DFE">
        <w:tc>
          <w:tcPr>
            <w:tcW w:w="2802" w:type="dxa"/>
            <w:vMerge w:val="restart"/>
            <w:tcBorders>
              <w:top w:val="single" w:sz="4" w:space="0" w:color="auto"/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Characteristic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AC</w:t>
            </w:r>
            <w:r w:rsidRPr="00313940">
              <w:rPr>
                <w:b/>
                <w:bCs/>
                <w:szCs w:val="22"/>
                <w:lang w:val="en-US"/>
              </w:rPr>
              <w:sym w:font="Wingdings 3" w:char="F0AA"/>
            </w:r>
            <w:r w:rsidRPr="00313940">
              <w:rPr>
                <w:b/>
                <w:szCs w:val="22"/>
                <w:lang w:val="en-US"/>
              </w:rPr>
              <w:t xml:space="preserve">T 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AC</w:t>
            </w:r>
            <w:r w:rsidRPr="00313940">
              <w:rPr>
                <w:b/>
                <w:bCs/>
                <w:szCs w:val="22"/>
                <w:lang w:val="en-US"/>
              </w:rPr>
              <w:sym w:font="Wingdings 3" w:char="F0AA"/>
            </w:r>
            <w:r w:rsidRPr="00313940">
              <w:rPr>
                <w:b/>
                <w:bCs/>
                <w:szCs w:val="22"/>
                <w:lang w:val="en-US"/>
              </w:rPr>
              <w:t>X</w:t>
            </w:r>
            <w:r w:rsidRPr="00313940">
              <w:rPr>
                <w:b/>
                <w:szCs w:val="22"/>
                <w:lang w:val="en-US"/>
              </w:rPr>
              <w:t xml:space="preserve">T </w:t>
            </w:r>
          </w:p>
        </w:tc>
      </w:tr>
      <w:tr w:rsidR="009644BF" w:rsidRPr="00313940" w:rsidTr="00EC6DFE">
        <w:tc>
          <w:tcPr>
            <w:tcW w:w="2802" w:type="dxa"/>
            <w:vMerge/>
            <w:tcBorders>
              <w:top w:val="nil"/>
              <w:bottom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ITT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(</w:t>
            </w:r>
            <w:r w:rsidRPr="00111277">
              <w:rPr>
                <w:b/>
                <w:i/>
                <w:szCs w:val="22"/>
                <w:lang w:val="en-US"/>
              </w:rPr>
              <w:t>N</w:t>
            </w:r>
            <w:r>
              <w:rPr>
                <w:b/>
                <w:szCs w:val="22"/>
                <w:lang w:val="en-US"/>
              </w:rPr>
              <w:t xml:space="preserve"> </w:t>
            </w:r>
            <w:r w:rsidRPr="00313940">
              <w:rPr>
                <w:b/>
                <w:szCs w:val="22"/>
                <w:lang w:val="en-US"/>
              </w:rPr>
              <w:t>=</w:t>
            </w:r>
            <w:r>
              <w:rPr>
                <w:b/>
                <w:szCs w:val="22"/>
                <w:lang w:val="en-US"/>
              </w:rPr>
              <w:t xml:space="preserve"> </w:t>
            </w:r>
            <w:r w:rsidRPr="00313940">
              <w:rPr>
                <w:b/>
                <w:szCs w:val="22"/>
                <w:lang w:val="en-US"/>
              </w:rPr>
              <w:t>1</w:t>
            </w:r>
            <w:r>
              <w:rPr>
                <w:b/>
                <w:szCs w:val="22"/>
                <w:lang w:val="en-US"/>
              </w:rPr>
              <w:t>,</w:t>
            </w:r>
            <w:r w:rsidRPr="00313940">
              <w:rPr>
                <w:b/>
                <w:szCs w:val="22"/>
                <w:lang w:val="en-US"/>
              </w:rPr>
              <w:t>318)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Ki-67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(</w:t>
            </w:r>
            <w:r w:rsidRPr="00111277">
              <w:rPr>
                <w:b/>
                <w:i/>
                <w:szCs w:val="22"/>
                <w:lang w:val="en-US"/>
              </w:rPr>
              <w:t>N</w:t>
            </w:r>
            <w:r>
              <w:rPr>
                <w:b/>
                <w:szCs w:val="22"/>
                <w:lang w:val="en-US"/>
              </w:rPr>
              <w:t xml:space="preserve"> </w:t>
            </w:r>
            <w:r w:rsidRPr="00313940">
              <w:rPr>
                <w:b/>
                <w:szCs w:val="22"/>
                <w:lang w:val="en-US"/>
              </w:rPr>
              <w:t>=</w:t>
            </w:r>
            <w:r>
              <w:rPr>
                <w:b/>
                <w:szCs w:val="22"/>
                <w:lang w:val="en-US"/>
              </w:rPr>
              <w:t xml:space="preserve"> </w:t>
            </w:r>
            <w:r w:rsidRPr="00313940">
              <w:rPr>
                <w:b/>
                <w:szCs w:val="22"/>
                <w:lang w:val="en-US"/>
              </w:rPr>
              <w:t>763)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ITT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(</w:t>
            </w:r>
            <w:r w:rsidRPr="00111277">
              <w:rPr>
                <w:b/>
                <w:i/>
                <w:szCs w:val="22"/>
                <w:lang w:val="en-US"/>
              </w:rPr>
              <w:t>N</w:t>
            </w:r>
            <w:r>
              <w:rPr>
                <w:b/>
                <w:szCs w:val="22"/>
                <w:lang w:val="en-US"/>
              </w:rPr>
              <w:t xml:space="preserve"> </w:t>
            </w:r>
            <w:r w:rsidRPr="00313940">
              <w:rPr>
                <w:b/>
                <w:szCs w:val="22"/>
                <w:lang w:val="en-US"/>
              </w:rPr>
              <w:t>=</w:t>
            </w:r>
            <w:r>
              <w:rPr>
                <w:b/>
                <w:szCs w:val="22"/>
                <w:lang w:val="en-US"/>
              </w:rPr>
              <w:t xml:space="preserve"> </w:t>
            </w:r>
            <w:r w:rsidRPr="00313940">
              <w:rPr>
                <w:b/>
                <w:szCs w:val="22"/>
                <w:lang w:val="en-US"/>
              </w:rPr>
              <w:t>1</w:t>
            </w:r>
            <w:r>
              <w:rPr>
                <w:b/>
                <w:szCs w:val="22"/>
                <w:lang w:val="en-US"/>
              </w:rPr>
              <w:t>,</w:t>
            </w:r>
            <w:r w:rsidRPr="00313940">
              <w:rPr>
                <w:b/>
                <w:szCs w:val="22"/>
                <w:lang w:val="en-US"/>
              </w:rPr>
              <w:t>293)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Ki-67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(</w:t>
            </w:r>
            <w:r w:rsidRPr="00111277">
              <w:rPr>
                <w:b/>
                <w:i/>
                <w:szCs w:val="22"/>
                <w:lang w:val="en-US"/>
              </w:rPr>
              <w:t>N</w:t>
            </w:r>
            <w:r>
              <w:rPr>
                <w:b/>
                <w:szCs w:val="22"/>
                <w:lang w:val="en-US"/>
              </w:rPr>
              <w:t xml:space="preserve"> </w:t>
            </w:r>
            <w:r w:rsidRPr="00313940">
              <w:rPr>
                <w:b/>
                <w:szCs w:val="22"/>
                <w:lang w:val="en-US"/>
              </w:rPr>
              <w:t>=</w:t>
            </w:r>
            <w:r>
              <w:rPr>
                <w:b/>
                <w:szCs w:val="22"/>
                <w:lang w:val="en-US"/>
              </w:rPr>
              <w:t xml:space="preserve"> </w:t>
            </w:r>
            <w:r w:rsidRPr="00313940">
              <w:rPr>
                <w:b/>
                <w:szCs w:val="22"/>
                <w:lang w:val="en-US"/>
              </w:rPr>
              <w:t>751)</w:t>
            </w:r>
          </w:p>
        </w:tc>
      </w:tr>
      <w:tr w:rsidR="009644BF" w:rsidRPr="00313940" w:rsidTr="00EC6DFE">
        <w:tc>
          <w:tcPr>
            <w:tcW w:w="2802" w:type="dxa"/>
            <w:tcBorders>
              <w:top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Median age, </w:t>
            </w:r>
            <w:r>
              <w:rPr>
                <w:szCs w:val="22"/>
                <w:lang w:val="en-US"/>
              </w:rPr>
              <w:t>y</w:t>
            </w:r>
            <w:r w:rsidRPr="00313940">
              <w:rPr>
                <w:szCs w:val="22"/>
                <w:lang w:val="en-US"/>
              </w:rPr>
              <w:t xml:space="preserve"> (range)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51 (26–70)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51 (26–69)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50 (26–72)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51 (26–70)</w:t>
            </w:r>
          </w:p>
        </w:tc>
      </w:tr>
      <w:tr w:rsidR="009644BF" w:rsidRPr="00313940" w:rsidTr="00EC6DFE">
        <w:tc>
          <w:tcPr>
            <w:tcW w:w="2802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TNM stage</w:t>
            </w:r>
            <w:r>
              <w:rPr>
                <w:szCs w:val="22"/>
                <w:lang w:val="en-US"/>
              </w:rPr>
              <w:t xml:space="preserve">, </w:t>
            </w:r>
            <w:r w:rsidRPr="00111277">
              <w:rPr>
                <w:i/>
                <w:szCs w:val="22"/>
                <w:lang w:val="en-US"/>
              </w:rPr>
              <w:t>n</w:t>
            </w:r>
            <w:r>
              <w:rPr>
                <w:szCs w:val="22"/>
                <w:lang w:val="en-US"/>
              </w:rPr>
              <w:t xml:space="preserve"> (%)</w:t>
            </w:r>
            <w:r w:rsidRPr="00313940">
              <w:rPr>
                <w:szCs w:val="22"/>
                <w:lang w:val="en-US"/>
              </w:rPr>
              <w:t xml:space="preserve"> T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T1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T2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T3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T4</w:t>
            </w:r>
          </w:p>
        </w:tc>
        <w:tc>
          <w:tcPr>
            <w:tcW w:w="1501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487 (37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724 (55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103 (8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 (&lt;1</w:t>
            </w:r>
            <w:r w:rsidRPr="00313940">
              <w:rPr>
                <w:szCs w:val="22"/>
                <w:lang w:val="en-US"/>
              </w:rPr>
              <w:t>)</w:t>
            </w:r>
          </w:p>
        </w:tc>
        <w:tc>
          <w:tcPr>
            <w:tcW w:w="1759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276 (36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420 (55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65 (9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 (&lt;1</w:t>
            </w:r>
            <w:r w:rsidRPr="00313940">
              <w:rPr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489 (38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721 (56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82 (6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</w:p>
        </w:tc>
        <w:tc>
          <w:tcPr>
            <w:tcW w:w="1523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289 (39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422 (56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 (5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</w:p>
        </w:tc>
      </w:tr>
      <w:tr w:rsidR="009644BF" w:rsidRPr="00313940" w:rsidTr="00EC6DFE">
        <w:tc>
          <w:tcPr>
            <w:tcW w:w="2802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Number of positive lymph nodes</w:t>
            </w:r>
            <w:r>
              <w:rPr>
                <w:szCs w:val="22"/>
                <w:lang w:val="en-US"/>
              </w:rPr>
              <w:t xml:space="preserve">, </w:t>
            </w:r>
            <w:r w:rsidRPr="00111277">
              <w:rPr>
                <w:i/>
                <w:szCs w:val="22"/>
                <w:lang w:val="en-US"/>
              </w:rPr>
              <w:t>n</w:t>
            </w:r>
            <w:r>
              <w:rPr>
                <w:szCs w:val="22"/>
                <w:lang w:val="en-US"/>
              </w:rPr>
              <w:t xml:space="preserve"> (%)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0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1–3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≥4</w:t>
            </w:r>
          </w:p>
        </w:tc>
        <w:tc>
          <w:tcPr>
            <w:tcW w:w="1501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403 (31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631 (48)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284 (22)</w:t>
            </w:r>
          </w:p>
        </w:tc>
        <w:tc>
          <w:tcPr>
            <w:tcW w:w="1759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218 (29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375 (49)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170 (22)</w:t>
            </w:r>
          </w:p>
        </w:tc>
        <w:tc>
          <w:tcPr>
            <w:tcW w:w="1701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389 (30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627 (49)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277 (21)</w:t>
            </w:r>
          </w:p>
        </w:tc>
        <w:tc>
          <w:tcPr>
            <w:tcW w:w="1523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211 (28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371 (49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169 (23)</w:t>
            </w:r>
          </w:p>
        </w:tc>
      </w:tr>
      <w:tr w:rsidR="009644BF" w:rsidRPr="00313940" w:rsidTr="00EC6DFE">
        <w:tc>
          <w:tcPr>
            <w:tcW w:w="2802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Histologic</w:t>
            </w:r>
            <w:r w:rsidRPr="00313940">
              <w:rPr>
                <w:szCs w:val="22"/>
                <w:lang w:val="en-US"/>
              </w:rPr>
              <w:t xml:space="preserve"> grade</w:t>
            </w:r>
            <w:r>
              <w:rPr>
                <w:szCs w:val="22"/>
                <w:lang w:val="en-US"/>
              </w:rPr>
              <w:t xml:space="preserve">, </w:t>
            </w:r>
            <w:r w:rsidRPr="00111277">
              <w:rPr>
                <w:i/>
                <w:szCs w:val="22"/>
                <w:lang w:val="en-US"/>
              </w:rPr>
              <w:t>n</w:t>
            </w:r>
            <w:r>
              <w:rPr>
                <w:szCs w:val="22"/>
                <w:lang w:val="en-US"/>
              </w:rPr>
              <w:t xml:space="preserve"> (%)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G1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G2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G3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G4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Unknown</w:t>
            </w:r>
          </w:p>
        </w:tc>
        <w:tc>
          <w:tcPr>
            <w:tcW w:w="1501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99 (8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412 (31)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715 (54)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 (&lt;1)</w:t>
            </w:r>
            <w:r w:rsidRPr="00313940">
              <w:rPr>
                <w:szCs w:val="22"/>
                <w:lang w:val="en-US"/>
              </w:rPr>
              <w:br/>
              <w:t>85 (7)</w:t>
            </w:r>
          </w:p>
        </w:tc>
        <w:tc>
          <w:tcPr>
            <w:tcW w:w="1759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71 (9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247 (32)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397 (52)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 (&lt;1</w:t>
            </w:r>
            <w:r w:rsidRPr="00313940">
              <w:rPr>
                <w:szCs w:val="22"/>
                <w:lang w:val="en-US"/>
              </w:rPr>
              <w:t>)</w:t>
            </w:r>
            <w:r w:rsidRPr="00313940">
              <w:rPr>
                <w:szCs w:val="22"/>
                <w:lang w:val="en-US"/>
              </w:rPr>
              <w:br/>
              <w:t>43 (6)</w:t>
            </w:r>
          </w:p>
        </w:tc>
        <w:tc>
          <w:tcPr>
            <w:tcW w:w="1701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114 (9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413 (32)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672 (52)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 (&lt;1</w:t>
            </w:r>
            <w:r w:rsidRPr="00313940">
              <w:rPr>
                <w:szCs w:val="22"/>
                <w:lang w:val="en-US"/>
              </w:rPr>
              <w:t>)</w:t>
            </w:r>
            <w:r w:rsidRPr="00313940">
              <w:rPr>
                <w:szCs w:val="22"/>
                <w:lang w:val="en-US"/>
              </w:rPr>
              <w:br/>
              <w:t>84 (7)</w:t>
            </w:r>
          </w:p>
        </w:tc>
        <w:tc>
          <w:tcPr>
            <w:tcW w:w="1523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67 (9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228 (30)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402 (54)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 (&lt;1</w:t>
            </w:r>
            <w:r w:rsidRPr="00313940">
              <w:rPr>
                <w:szCs w:val="22"/>
                <w:lang w:val="en-US"/>
              </w:rPr>
              <w:t>)</w:t>
            </w:r>
            <w:r w:rsidRPr="00313940">
              <w:rPr>
                <w:szCs w:val="22"/>
                <w:lang w:val="en-US"/>
              </w:rPr>
              <w:br/>
              <w:t>48 (6)</w:t>
            </w:r>
          </w:p>
        </w:tc>
      </w:tr>
      <w:tr w:rsidR="009644BF" w:rsidRPr="00313940" w:rsidTr="00EC6DFE">
        <w:tc>
          <w:tcPr>
            <w:tcW w:w="2802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ER/</w:t>
            </w:r>
            <w:proofErr w:type="spellStart"/>
            <w:r w:rsidRPr="00313940">
              <w:rPr>
                <w:szCs w:val="22"/>
                <w:lang w:val="en-US"/>
              </w:rPr>
              <w:t>PgR</w:t>
            </w:r>
            <w:proofErr w:type="spellEnd"/>
            <w:r w:rsidRPr="00313940">
              <w:rPr>
                <w:szCs w:val="22"/>
                <w:lang w:val="en-US"/>
              </w:rPr>
              <w:t xml:space="preserve"> status</w:t>
            </w:r>
            <w:r>
              <w:rPr>
                <w:szCs w:val="22"/>
                <w:lang w:val="en-US"/>
              </w:rPr>
              <w:t xml:space="preserve">, </w:t>
            </w:r>
            <w:r w:rsidRPr="00111277">
              <w:rPr>
                <w:i/>
                <w:szCs w:val="22"/>
                <w:lang w:val="en-US"/>
              </w:rPr>
              <w:t>n</w:t>
            </w:r>
            <w:r>
              <w:rPr>
                <w:szCs w:val="22"/>
                <w:lang w:val="en-US"/>
              </w:rPr>
              <w:t xml:space="preserve"> (%)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  ER+/</w:t>
            </w:r>
            <w:proofErr w:type="spellStart"/>
            <w:r w:rsidRPr="00313940">
              <w:rPr>
                <w:szCs w:val="22"/>
                <w:lang w:val="en-US"/>
              </w:rPr>
              <w:t>PgR</w:t>
            </w:r>
            <w:proofErr w:type="spellEnd"/>
            <w:r w:rsidRPr="00313940">
              <w:rPr>
                <w:szCs w:val="22"/>
                <w:lang w:val="en-US"/>
              </w:rPr>
              <w:t>+</w:t>
            </w:r>
          </w:p>
          <w:p w:rsidR="009644BF" w:rsidRPr="00783403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s-US"/>
              </w:rPr>
            </w:pPr>
            <w:r w:rsidRPr="00313940">
              <w:rPr>
                <w:szCs w:val="22"/>
                <w:lang w:val="en-US"/>
              </w:rPr>
              <w:t xml:space="preserve">  </w:t>
            </w:r>
            <w:r w:rsidRPr="00783403">
              <w:rPr>
                <w:szCs w:val="22"/>
                <w:lang w:val="es-US"/>
              </w:rPr>
              <w:t>ER+/</w:t>
            </w:r>
            <w:proofErr w:type="spellStart"/>
            <w:r w:rsidRPr="00783403">
              <w:rPr>
                <w:szCs w:val="22"/>
                <w:lang w:val="es-US"/>
              </w:rPr>
              <w:t>PgR</w:t>
            </w:r>
            <w:proofErr w:type="spellEnd"/>
            <w:r w:rsidRPr="00783403">
              <w:rPr>
                <w:szCs w:val="22"/>
                <w:lang w:val="es-US"/>
              </w:rPr>
              <w:t>-</w:t>
            </w:r>
          </w:p>
          <w:p w:rsidR="009644BF" w:rsidRPr="00783403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s-US"/>
              </w:rPr>
            </w:pPr>
            <w:r w:rsidRPr="00783403">
              <w:rPr>
                <w:szCs w:val="22"/>
                <w:lang w:val="es-US"/>
              </w:rPr>
              <w:t xml:space="preserve">  ER-/</w:t>
            </w:r>
            <w:proofErr w:type="spellStart"/>
            <w:r w:rsidRPr="00783403">
              <w:rPr>
                <w:szCs w:val="22"/>
                <w:lang w:val="es-US"/>
              </w:rPr>
              <w:t>PgR</w:t>
            </w:r>
            <w:proofErr w:type="spellEnd"/>
            <w:r w:rsidRPr="00783403">
              <w:rPr>
                <w:szCs w:val="22"/>
                <w:lang w:val="es-US"/>
              </w:rPr>
              <w:t xml:space="preserve">+ </w:t>
            </w:r>
          </w:p>
          <w:p w:rsidR="009644BF" w:rsidRPr="00783403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s-US"/>
              </w:rPr>
            </w:pPr>
            <w:r w:rsidRPr="00783403">
              <w:rPr>
                <w:szCs w:val="22"/>
                <w:lang w:val="es-US"/>
              </w:rPr>
              <w:lastRenderedPageBreak/>
              <w:t xml:space="preserve">  ER-/</w:t>
            </w:r>
            <w:proofErr w:type="spellStart"/>
            <w:r w:rsidRPr="00783403">
              <w:rPr>
                <w:szCs w:val="22"/>
                <w:lang w:val="es-US"/>
              </w:rPr>
              <w:t>PgR</w:t>
            </w:r>
            <w:proofErr w:type="spellEnd"/>
            <w:r w:rsidRPr="00783403">
              <w:rPr>
                <w:szCs w:val="22"/>
                <w:lang w:val="es-US"/>
              </w:rPr>
              <w:t xml:space="preserve">- </w:t>
            </w:r>
          </w:p>
        </w:tc>
        <w:tc>
          <w:tcPr>
            <w:tcW w:w="1501" w:type="dxa"/>
          </w:tcPr>
          <w:p w:rsidR="009644BF" w:rsidRPr="00783403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s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688 (52)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139 (11)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 (2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lastRenderedPageBreak/>
              <w:t>470 (36)</w:t>
            </w:r>
          </w:p>
        </w:tc>
        <w:tc>
          <w:tcPr>
            <w:tcW w:w="1759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403 (53)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83 (1</w:t>
            </w:r>
            <w:r>
              <w:rPr>
                <w:szCs w:val="22"/>
                <w:lang w:val="en-US"/>
              </w:rPr>
              <w:t>1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 (2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lastRenderedPageBreak/>
              <w:t>263 (34)</w:t>
            </w:r>
          </w:p>
        </w:tc>
        <w:tc>
          <w:tcPr>
            <w:tcW w:w="1701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660 (51)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139 (11)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 (2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lastRenderedPageBreak/>
              <w:t>472 (37)</w:t>
            </w:r>
          </w:p>
        </w:tc>
        <w:tc>
          <w:tcPr>
            <w:tcW w:w="1523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360 (48)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92 (12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 (2</w:t>
            </w:r>
            <w:r w:rsidRPr="00313940">
              <w:rPr>
                <w:szCs w:val="22"/>
                <w:lang w:val="en-US"/>
              </w:rPr>
              <w:t>)</w:t>
            </w:r>
          </w:p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lastRenderedPageBreak/>
              <w:t>287 (38)</w:t>
            </w:r>
          </w:p>
        </w:tc>
      </w:tr>
    </w:tbl>
    <w:p w:rsidR="009644BF" w:rsidRPr="00313940" w:rsidRDefault="009644BF" w:rsidP="009644BF">
      <w:pPr>
        <w:spacing w:line="480" w:lineRule="auto"/>
        <w:rPr>
          <w:szCs w:val="22"/>
          <w:lang w:val="en-US"/>
        </w:rPr>
      </w:pPr>
      <w:r w:rsidRPr="00313940">
        <w:rPr>
          <w:color w:val="000000"/>
          <w:szCs w:val="22"/>
          <w:lang w:val="en-US" w:eastAsia="ko-KR"/>
        </w:rPr>
        <w:lastRenderedPageBreak/>
        <w:t>A</w:t>
      </w:r>
      <w:r>
        <w:rPr>
          <w:color w:val="000000"/>
          <w:szCs w:val="22"/>
          <w:lang w:val="en-US" w:eastAsia="ko-KR"/>
        </w:rPr>
        <w:t xml:space="preserve">, </w:t>
      </w:r>
      <w:r w:rsidRPr="00313940">
        <w:rPr>
          <w:color w:val="000000"/>
          <w:szCs w:val="22"/>
          <w:lang w:val="en-US"/>
        </w:rPr>
        <w:t>doxor</w:t>
      </w:r>
      <w:r>
        <w:rPr>
          <w:color w:val="000000"/>
          <w:szCs w:val="22"/>
          <w:lang w:val="en-US"/>
        </w:rPr>
        <w:t xml:space="preserve">ubicin; C, cyclophosphamide; ER, </w:t>
      </w:r>
      <w:r w:rsidRPr="00313940">
        <w:rPr>
          <w:color w:val="000000"/>
          <w:szCs w:val="22"/>
          <w:lang w:val="en-US"/>
        </w:rPr>
        <w:t>estrogen receptor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ITT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intent-to-treat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</w:t>
      </w:r>
      <w:proofErr w:type="spellStart"/>
      <w:r w:rsidRPr="00313940">
        <w:rPr>
          <w:color w:val="000000"/>
          <w:szCs w:val="22"/>
          <w:lang w:val="en-US"/>
        </w:rPr>
        <w:t>PgR</w:t>
      </w:r>
      <w:proofErr w:type="spellEnd"/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progesterone receptor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T</w:t>
      </w:r>
      <w:r>
        <w:rPr>
          <w:color w:val="000000"/>
          <w:szCs w:val="22"/>
          <w:lang w:val="en-US"/>
        </w:rPr>
        <w:t xml:space="preserve">, </w:t>
      </w:r>
      <w:proofErr w:type="spellStart"/>
      <w:r w:rsidRPr="00313940">
        <w:rPr>
          <w:color w:val="000000"/>
          <w:szCs w:val="22"/>
          <w:lang w:val="en-US"/>
        </w:rPr>
        <w:t>d</w:t>
      </w:r>
      <w:r>
        <w:rPr>
          <w:color w:val="000000"/>
          <w:szCs w:val="22"/>
          <w:lang w:val="en-US"/>
        </w:rPr>
        <w:t>ocetaxel</w:t>
      </w:r>
      <w:proofErr w:type="spellEnd"/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X</w:t>
      </w:r>
      <w:r>
        <w:rPr>
          <w:color w:val="000000"/>
          <w:szCs w:val="22"/>
          <w:lang w:val="en-US"/>
        </w:rPr>
        <w:t xml:space="preserve">, </w:t>
      </w:r>
      <w:proofErr w:type="spellStart"/>
      <w:r w:rsidRPr="00313940">
        <w:rPr>
          <w:color w:val="000000"/>
          <w:szCs w:val="22"/>
          <w:lang w:val="en-US"/>
        </w:rPr>
        <w:t>capecitabine</w:t>
      </w:r>
      <w:proofErr w:type="spellEnd"/>
      <w:r w:rsidRPr="00313940">
        <w:rPr>
          <w:color w:val="000000"/>
          <w:szCs w:val="22"/>
          <w:lang w:val="en-US"/>
        </w:rPr>
        <w:t>.</w:t>
      </w:r>
      <w:r>
        <w:rPr>
          <w:color w:val="000000"/>
          <w:szCs w:val="22"/>
          <w:lang w:val="en-US"/>
        </w:rPr>
        <w:t xml:space="preserve"> </w:t>
      </w:r>
    </w:p>
    <w:p w:rsidR="009644BF" w:rsidRPr="00313940" w:rsidRDefault="009644BF" w:rsidP="009644BF">
      <w:pPr>
        <w:rPr>
          <w:b/>
          <w:i/>
          <w:szCs w:val="22"/>
          <w:lang w:val="en-US" w:eastAsia="en-GB"/>
        </w:rPr>
      </w:pPr>
      <w:r w:rsidRPr="00313940">
        <w:rPr>
          <w:b/>
          <w:i/>
          <w:szCs w:val="22"/>
          <w:lang w:val="en-US" w:eastAsia="en-GB"/>
        </w:rPr>
        <w:br w:type="page"/>
      </w:r>
    </w:p>
    <w:p w:rsidR="009644BF" w:rsidRPr="00313940" w:rsidRDefault="009644BF" w:rsidP="009644BF">
      <w:pPr>
        <w:tabs>
          <w:tab w:val="left" w:pos="6600"/>
        </w:tabs>
        <w:spacing w:line="480" w:lineRule="auto"/>
        <w:rPr>
          <w:szCs w:val="22"/>
          <w:lang w:val="en-US"/>
        </w:rPr>
      </w:pPr>
      <w:r w:rsidRPr="008649A4">
        <w:rPr>
          <w:b/>
          <w:szCs w:val="22"/>
          <w:lang w:val="en-US"/>
        </w:rPr>
        <w:lastRenderedPageBreak/>
        <w:t>Table S</w:t>
      </w:r>
      <w:r>
        <w:rPr>
          <w:b/>
          <w:szCs w:val="22"/>
          <w:lang w:val="en-US"/>
        </w:rPr>
        <w:t>2.</w:t>
      </w:r>
      <w:r w:rsidRPr="00313940">
        <w:rPr>
          <w:b/>
          <w:szCs w:val="22"/>
          <w:lang w:val="en-US"/>
        </w:rPr>
        <w:t xml:space="preserve"> </w:t>
      </w:r>
      <w:r w:rsidRPr="008649A4">
        <w:rPr>
          <w:szCs w:val="22"/>
          <w:lang w:val="en-US"/>
        </w:rPr>
        <w:t>Concordance between central and local Ki-67 scores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2"/>
        <w:gridCol w:w="1143"/>
        <w:gridCol w:w="1548"/>
        <w:gridCol w:w="1548"/>
        <w:gridCol w:w="1548"/>
      </w:tblGrid>
      <w:tr w:rsidR="009644BF" w:rsidRPr="00313940" w:rsidTr="00EC6DFE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Local Ki-67 IHC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jc w:val="center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 xml:space="preserve">Central Ki-67 IHC, </w:t>
            </w:r>
            <w:r w:rsidRPr="008649A4">
              <w:rPr>
                <w:b/>
                <w:i/>
                <w:szCs w:val="22"/>
                <w:lang w:val="en-US"/>
              </w:rPr>
              <w:t>n</w:t>
            </w:r>
          </w:p>
        </w:tc>
      </w:tr>
      <w:tr w:rsidR="009644BF" w:rsidRPr="00313940" w:rsidTr="00EC6DFE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</w:p>
        </w:tc>
        <w:tc>
          <w:tcPr>
            <w:tcW w:w="128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&lt;10%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10 to 20%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≥20%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Not done</w:t>
            </w:r>
          </w:p>
        </w:tc>
      </w:tr>
      <w:tr w:rsidR="009644BF" w:rsidRPr="00313940" w:rsidTr="00EC6DFE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All patients, </w:t>
            </w:r>
            <w:r w:rsidRPr="008649A4">
              <w:rPr>
                <w:i/>
                <w:szCs w:val="22"/>
                <w:lang w:val="en-US"/>
              </w:rPr>
              <w:t>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&lt;10%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130</w:t>
            </w:r>
          </w:p>
        </w:tc>
      </w:tr>
      <w:tr w:rsidR="009644BF" w:rsidRPr="00313940" w:rsidTr="00EC6DFE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10 to 20%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144</w:t>
            </w:r>
          </w:p>
        </w:tc>
      </w:tr>
      <w:tr w:rsidR="009644BF" w:rsidRPr="00313940" w:rsidTr="00EC6DFE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≥20%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373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404</w:t>
            </w:r>
          </w:p>
        </w:tc>
      </w:tr>
      <w:tr w:rsidR="009644BF" w:rsidRPr="00313940" w:rsidTr="00EC6DFE">
        <w:trPr>
          <w:trHeight w:val="632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Not done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146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418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409</w:t>
            </w:r>
          </w:p>
        </w:tc>
      </w:tr>
      <w:tr w:rsidR="009644BF" w:rsidRPr="00313940" w:rsidTr="00EC6DFE">
        <w:tc>
          <w:tcPr>
            <w:tcW w:w="1951" w:type="dxa"/>
            <w:gridSpan w:val="2"/>
            <w:tcBorders>
              <w:top w:val="nil"/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rFonts w:eastAsia="Times New Roman"/>
                <w:bCs/>
                <w:color w:val="000000"/>
                <w:kern w:val="24"/>
                <w:szCs w:val="22"/>
                <w:lang w:val="en-US"/>
              </w:rPr>
              <w:t xml:space="preserve">ER+/HER2-, </w:t>
            </w:r>
            <w:r w:rsidRPr="008649A4">
              <w:rPr>
                <w:rFonts w:eastAsia="Times New Roman"/>
                <w:bCs/>
                <w:i/>
                <w:color w:val="000000"/>
                <w:kern w:val="24"/>
                <w:szCs w:val="22"/>
                <w:lang w:val="en-US"/>
              </w:rPr>
              <w:t>n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c>
          <w:tcPr>
            <w:tcW w:w="1951" w:type="dxa"/>
            <w:gridSpan w:val="2"/>
            <w:tcBorders>
              <w:top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&lt;10%</w:t>
            </w:r>
          </w:p>
        </w:tc>
        <w:tc>
          <w:tcPr>
            <w:tcW w:w="1143" w:type="dxa"/>
            <w:tcBorders>
              <w:top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77</w:t>
            </w:r>
          </w:p>
        </w:tc>
        <w:tc>
          <w:tcPr>
            <w:tcW w:w="1548" w:type="dxa"/>
            <w:tcBorders>
              <w:top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52</w:t>
            </w:r>
          </w:p>
        </w:tc>
        <w:tc>
          <w:tcPr>
            <w:tcW w:w="1548" w:type="dxa"/>
            <w:tcBorders>
              <w:top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32</w:t>
            </w:r>
          </w:p>
        </w:tc>
        <w:tc>
          <w:tcPr>
            <w:tcW w:w="1548" w:type="dxa"/>
            <w:tcBorders>
              <w:top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</w:p>
        </w:tc>
      </w:tr>
      <w:tr w:rsidR="009644BF" w:rsidRPr="00313940" w:rsidTr="00EC6DFE">
        <w:tc>
          <w:tcPr>
            <w:tcW w:w="1951" w:type="dxa"/>
            <w:gridSpan w:val="2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10 to 20%</w:t>
            </w:r>
          </w:p>
        </w:tc>
        <w:tc>
          <w:tcPr>
            <w:tcW w:w="1143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32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58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56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</w:p>
        </w:tc>
      </w:tr>
      <w:tr w:rsidR="009644BF" w:rsidRPr="00313940" w:rsidTr="00EC6DFE">
        <w:tc>
          <w:tcPr>
            <w:tcW w:w="1951" w:type="dxa"/>
            <w:gridSpan w:val="2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≥20%</w:t>
            </w:r>
          </w:p>
        </w:tc>
        <w:tc>
          <w:tcPr>
            <w:tcW w:w="1143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15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42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97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</w:p>
        </w:tc>
      </w:tr>
      <w:tr w:rsidR="009644BF" w:rsidRPr="00313940" w:rsidTr="00EC6DFE">
        <w:trPr>
          <w:trHeight w:val="692"/>
        </w:trPr>
        <w:tc>
          <w:tcPr>
            <w:tcW w:w="1951" w:type="dxa"/>
            <w:gridSpan w:val="2"/>
            <w:tcBorders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Total</w:t>
            </w:r>
          </w:p>
        </w:tc>
        <w:tc>
          <w:tcPr>
            <w:tcW w:w="1143" w:type="dxa"/>
            <w:tcBorders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92</w:t>
            </w:r>
          </w:p>
        </w:tc>
        <w:tc>
          <w:tcPr>
            <w:tcW w:w="1548" w:type="dxa"/>
            <w:tcBorders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114</w:t>
            </w:r>
          </w:p>
        </w:tc>
        <w:tc>
          <w:tcPr>
            <w:tcW w:w="1548" w:type="dxa"/>
            <w:tcBorders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154</w:t>
            </w:r>
          </w:p>
        </w:tc>
        <w:tc>
          <w:tcPr>
            <w:tcW w:w="1548" w:type="dxa"/>
            <w:tcBorders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</w:p>
        </w:tc>
      </w:tr>
      <w:tr w:rsidR="009644BF" w:rsidRPr="00313940" w:rsidTr="00EC6DFE">
        <w:tc>
          <w:tcPr>
            <w:tcW w:w="1951" w:type="dxa"/>
            <w:gridSpan w:val="2"/>
            <w:tcBorders>
              <w:top w:val="nil"/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 xml:space="preserve">TNBC, </w:t>
            </w:r>
            <w:r w:rsidRPr="008649A4">
              <w:rPr>
                <w:i/>
                <w:szCs w:val="22"/>
                <w:lang w:val="en-US"/>
              </w:rPr>
              <w:t>n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c>
          <w:tcPr>
            <w:tcW w:w="1951" w:type="dxa"/>
            <w:gridSpan w:val="2"/>
            <w:tcBorders>
              <w:top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&lt;10%</w:t>
            </w:r>
          </w:p>
        </w:tc>
        <w:tc>
          <w:tcPr>
            <w:tcW w:w="1143" w:type="dxa"/>
            <w:tcBorders>
              <w:top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</w:t>
            </w:r>
          </w:p>
        </w:tc>
        <w:tc>
          <w:tcPr>
            <w:tcW w:w="1548" w:type="dxa"/>
            <w:tcBorders>
              <w:top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</w:t>
            </w:r>
          </w:p>
        </w:tc>
        <w:tc>
          <w:tcPr>
            <w:tcW w:w="1548" w:type="dxa"/>
            <w:tcBorders>
              <w:top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9</w:t>
            </w:r>
          </w:p>
        </w:tc>
        <w:tc>
          <w:tcPr>
            <w:tcW w:w="1548" w:type="dxa"/>
            <w:tcBorders>
              <w:top w:val="nil"/>
            </w:tcBorders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</w:p>
        </w:tc>
      </w:tr>
      <w:tr w:rsidR="009644BF" w:rsidRPr="00313940" w:rsidTr="00EC6DFE">
        <w:tc>
          <w:tcPr>
            <w:tcW w:w="1951" w:type="dxa"/>
            <w:gridSpan w:val="2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10 to 20%</w:t>
            </w:r>
          </w:p>
        </w:tc>
        <w:tc>
          <w:tcPr>
            <w:tcW w:w="1143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17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</w:p>
        </w:tc>
      </w:tr>
      <w:tr w:rsidR="009644BF" w:rsidRPr="00313940" w:rsidTr="00EC6DFE">
        <w:tc>
          <w:tcPr>
            <w:tcW w:w="1951" w:type="dxa"/>
            <w:gridSpan w:val="2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≥20%</w:t>
            </w:r>
          </w:p>
        </w:tc>
        <w:tc>
          <w:tcPr>
            <w:tcW w:w="1143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202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</w:p>
        </w:tc>
      </w:tr>
      <w:tr w:rsidR="009644BF" w:rsidRPr="00313940" w:rsidTr="00EC6DFE">
        <w:tc>
          <w:tcPr>
            <w:tcW w:w="1951" w:type="dxa"/>
            <w:gridSpan w:val="2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Total</w:t>
            </w:r>
          </w:p>
        </w:tc>
        <w:tc>
          <w:tcPr>
            <w:tcW w:w="1143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196</w:t>
            </w:r>
          </w:p>
        </w:tc>
        <w:tc>
          <w:tcPr>
            <w:tcW w:w="1548" w:type="dxa"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</w:p>
        </w:tc>
      </w:tr>
    </w:tbl>
    <w:p w:rsidR="009644BF" w:rsidRPr="00313940" w:rsidRDefault="009644BF" w:rsidP="009644BF">
      <w:pPr>
        <w:spacing w:line="480" w:lineRule="auto"/>
        <w:rPr>
          <w:szCs w:val="22"/>
          <w:lang w:val="en-US"/>
        </w:rPr>
      </w:pPr>
      <w:r w:rsidRPr="00313940">
        <w:rPr>
          <w:color w:val="000000"/>
          <w:szCs w:val="22"/>
          <w:lang w:val="en-US"/>
        </w:rPr>
        <w:t>ER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estrogen receptor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</w:t>
      </w:r>
      <w:r w:rsidRPr="00313940">
        <w:rPr>
          <w:szCs w:val="22"/>
          <w:lang w:val="en-US" w:eastAsia="en-GB"/>
        </w:rPr>
        <w:t>HER2</w:t>
      </w:r>
      <w:r>
        <w:rPr>
          <w:szCs w:val="22"/>
          <w:lang w:val="en-US" w:eastAsia="en-GB"/>
        </w:rPr>
        <w:t xml:space="preserve">, </w:t>
      </w:r>
      <w:r w:rsidRPr="00313940">
        <w:rPr>
          <w:szCs w:val="22"/>
          <w:lang w:val="en-US" w:eastAsia="en-GB"/>
        </w:rPr>
        <w:t>human epidermal growth factor receptor 2</w:t>
      </w:r>
      <w:r>
        <w:rPr>
          <w:szCs w:val="22"/>
          <w:lang w:val="en-US" w:eastAsia="en-GB"/>
        </w:rPr>
        <w:t>;</w:t>
      </w:r>
      <w:r w:rsidRPr="00313940">
        <w:rPr>
          <w:szCs w:val="22"/>
          <w:lang w:val="en-US" w:eastAsia="en-GB"/>
        </w:rPr>
        <w:t xml:space="preserve"> </w:t>
      </w:r>
      <w:r w:rsidRPr="00313940">
        <w:rPr>
          <w:color w:val="000000"/>
          <w:szCs w:val="22"/>
          <w:lang w:val="en-US"/>
        </w:rPr>
        <w:t>IHC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immunohistochemistry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TNBC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triple-negative breast cancer.</w:t>
      </w:r>
    </w:p>
    <w:p w:rsidR="009644BF" w:rsidRPr="00313940" w:rsidRDefault="009644BF" w:rsidP="009644BF">
      <w:pPr>
        <w:rPr>
          <w:b/>
          <w:szCs w:val="22"/>
          <w:lang w:val="en-US"/>
        </w:rPr>
      </w:pPr>
      <w:r w:rsidRPr="00313940">
        <w:rPr>
          <w:b/>
          <w:szCs w:val="22"/>
          <w:lang w:val="en-US"/>
        </w:rPr>
        <w:br w:type="page"/>
      </w:r>
    </w:p>
    <w:p w:rsidR="009644BF" w:rsidRPr="00313940" w:rsidRDefault="009644BF" w:rsidP="009644BF">
      <w:pPr>
        <w:spacing w:line="480" w:lineRule="auto"/>
        <w:rPr>
          <w:b/>
          <w:szCs w:val="22"/>
          <w:lang w:val="en-US" w:eastAsia="en-GB"/>
        </w:rPr>
      </w:pPr>
      <w:r w:rsidRPr="000E37D3">
        <w:rPr>
          <w:b/>
          <w:szCs w:val="22"/>
          <w:lang w:val="en-US" w:eastAsia="en-GB"/>
        </w:rPr>
        <w:lastRenderedPageBreak/>
        <w:t>Table S</w:t>
      </w:r>
      <w:r>
        <w:rPr>
          <w:b/>
          <w:szCs w:val="22"/>
          <w:lang w:val="en-US" w:eastAsia="en-GB"/>
        </w:rPr>
        <w:t>3.</w:t>
      </w:r>
      <w:r w:rsidRPr="00313940">
        <w:rPr>
          <w:b/>
          <w:szCs w:val="22"/>
          <w:lang w:val="en-US" w:eastAsia="en-GB"/>
        </w:rPr>
        <w:t xml:space="preserve"> </w:t>
      </w:r>
      <w:r w:rsidRPr="000E37D3">
        <w:rPr>
          <w:szCs w:val="22"/>
          <w:lang w:val="en-US" w:eastAsia="en-GB"/>
        </w:rPr>
        <w:t>Percentage of patients with a DFS event or death in lobular versus ductal early breast cancer (exploratory analysis)</w:t>
      </w:r>
    </w:p>
    <w:tbl>
      <w:tblPr>
        <w:tblW w:w="9510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842"/>
        <w:gridCol w:w="1116"/>
        <w:gridCol w:w="1386"/>
        <w:gridCol w:w="1333"/>
        <w:gridCol w:w="1839"/>
        <w:gridCol w:w="855"/>
      </w:tblGrid>
      <w:tr w:rsidR="009644BF" w:rsidRPr="00313940" w:rsidTr="00EC6DFE">
        <w:trPr>
          <w:trHeight w:val="374"/>
        </w:trPr>
        <w:tc>
          <w:tcPr>
            <w:tcW w:w="21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bCs/>
                <w:szCs w:val="22"/>
                <w:lang w:val="en-US"/>
              </w:rPr>
              <w:t>Histology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AC</w:t>
            </w:r>
            <w:r w:rsidRPr="00313940">
              <w:rPr>
                <w:b/>
                <w:bCs/>
                <w:szCs w:val="22"/>
                <w:lang w:val="en-US"/>
              </w:rPr>
              <w:sym w:font="Wingdings 3" w:char="F0AA"/>
            </w:r>
            <w:r w:rsidRPr="00313940">
              <w:rPr>
                <w:b/>
                <w:szCs w:val="22"/>
                <w:lang w:val="en-US"/>
              </w:rPr>
              <w:t>T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AC</w:t>
            </w:r>
            <w:r w:rsidRPr="00313940">
              <w:rPr>
                <w:b/>
                <w:bCs/>
                <w:szCs w:val="22"/>
                <w:lang w:val="en-US"/>
              </w:rPr>
              <w:sym w:font="Wingdings 3" w:char="F0AA"/>
            </w:r>
            <w:r w:rsidRPr="00313940">
              <w:rPr>
                <w:b/>
                <w:bCs/>
                <w:szCs w:val="22"/>
                <w:lang w:val="en-US"/>
              </w:rPr>
              <w:t>X</w:t>
            </w:r>
            <w:r w:rsidRPr="00313940">
              <w:rPr>
                <w:b/>
                <w:szCs w:val="22"/>
                <w:lang w:val="en-US"/>
              </w:rPr>
              <w:t>T</w:t>
            </w:r>
          </w:p>
        </w:tc>
        <w:tc>
          <w:tcPr>
            <w:tcW w:w="13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AC</w:t>
            </w:r>
            <w:r w:rsidRPr="00313940">
              <w:rPr>
                <w:b/>
                <w:bCs/>
                <w:szCs w:val="22"/>
                <w:lang w:val="en-US"/>
              </w:rPr>
              <w:sym w:font="Wingdings 3" w:char="F0AA"/>
            </w:r>
            <w:r w:rsidRPr="00313940">
              <w:rPr>
                <w:b/>
                <w:szCs w:val="22"/>
                <w:lang w:val="en-US"/>
              </w:rPr>
              <w:t>T</w:t>
            </w:r>
          </w:p>
        </w:tc>
        <w:tc>
          <w:tcPr>
            <w:tcW w:w="13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AC</w:t>
            </w:r>
            <w:r w:rsidRPr="00313940">
              <w:rPr>
                <w:b/>
                <w:bCs/>
                <w:szCs w:val="22"/>
                <w:lang w:val="en-US"/>
              </w:rPr>
              <w:sym w:font="Wingdings 3" w:char="F0AA"/>
            </w:r>
            <w:r w:rsidRPr="00313940">
              <w:rPr>
                <w:b/>
                <w:bCs/>
                <w:szCs w:val="22"/>
                <w:lang w:val="en-US"/>
              </w:rPr>
              <w:t>X</w:t>
            </w:r>
            <w:r w:rsidRPr="00313940">
              <w:rPr>
                <w:b/>
                <w:szCs w:val="22"/>
                <w:lang w:val="en-US"/>
              </w:rPr>
              <w:t>T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bCs/>
                <w:szCs w:val="22"/>
                <w:lang w:val="en-US"/>
              </w:rPr>
              <w:t>HR (95% CI)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0E37D3">
              <w:rPr>
                <w:b/>
                <w:bCs/>
                <w:i/>
                <w:szCs w:val="22"/>
                <w:lang w:val="en-US"/>
              </w:rPr>
              <w:t>P</w:t>
            </w:r>
            <w:r w:rsidRPr="00313940">
              <w:rPr>
                <w:b/>
                <w:bCs/>
                <w:szCs w:val="22"/>
                <w:lang w:val="en-US"/>
              </w:rPr>
              <w:t xml:space="preserve"> value</w:t>
            </w:r>
          </w:p>
        </w:tc>
      </w:tr>
      <w:tr w:rsidR="009644BF" w:rsidRPr="00313940" w:rsidTr="00EC6DFE">
        <w:trPr>
          <w:trHeight w:val="279"/>
        </w:trPr>
        <w:tc>
          <w:tcPr>
            <w:tcW w:w="29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DFS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jc w:val="center"/>
              <w:rPr>
                <w:b/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213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Ductal</w:t>
            </w:r>
          </w:p>
        </w:tc>
        <w:tc>
          <w:tcPr>
            <w:tcW w:w="84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096</w:t>
            </w:r>
          </w:p>
        </w:tc>
        <w:tc>
          <w:tcPr>
            <w:tcW w:w="11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099</w:t>
            </w:r>
          </w:p>
        </w:tc>
        <w:tc>
          <w:tcPr>
            <w:tcW w:w="138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132 (12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0%)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122 (11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1%)</w:t>
            </w:r>
          </w:p>
        </w:tc>
        <w:tc>
          <w:tcPr>
            <w:tcW w:w="183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0.92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72–1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17)</w:t>
            </w:r>
          </w:p>
        </w:tc>
        <w:tc>
          <w:tcPr>
            <w:tcW w:w="85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48</w:t>
            </w:r>
          </w:p>
        </w:tc>
      </w:tr>
      <w:tr w:rsidR="009644BF" w:rsidRPr="00313940" w:rsidTr="00EC6DFE">
        <w:trPr>
          <w:trHeight w:val="279"/>
        </w:trPr>
        <w:tc>
          <w:tcPr>
            <w:tcW w:w="213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Lobular/</w:t>
            </w:r>
            <w:proofErr w:type="spellStart"/>
            <w:r w:rsidRPr="00313940">
              <w:rPr>
                <w:bCs/>
                <w:szCs w:val="22"/>
                <w:lang w:val="en-US"/>
              </w:rPr>
              <w:t>mixed</w:t>
            </w:r>
            <w:r w:rsidRPr="000E37D3">
              <w:rPr>
                <w:bCs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4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176</w:t>
            </w:r>
          </w:p>
        </w:tc>
        <w:tc>
          <w:tcPr>
            <w:tcW w:w="11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179</w:t>
            </w:r>
          </w:p>
        </w:tc>
        <w:tc>
          <w:tcPr>
            <w:tcW w:w="138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27 (15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3%)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16 (8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9%)</w:t>
            </w:r>
          </w:p>
        </w:tc>
        <w:tc>
          <w:tcPr>
            <w:tcW w:w="183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0.55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29–1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01)</w:t>
            </w:r>
          </w:p>
        </w:tc>
        <w:tc>
          <w:tcPr>
            <w:tcW w:w="85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highlight w:val="yellow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055</w:t>
            </w:r>
          </w:p>
        </w:tc>
      </w:tr>
      <w:tr w:rsidR="009644BF" w:rsidRPr="00313940" w:rsidTr="00EC6DFE">
        <w:trPr>
          <w:trHeight w:val="279"/>
        </w:trPr>
        <w:tc>
          <w:tcPr>
            <w:tcW w:w="213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OS</w:t>
            </w:r>
          </w:p>
        </w:tc>
        <w:tc>
          <w:tcPr>
            <w:tcW w:w="84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1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38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83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highlight w:val="yellow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2139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Ductal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096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099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89 (8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1%)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67 (6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1%)</w:t>
            </w:r>
          </w:p>
        </w:tc>
        <w:tc>
          <w:tcPr>
            <w:tcW w:w="1839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75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54–1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02)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highlight w:val="yellow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07</w:t>
            </w:r>
          </w:p>
        </w:tc>
      </w:tr>
      <w:tr w:rsidR="009644BF" w:rsidRPr="00313940" w:rsidTr="00EC6DFE">
        <w:trPr>
          <w:trHeight w:val="279"/>
        </w:trPr>
        <w:tc>
          <w:tcPr>
            <w:tcW w:w="213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284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Lobular/</w:t>
            </w:r>
            <w:proofErr w:type="spellStart"/>
            <w:r w:rsidRPr="00313940">
              <w:rPr>
                <w:bCs/>
                <w:szCs w:val="22"/>
                <w:lang w:val="en-US"/>
              </w:rPr>
              <w:t>mixed</w:t>
            </w:r>
            <w:r w:rsidRPr="000E37D3">
              <w:rPr>
                <w:bCs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176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179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15 (8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5%)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 (3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4%)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38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15–0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98)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highlight w:val="yellow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04</w:t>
            </w:r>
          </w:p>
        </w:tc>
      </w:tr>
    </w:tbl>
    <w:p w:rsidR="009644BF" w:rsidRPr="00313940" w:rsidRDefault="009644BF" w:rsidP="009644BF">
      <w:pPr>
        <w:spacing w:line="480" w:lineRule="auto"/>
        <w:rPr>
          <w:color w:val="000000"/>
          <w:szCs w:val="22"/>
          <w:lang w:val="en-US"/>
        </w:rPr>
      </w:pPr>
      <w:r w:rsidRPr="00313940">
        <w:rPr>
          <w:color w:val="000000"/>
          <w:szCs w:val="22"/>
          <w:lang w:val="en-US" w:eastAsia="ko-KR"/>
        </w:rPr>
        <w:t>A</w:t>
      </w:r>
      <w:r>
        <w:rPr>
          <w:color w:val="000000"/>
          <w:szCs w:val="22"/>
          <w:lang w:val="en-US" w:eastAsia="ko-KR"/>
        </w:rPr>
        <w:t xml:space="preserve">, </w:t>
      </w:r>
      <w:r w:rsidRPr="00313940">
        <w:rPr>
          <w:color w:val="000000"/>
          <w:szCs w:val="22"/>
          <w:lang w:val="en-US"/>
        </w:rPr>
        <w:t>doxorubicin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C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cyclophosphamide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DFS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disease-free survival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ER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estrogen receptor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OS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overall survival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T</w:t>
      </w:r>
      <w:r>
        <w:rPr>
          <w:color w:val="000000"/>
          <w:szCs w:val="22"/>
          <w:lang w:val="en-US"/>
        </w:rPr>
        <w:t xml:space="preserve">, </w:t>
      </w:r>
      <w:proofErr w:type="spellStart"/>
      <w:r w:rsidRPr="00313940">
        <w:rPr>
          <w:color w:val="000000"/>
          <w:szCs w:val="22"/>
          <w:lang w:val="en-US"/>
        </w:rPr>
        <w:t>docetaxel</w:t>
      </w:r>
      <w:proofErr w:type="spellEnd"/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X</w:t>
      </w:r>
      <w:r>
        <w:rPr>
          <w:color w:val="000000"/>
          <w:szCs w:val="22"/>
          <w:lang w:val="en-US"/>
        </w:rPr>
        <w:t xml:space="preserve">, </w:t>
      </w:r>
      <w:proofErr w:type="spellStart"/>
      <w:r w:rsidRPr="00313940">
        <w:rPr>
          <w:color w:val="000000"/>
          <w:szCs w:val="22"/>
          <w:lang w:val="en-US"/>
        </w:rPr>
        <w:t>capecitabine</w:t>
      </w:r>
      <w:proofErr w:type="spellEnd"/>
      <w:r w:rsidRPr="00313940">
        <w:rPr>
          <w:color w:val="000000"/>
          <w:szCs w:val="22"/>
          <w:lang w:val="en-US"/>
        </w:rPr>
        <w:t>.</w:t>
      </w:r>
      <w:r>
        <w:rPr>
          <w:color w:val="000000"/>
          <w:szCs w:val="22"/>
          <w:lang w:val="en-US"/>
        </w:rPr>
        <w:t xml:space="preserve"> </w:t>
      </w:r>
      <w:r w:rsidRPr="00313940">
        <w:rPr>
          <w:color w:val="000000"/>
          <w:szCs w:val="22"/>
          <w:lang w:val="en-US"/>
        </w:rPr>
        <w:t xml:space="preserve">Data are number (%, 95% CI). </w:t>
      </w:r>
      <w:proofErr w:type="spellStart"/>
      <w:proofErr w:type="gramStart"/>
      <w:r>
        <w:rPr>
          <w:color w:val="000000"/>
          <w:szCs w:val="22"/>
          <w:vertAlign w:val="superscript"/>
          <w:lang w:val="en-US"/>
        </w:rPr>
        <w:t>a</w:t>
      </w:r>
      <w:r w:rsidRPr="00313940">
        <w:rPr>
          <w:szCs w:val="22"/>
          <w:lang w:val="en-US"/>
        </w:rPr>
        <w:t>Mixed</w:t>
      </w:r>
      <w:proofErr w:type="spellEnd"/>
      <w:proofErr w:type="gramEnd"/>
      <w:r w:rsidRPr="00313940">
        <w:rPr>
          <w:szCs w:val="22"/>
          <w:lang w:val="en-US"/>
        </w:rPr>
        <w:t xml:space="preserve"> includes lobular/ductal carcinoma</w:t>
      </w:r>
      <w:r w:rsidRPr="00313940">
        <w:rPr>
          <w:color w:val="000000"/>
          <w:szCs w:val="22"/>
          <w:lang w:val="en-US"/>
        </w:rPr>
        <w:t xml:space="preserve">. </w:t>
      </w:r>
    </w:p>
    <w:p w:rsidR="009644BF" w:rsidRPr="00313940" w:rsidRDefault="009644BF" w:rsidP="009644BF">
      <w:pPr>
        <w:rPr>
          <w:b/>
          <w:szCs w:val="22"/>
          <w:lang w:val="en-US"/>
        </w:rPr>
      </w:pPr>
      <w:r w:rsidRPr="00313940">
        <w:rPr>
          <w:b/>
          <w:szCs w:val="22"/>
          <w:lang w:val="en-US"/>
        </w:rPr>
        <w:br w:type="page"/>
      </w:r>
    </w:p>
    <w:p w:rsidR="009644BF" w:rsidRPr="00313940" w:rsidRDefault="009644BF" w:rsidP="009644BF">
      <w:pPr>
        <w:tabs>
          <w:tab w:val="left" w:pos="6600"/>
        </w:tabs>
        <w:spacing w:line="480" w:lineRule="auto"/>
        <w:rPr>
          <w:szCs w:val="22"/>
          <w:lang w:val="en-US"/>
        </w:rPr>
      </w:pPr>
      <w:r w:rsidRPr="000E37D3">
        <w:rPr>
          <w:b/>
          <w:szCs w:val="22"/>
          <w:lang w:val="en-US"/>
        </w:rPr>
        <w:lastRenderedPageBreak/>
        <w:t>Table S</w:t>
      </w:r>
      <w:r>
        <w:rPr>
          <w:b/>
          <w:szCs w:val="22"/>
          <w:lang w:val="en-US"/>
        </w:rPr>
        <w:t>4.</w:t>
      </w:r>
      <w:r w:rsidRPr="00313940">
        <w:rPr>
          <w:b/>
          <w:szCs w:val="22"/>
          <w:lang w:val="en-US"/>
        </w:rPr>
        <w:t xml:space="preserve"> </w:t>
      </w:r>
      <w:r w:rsidRPr="000E37D3">
        <w:rPr>
          <w:szCs w:val="22"/>
          <w:lang w:val="en-US"/>
        </w:rPr>
        <w:t>7-year DFS and OS by central Ki-67 scores (exploratory analysis)</w:t>
      </w:r>
    </w:p>
    <w:tbl>
      <w:tblPr>
        <w:tblW w:w="9510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415"/>
        <w:gridCol w:w="851"/>
        <w:gridCol w:w="992"/>
        <w:gridCol w:w="850"/>
        <w:gridCol w:w="992"/>
        <w:gridCol w:w="1843"/>
        <w:gridCol w:w="851"/>
      </w:tblGrid>
      <w:tr w:rsidR="009644BF" w:rsidRPr="00313940" w:rsidTr="00EC6DFE">
        <w:trPr>
          <w:trHeight w:val="544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bCs/>
                <w:szCs w:val="22"/>
                <w:lang w:val="en-US"/>
              </w:rPr>
              <w:t>Patient group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bCs/>
                <w:szCs w:val="22"/>
                <w:lang w:val="en-US"/>
              </w:rPr>
              <w:t xml:space="preserve">Patients 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AC</w:t>
            </w:r>
            <w:r w:rsidRPr="00313940">
              <w:rPr>
                <w:b/>
                <w:bCs/>
                <w:szCs w:val="22"/>
                <w:lang w:val="en-US"/>
              </w:rPr>
              <w:sym w:font="Wingdings 3" w:char="F0AA"/>
            </w:r>
            <w:r w:rsidRPr="00313940">
              <w:rPr>
                <w:b/>
                <w:szCs w:val="22"/>
                <w:lang w:val="en-US"/>
              </w:rPr>
              <w:t>T</w:t>
            </w:r>
            <w:r w:rsidRPr="00313940">
              <w:rPr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AC</w:t>
            </w:r>
            <w:r w:rsidRPr="00313940">
              <w:rPr>
                <w:b/>
                <w:bCs/>
                <w:szCs w:val="22"/>
                <w:lang w:val="en-US"/>
              </w:rPr>
              <w:sym w:font="Wingdings 3" w:char="F0AA"/>
            </w:r>
            <w:r w:rsidRPr="00313940">
              <w:rPr>
                <w:b/>
                <w:bCs/>
                <w:szCs w:val="22"/>
                <w:lang w:val="en-US"/>
              </w:rPr>
              <w:t>X</w:t>
            </w:r>
            <w:r w:rsidRPr="00313940">
              <w:rPr>
                <w:b/>
                <w:szCs w:val="22"/>
                <w:lang w:val="en-US"/>
              </w:rPr>
              <w:t>T</w:t>
            </w:r>
            <w:r w:rsidRPr="00313940">
              <w:rPr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AC</w:t>
            </w:r>
            <w:r w:rsidRPr="00313940">
              <w:rPr>
                <w:b/>
                <w:bCs/>
                <w:szCs w:val="22"/>
                <w:lang w:val="en-US"/>
              </w:rPr>
              <w:sym w:font="Wingdings 3" w:char="F0AA"/>
            </w:r>
            <w:r w:rsidRPr="00313940">
              <w:rPr>
                <w:b/>
                <w:szCs w:val="22"/>
                <w:lang w:val="en-US"/>
              </w:rPr>
              <w:t>T</w:t>
            </w:r>
            <w:r w:rsidRPr="00313940">
              <w:rPr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AC</w:t>
            </w:r>
            <w:r w:rsidRPr="00313940">
              <w:rPr>
                <w:b/>
                <w:bCs/>
                <w:szCs w:val="22"/>
                <w:lang w:val="en-US"/>
              </w:rPr>
              <w:sym w:font="Wingdings 3" w:char="F0AA"/>
            </w:r>
            <w:r w:rsidRPr="00313940">
              <w:rPr>
                <w:b/>
                <w:bCs/>
                <w:szCs w:val="22"/>
                <w:lang w:val="en-US"/>
              </w:rPr>
              <w:t>X</w:t>
            </w:r>
            <w:r w:rsidRPr="00313940">
              <w:rPr>
                <w:b/>
                <w:szCs w:val="22"/>
                <w:lang w:val="en-US"/>
              </w:rPr>
              <w:t>T</w:t>
            </w:r>
            <w:r w:rsidRPr="00313940">
              <w:rPr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bCs/>
                <w:szCs w:val="22"/>
                <w:lang w:val="en-US"/>
              </w:rPr>
              <w:t>HR (95% CI)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8A784B">
              <w:rPr>
                <w:b/>
                <w:bCs/>
                <w:i/>
                <w:szCs w:val="22"/>
                <w:lang w:val="en-US"/>
              </w:rPr>
              <w:t>P</w:t>
            </w:r>
            <w:r w:rsidRPr="00313940">
              <w:rPr>
                <w:b/>
                <w:bCs/>
                <w:szCs w:val="22"/>
                <w:lang w:val="en-US"/>
              </w:rPr>
              <w:t xml:space="preserve"> value</w:t>
            </w:r>
          </w:p>
        </w:tc>
      </w:tr>
      <w:tr w:rsidR="009644BF" w:rsidRPr="00313940" w:rsidTr="00EC6DFE">
        <w:trPr>
          <w:trHeight w:val="279"/>
        </w:trPr>
        <w:tc>
          <w:tcPr>
            <w:tcW w:w="3982" w:type="dxa"/>
            <w:gridSpan w:val="3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DFS</w:t>
            </w:r>
          </w:p>
        </w:tc>
        <w:tc>
          <w:tcPr>
            <w:tcW w:w="992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jc w:val="center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All patients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304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307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84 (0.68–1.04)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11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Ki-67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&lt;10%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245 (9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4%)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114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131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61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64–4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04)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31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≥10%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1269 (48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</w:t>
            </w:r>
            <w:r>
              <w:rPr>
                <w:szCs w:val="22"/>
                <w:lang w:val="en-US"/>
              </w:rPr>
              <w:t>%</w:t>
            </w:r>
            <w:r w:rsidRPr="00313940">
              <w:rPr>
                <w:szCs w:val="22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643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626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111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90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69–1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18)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45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&lt;20%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581 (22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2%)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278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303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05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64–1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71)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84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≥20%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933 (35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7%)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479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454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88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78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91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67–1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23)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54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Unknown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ind w:left="-15" w:firstLine="15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1097 (42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0%)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547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550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68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47–0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99)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041</w:t>
            </w:r>
          </w:p>
        </w:tc>
      </w:tr>
      <w:tr w:rsidR="009644BF" w:rsidRPr="00313940" w:rsidTr="00EC6DFE">
        <w:trPr>
          <w:trHeight w:val="348"/>
        </w:trPr>
        <w:tc>
          <w:tcPr>
            <w:tcW w:w="1716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ER+/HER2-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824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&lt;10%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216 (26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2%)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117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53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56–4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≥10%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608 (73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8%)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317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291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42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87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58–1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30)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49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&lt;20%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483 (58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6%)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234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249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28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04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61–1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78)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89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≥20%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341 (41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4%)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182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159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85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51–1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44)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55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OS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All patients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304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307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94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69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53–0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90)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0064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Ki-67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&lt;10%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245 (9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3%)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114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131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15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26–5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15)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85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≥10%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1269 (48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6%)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643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626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83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64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77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55–1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06)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11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&lt;20%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581 (22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2%)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278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303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73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35–1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51)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39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≥20%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933 (35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7%)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479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454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55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80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56–1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14)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22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Unknown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1097 (42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0%)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547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550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47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26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55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34–0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89)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014</w:t>
            </w:r>
          </w:p>
        </w:tc>
      </w:tr>
      <w:tr w:rsidR="009644BF" w:rsidRPr="00313940" w:rsidTr="00EC6DFE">
        <w:trPr>
          <w:trHeight w:val="348"/>
        </w:trPr>
        <w:tc>
          <w:tcPr>
            <w:tcW w:w="1716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ER+/HER2-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824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&lt;10%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216 (26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2%)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≥10%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608 (73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8%)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69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41–1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17)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17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lastRenderedPageBreak/>
              <w:t xml:space="preserve">   &lt;20%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483 (58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6%)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234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249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85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37–1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93)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</w:t>
            </w:r>
          </w:p>
        </w:tc>
      </w:tr>
      <w:tr w:rsidR="009644BF" w:rsidRPr="00313940" w:rsidTr="00EC6DFE">
        <w:trPr>
          <w:trHeight w:val="279"/>
        </w:trPr>
        <w:tc>
          <w:tcPr>
            <w:tcW w:w="171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≥20%</w:t>
            </w:r>
          </w:p>
        </w:tc>
        <w:tc>
          <w:tcPr>
            <w:tcW w:w="141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341 (41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4%)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182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159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70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37–1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31)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26</w:t>
            </w:r>
          </w:p>
        </w:tc>
      </w:tr>
    </w:tbl>
    <w:p w:rsidR="009644BF" w:rsidRPr="00313940" w:rsidRDefault="009644BF" w:rsidP="009644BF">
      <w:pPr>
        <w:spacing w:line="480" w:lineRule="auto"/>
        <w:rPr>
          <w:color w:val="000000"/>
          <w:szCs w:val="22"/>
          <w:lang w:val="en-US"/>
        </w:rPr>
      </w:pPr>
      <w:r w:rsidRPr="00313940">
        <w:rPr>
          <w:color w:val="000000"/>
          <w:szCs w:val="22"/>
          <w:lang w:val="en-US" w:eastAsia="ko-KR"/>
        </w:rPr>
        <w:t>A</w:t>
      </w:r>
      <w:r>
        <w:rPr>
          <w:color w:val="000000"/>
          <w:szCs w:val="22"/>
          <w:lang w:val="en-US" w:eastAsia="ko-KR"/>
        </w:rPr>
        <w:t xml:space="preserve">, </w:t>
      </w:r>
      <w:r w:rsidRPr="00313940">
        <w:rPr>
          <w:color w:val="000000"/>
          <w:szCs w:val="22"/>
          <w:lang w:val="en-US"/>
        </w:rPr>
        <w:t>doxorubicin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C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cyclophosphamide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CI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confidence interval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DFS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disease-free survival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ER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estrogen receptor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HER2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human epidermal growth factor receptor 2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HR</w:t>
      </w:r>
      <w:r>
        <w:rPr>
          <w:color w:val="000000"/>
          <w:szCs w:val="22"/>
          <w:lang w:val="en-US"/>
        </w:rPr>
        <w:t>, hazard ratio;</w:t>
      </w:r>
      <w:r w:rsidRPr="00313940">
        <w:rPr>
          <w:color w:val="000000"/>
          <w:szCs w:val="22"/>
          <w:lang w:val="en-US"/>
        </w:rPr>
        <w:t xml:space="preserve"> OS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overall survival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T</w:t>
      </w:r>
      <w:r>
        <w:rPr>
          <w:color w:val="000000"/>
          <w:szCs w:val="22"/>
          <w:lang w:val="en-US"/>
        </w:rPr>
        <w:t xml:space="preserve">, </w:t>
      </w:r>
      <w:proofErr w:type="spellStart"/>
      <w:r w:rsidRPr="00313940">
        <w:rPr>
          <w:color w:val="000000"/>
          <w:szCs w:val="22"/>
          <w:lang w:val="en-US"/>
        </w:rPr>
        <w:t>docetaxel</w:t>
      </w:r>
      <w:proofErr w:type="spellEnd"/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X</w:t>
      </w:r>
      <w:r>
        <w:rPr>
          <w:color w:val="000000"/>
          <w:szCs w:val="22"/>
          <w:lang w:val="en-US"/>
        </w:rPr>
        <w:t xml:space="preserve">, </w:t>
      </w:r>
      <w:proofErr w:type="spellStart"/>
      <w:r w:rsidRPr="00313940">
        <w:rPr>
          <w:color w:val="000000"/>
          <w:szCs w:val="22"/>
          <w:lang w:val="en-US"/>
        </w:rPr>
        <w:t>capecitabine</w:t>
      </w:r>
      <w:proofErr w:type="spellEnd"/>
      <w:r w:rsidRPr="00313940">
        <w:rPr>
          <w:color w:val="000000"/>
          <w:szCs w:val="22"/>
          <w:lang w:val="en-US"/>
        </w:rPr>
        <w:t>.</w:t>
      </w:r>
      <w:r>
        <w:rPr>
          <w:color w:val="000000"/>
          <w:szCs w:val="22"/>
          <w:lang w:val="en-US"/>
        </w:rPr>
        <w:t xml:space="preserve"> </w:t>
      </w:r>
    </w:p>
    <w:p w:rsidR="009644BF" w:rsidRPr="00313940" w:rsidRDefault="009644BF" w:rsidP="009644BF">
      <w:pPr>
        <w:rPr>
          <w:szCs w:val="22"/>
          <w:lang w:val="en-US"/>
        </w:rPr>
      </w:pPr>
    </w:p>
    <w:p w:rsidR="009644BF" w:rsidRPr="00313940" w:rsidRDefault="009644BF" w:rsidP="009644BF">
      <w:pPr>
        <w:rPr>
          <w:b/>
          <w:szCs w:val="22"/>
          <w:lang w:val="en-US"/>
        </w:rPr>
      </w:pPr>
      <w:r w:rsidRPr="00313940">
        <w:rPr>
          <w:b/>
          <w:szCs w:val="22"/>
          <w:lang w:val="en-US"/>
        </w:rPr>
        <w:br w:type="page"/>
      </w:r>
    </w:p>
    <w:p w:rsidR="009644BF" w:rsidRPr="00313940" w:rsidRDefault="009644BF" w:rsidP="009644BF">
      <w:pPr>
        <w:tabs>
          <w:tab w:val="left" w:pos="6600"/>
        </w:tabs>
        <w:spacing w:line="480" w:lineRule="auto"/>
        <w:rPr>
          <w:szCs w:val="22"/>
          <w:lang w:val="en-US"/>
        </w:rPr>
      </w:pPr>
      <w:r w:rsidRPr="00A16F4F">
        <w:rPr>
          <w:b/>
          <w:szCs w:val="22"/>
          <w:lang w:val="en-US"/>
        </w:rPr>
        <w:lastRenderedPageBreak/>
        <w:t>Table S</w:t>
      </w:r>
      <w:r>
        <w:rPr>
          <w:b/>
          <w:szCs w:val="22"/>
          <w:lang w:val="en-US"/>
        </w:rPr>
        <w:t>5.</w:t>
      </w:r>
      <w:r w:rsidRPr="00A16F4F">
        <w:rPr>
          <w:b/>
          <w:szCs w:val="22"/>
          <w:lang w:val="en-US"/>
        </w:rPr>
        <w:t xml:space="preserve"> </w:t>
      </w:r>
      <w:r w:rsidRPr="00A16F4F">
        <w:rPr>
          <w:szCs w:val="22"/>
          <w:lang w:val="en-US"/>
        </w:rPr>
        <w:t>5-year DFS and OS by local Ki-67 scores (exploratory analysis)</w:t>
      </w:r>
    </w:p>
    <w:tbl>
      <w:tblPr>
        <w:tblW w:w="8940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76"/>
        <w:gridCol w:w="851"/>
        <w:gridCol w:w="44"/>
        <w:gridCol w:w="1228"/>
        <w:gridCol w:w="1560"/>
        <w:gridCol w:w="1701"/>
      </w:tblGrid>
      <w:tr w:rsidR="009644BF" w:rsidRPr="00313940" w:rsidTr="00EC6DFE">
        <w:trPr>
          <w:trHeight w:val="544"/>
        </w:trPr>
        <w:tc>
          <w:tcPr>
            <w:tcW w:w="2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bCs/>
                <w:szCs w:val="22"/>
                <w:lang w:val="en-US"/>
              </w:rPr>
              <w:t>Patient group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bCs/>
                <w:szCs w:val="22"/>
                <w:lang w:val="en-US"/>
              </w:rPr>
              <w:t>Patients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AC</w:t>
            </w:r>
            <w:r w:rsidRPr="00313940">
              <w:rPr>
                <w:b/>
                <w:bCs/>
                <w:szCs w:val="22"/>
                <w:lang w:val="en-US"/>
              </w:rPr>
              <w:sym w:font="Wingdings 3" w:char="F0AA"/>
            </w:r>
            <w:r w:rsidRPr="00313940">
              <w:rPr>
                <w:b/>
                <w:szCs w:val="22"/>
                <w:lang w:val="en-US"/>
              </w:rPr>
              <w:t>T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szCs w:val="22"/>
                <w:lang w:val="en-US"/>
              </w:rPr>
              <w:t>AC</w:t>
            </w:r>
            <w:r w:rsidRPr="00313940">
              <w:rPr>
                <w:b/>
                <w:bCs/>
                <w:szCs w:val="22"/>
                <w:lang w:val="en-US"/>
              </w:rPr>
              <w:sym w:font="Wingdings 3" w:char="F0AA"/>
            </w:r>
            <w:r w:rsidRPr="00313940">
              <w:rPr>
                <w:b/>
                <w:bCs/>
                <w:szCs w:val="22"/>
                <w:lang w:val="en-US"/>
              </w:rPr>
              <w:t>X</w:t>
            </w:r>
            <w:r w:rsidRPr="00313940">
              <w:rPr>
                <w:b/>
                <w:szCs w:val="22"/>
                <w:lang w:val="en-US"/>
              </w:rPr>
              <w:t>T</w:t>
            </w:r>
            <w:r w:rsidRPr="00313940">
              <w:rPr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b/>
                <w:szCs w:val="22"/>
                <w:lang w:val="en-US"/>
              </w:rPr>
            </w:pPr>
            <w:r w:rsidRPr="00313940">
              <w:rPr>
                <w:b/>
                <w:bCs/>
                <w:szCs w:val="22"/>
                <w:lang w:val="en-US"/>
              </w:rPr>
              <w:t>HR (95% CI)</w:t>
            </w:r>
          </w:p>
        </w:tc>
      </w:tr>
      <w:tr w:rsidR="009644BF" w:rsidRPr="00313940" w:rsidTr="00EC6DFE">
        <w:trPr>
          <w:trHeight w:val="279"/>
        </w:trPr>
        <w:tc>
          <w:tcPr>
            <w:tcW w:w="4407" w:type="dxa"/>
            <w:gridSpan w:val="3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DFS</w:t>
            </w:r>
          </w:p>
        </w:tc>
        <w:tc>
          <w:tcPr>
            <w:tcW w:w="44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228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All patients</w:t>
            </w: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611</w:t>
            </w:r>
          </w:p>
        </w:tc>
        <w:tc>
          <w:tcPr>
            <w:tcW w:w="1272" w:type="dxa"/>
            <w:gridSpan w:val="2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164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84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67–1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05)</w:t>
            </w:r>
          </w:p>
        </w:tc>
      </w:tr>
      <w:tr w:rsidR="009644BF" w:rsidRPr="00313940" w:rsidTr="00EC6DFE">
        <w:trPr>
          <w:trHeight w:val="279"/>
        </w:trPr>
        <w:tc>
          <w:tcPr>
            <w:tcW w:w="4407" w:type="dxa"/>
            <w:gridSpan w:val="3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Ki-67 (all patients)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&lt;10%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326 (12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5%)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34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57–3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19)</w:t>
            </w: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≥10%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1194 (45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7%)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84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57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70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50–0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98)</w:t>
            </w: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Not done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1076 (41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2%)</w:t>
            </w:r>
          </w:p>
        </w:tc>
        <w:tc>
          <w:tcPr>
            <w:tcW w:w="1272" w:type="dxa"/>
            <w:gridSpan w:val="2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71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71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91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65–1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26)</w:t>
            </w:r>
          </w:p>
        </w:tc>
      </w:tr>
      <w:tr w:rsidR="009644BF" w:rsidRPr="00313940" w:rsidTr="00EC6DFE">
        <w:trPr>
          <w:trHeight w:val="348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ER+/HER2-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443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&lt;10%</w:t>
            </w: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273 (18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9%)</w:t>
            </w:r>
          </w:p>
        </w:tc>
        <w:tc>
          <w:tcPr>
            <w:tcW w:w="1272" w:type="dxa"/>
            <w:gridSpan w:val="2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47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52–4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15)</w:t>
            </w: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≥10%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570 (39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5%)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34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66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38–1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13)</w:t>
            </w: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Unknown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600 (41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6%)</w:t>
            </w:r>
          </w:p>
        </w:tc>
        <w:tc>
          <w:tcPr>
            <w:tcW w:w="1272" w:type="dxa"/>
            <w:gridSpan w:val="2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95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58–1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54)</w:t>
            </w: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OS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44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All patients</w:t>
            </w: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611</w:t>
            </w:r>
          </w:p>
        </w:tc>
        <w:tc>
          <w:tcPr>
            <w:tcW w:w="1272" w:type="dxa"/>
            <w:gridSpan w:val="2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108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75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68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51–0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92)</w:t>
            </w:r>
          </w:p>
        </w:tc>
      </w:tr>
      <w:tr w:rsidR="009644BF" w:rsidRPr="00313940" w:rsidTr="00EC6DFE">
        <w:trPr>
          <w:trHeight w:val="279"/>
        </w:trPr>
        <w:tc>
          <w:tcPr>
            <w:tcW w:w="4407" w:type="dxa"/>
            <w:gridSpan w:val="3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Ki-67 (all patients)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&lt;10%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326 (12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5)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72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23–2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27)</w:t>
            </w: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≥10%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194 (45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7)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56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28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52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33–0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82)</w:t>
            </w: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Not done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076 (41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2)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45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42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85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56–1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30)</w:t>
            </w:r>
          </w:p>
        </w:tc>
      </w:tr>
      <w:tr w:rsidR="009644BF" w:rsidRPr="00313940" w:rsidTr="00EC6DFE">
        <w:trPr>
          <w:trHeight w:val="348"/>
        </w:trPr>
        <w:tc>
          <w:tcPr>
            <w:tcW w:w="2280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>ER+/HER2-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,</w:t>
            </w:r>
            <w:r w:rsidRPr="00313940">
              <w:rPr>
                <w:szCs w:val="22"/>
                <w:lang w:val="en-US"/>
              </w:rPr>
              <w:t>443</w:t>
            </w:r>
          </w:p>
        </w:tc>
        <w:tc>
          <w:tcPr>
            <w:tcW w:w="1272" w:type="dxa"/>
            <w:gridSpan w:val="2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&lt;10%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273 (18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9)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79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21–2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94)</w:t>
            </w: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≥10%</w:t>
            </w: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570 (39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5)</w:t>
            </w:r>
          </w:p>
        </w:tc>
        <w:tc>
          <w:tcPr>
            <w:tcW w:w="1272" w:type="dxa"/>
            <w:gridSpan w:val="2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30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11–0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81)</w:t>
            </w:r>
          </w:p>
        </w:tc>
      </w:tr>
      <w:tr w:rsidR="009644BF" w:rsidRPr="00313940" w:rsidTr="00EC6DFE">
        <w:trPr>
          <w:trHeight w:val="279"/>
        </w:trPr>
        <w:tc>
          <w:tcPr>
            <w:tcW w:w="22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bCs/>
                <w:szCs w:val="22"/>
                <w:lang w:val="en-US"/>
              </w:rPr>
              <w:t xml:space="preserve">   Unknown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600 (41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6)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17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644BF" w:rsidRPr="00313940" w:rsidRDefault="009644BF" w:rsidP="00EC6DFE">
            <w:pPr>
              <w:tabs>
                <w:tab w:val="left" w:pos="6600"/>
              </w:tabs>
              <w:spacing w:line="480" w:lineRule="auto"/>
              <w:rPr>
                <w:szCs w:val="22"/>
                <w:lang w:val="en-US"/>
              </w:rPr>
            </w:pPr>
            <w:r w:rsidRPr="00313940">
              <w:rPr>
                <w:szCs w:val="22"/>
                <w:lang w:val="en-US"/>
              </w:rPr>
              <w:t>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92 (0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47–1</w:t>
            </w:r>
            <w:r>
              <w:rPr>
                <w:szCs w:val="22"/>
                <w:lang w:val="en-US"/>
              </w:rPr>
              <w:t>.</w:t>
            </w:r>
            <w:r w:rsidRPr="00313940">
              <w:rPr>
                <w:szCs w:val="22"/>
                <w:lang w:val="en-US"/>
              </w:rPr>
              <w:t>81)</w:t>
            </w:r>
          </w:p>
        </w:tc>
      </w:tr>
    </w:tbl>
    <w:p w:rsidR="009644BF" w:rsidRPr="00313940" w:rsidRDefault="009644BF" w:rsidP="009644BF">
      <w:pPr>
        <w:spacing w:line="480" w:lineRule="auto"/>
        <w:rPr>
          <w:color w:val="000000"/>
          <w:szCs w:val="22"/>
          <w:lang w:val="en-US"/>
        </w:rPr>
      </w:pPr>
      <w:r w:rsidRPr="00313940">
        <w:rPr>
          <w:color w:val="000000"/>
          <w:szCs w:val="22"/>
          <w:lang w:val="en-US" w:eastAsia="ko-KR"/>
        </w:rPr>
        <w:t>A</w:t>
      </w:r>
      <w:r>
        <w:rPr>
          <w:color w:val="000000"/>
          <w:szCs w:val="22"/>
          <w:lang w:val="en-US" w:eastAsia="ko-KR"/>
        </w:rPr>
        <w:t xml:space="preserve">, </w:t>
      </w:r>
      <w:r>
        <w:rPr>
          <w:color w:val="000000"/>
          <w:szCs w:val="22"/>
          <w:lang w:val="en-US"/>
        </w:rPr>
        <w:t>doxorubicin;</w:t>
      </w:r>
      <w:r w:rsidRPr="00313940">
        <w:rPr>
          <w:color w:val="000000"/>
          <w:szCs w:val="22"/>
          <w:lang w:val="en-US"/>
        </w:rPr>
        <w:t xml:space="preserve"> C</w:t>
      </w:r>
      <w:r>
        <w:rPr>
          <w:color w:val="000000"/>
          <w:szCs w:val="22"/>
          <w:lang w:val="en-US"/>
        </w:rPr>
        <w:t>, cyclophosphamide;</w:t>
      </w:r>
      <w:r w:rsidRPr="00313940">
        <w:rPr>
          <w:color w:val="000000"/>
          <w:szCs w:val="22"/>
          <w:lang w:val="en-US"/>
        </w:rPr>
        <w:t xml:space="preserve"> CI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confidence interval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  <w:lang w:val="en-US"/>
        </w:rPr>
        <w:t xml:space="preserve">DFS, disease-free survival; ER, </w:t>
      </w:r>
      <w:r w:rsidRPr="00313940">
        <w:rPr>
          <w:color w:val="000000"/>
          <w:szCs w:val="22"/>
          <w:lang w:val="en-US"/>
        </w:rPr>
        <w:t>estrogen receptor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HER2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human epidermal growth factor receptor 2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HR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hazard ratio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OS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overall survival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T</w:t>
      </w:r>
      <w:r>
        <w:rPr>
          <w:color w:val="000000"/>
          <w:szCs w:val="22"/>
          <w:lang w:val="en-US"/>
        </w:rPr>
        <w:t xml:space="preserve">, </w:t>
      </w:r>
      <w:proofErr w:type="spellStart"/>
      <w:r>
        <w:rPr>
          <w:color w:val="000000"/>
          <w:szCs w:val="22"/>
          <w:lang w:val="en-US"/>
        </w:rPr>
        <w:t>docetaxel</w:t>
      </w:r>
      <w:proofErr w:type="spellEnd"/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X</w:t>
      </w:r>
      <w:r>
        <w:rPr>
          <w:color w:val="000000"/>
          <w:szCs w:val="22"/>
          <w:lang w:val="en-US"/>
        </w:rPr>
        <w:t xml:space="preserve">, </w:t>
      </w:r>
      <w:proofErr w:type="spellStart"/>
      <w:r w:rsidRPr="00313940">
        <w:rPr>
          <w:color w:val="000000"/>
          <w:szCs w:val="22"/>
          <w:lang w:val="en-US"/>
        </w:rPr>
        <w:t>capecitabine</w:t>
      </w:r>
      <w:proofErr w:type="spellEnd"/>
      <w:r w:rsidRPr="00313940">
        <w:rPr>
          <w:color w:val="000000"/>
          <w:szCs w:val="22"/>
          <w:lang w:val="en-US"/>
        </w:rPr>
        <w:t>.</w:t>
      </w:r>
      <w:r w:rsidRPr="00C57EEC">
        <w:rPr>
          <w:color w:val="000000"/>
          <w:szCs w:val="22"/>
          <w:lang w:val="en-US" w:eastAsia="ko-KR"/>
        </w:rPr>
        <w:t xml:space="preserve"> </w:t>
      </w:r>
    </w:p>
    <w:p w:rsidR="009644BF" w:rsidRPr="00313940" w:rsidRDefault="009644BF" w:rsidP="009644BF">
      <w:pPr>
        <w:rPr>
          <w:szCs w:val="22"/>
          <w:lang w:val="en-US"/>
        </w:rPr>
      </w:pPr>
    </w:p>
    <w:p w:rsidR="009644BF" w:rsidRPr="00313940" w:rsidRDefault="009644BF" w:rsidP="009644BF">
      <w:pPr>
        <w:spacing w:line="480" w:lineRule="auto"/>
        <w:rPr>
          <w:szCs w:val="22"/>
          <w:lang w:val="en-US"/>
        </w:rPr>
      </w:pPr>
      <w:r w:rsidRPr="00460A39">
        <w:rPr>
          <w:b/>
          <w:szCs w:val="22"/>
          <w:lang w:val="en-US"/>
        </w:rPr>
        <w:lastRenderedPageBreak/>
        <w:t>Figure S1</w:t>
      </w:r>
      <w:r>
        <w:rPr>
          <w:b/>
          <w:szCs w:val="22"/>
          <w:lang w:val="en-US"/>
        </w:rPr>
        <w:t>.</w:t>
      </w:r>
      <w:r w:rsidRPr="00313940">
        <w:rPr>
          <w:b/>
          <w:szCs w:val="22"/>
          <w:lang w:val="en-US"/>
        </w:rPr>
        <w:t xml:space="preserve"> </w:t>
      </w:r>
      <w:r w:rsidRPr="00460A39">
        <w:rPr>
          <w:szCs w:val="22"/>
          <w:lang w:val="en-US"/>
        </w:rPr>
        <w:t xml:space="preserve">Forest plot of hazard ratios by subgroup in the ITT population (planned analysis) for (A) DFS and (B) OS </w:t>
      </w:r>
    </w:p>
    <w:p w:rsidR="009644BF" w:rsidRPr="00313940" w:rsidRDefault="009644BF" w:rsidP="009644BF">
      <w:pPr>
        <w:spacing w:line="480" w:lineRule="auto"/>
        <w:rPr>
          <w:szCs w:val="22"/>
          <w:lang w:val="en-US"/>
        </w:rPr>
      </w:pPr>
      <w:r w:rsidRPr="00313940">
        <w:rPr>
          <w:color w:val="000000"/>
          <w:szCs w:val="22"/>
          <w:lang w:val="en-US" w:eastAsia="ko-KR"/>
        </w:rPr>
        <w:t>DFS</w:t>
      </w:r>
      <w:r>
        <w:rPr>
          <w:color w:val="000000"/>
          <w:szCs w:val="22"/>
          <w:lang w:val="en-US" w:eastAsia="ko-KR"/>
        </w:rPr>
        <w:t>, disease-free survival;</w:t>
      </w:r>
      <w:r w:rsidRPr="00313940">
        <w:rPr>
          <w:color w:val="000000"/>
          <w:szCs w:val="22"/>
          <w:lang w:val="en-US" w:eastAsia="ko-KR"/>
        </w:rPr>
        <w:t xml:space="preserve"> </w:t>
      </w:r>
      <w:r>
        <w:rPr>
          <w:color w:val="000000"/>
          <w:szCs w:val="22"/>
          <w:lang w:val="en-US" w:eastAsia="ko-KR"/>
        </w:rPr>
        <w:t xml:space="preserve">ER, </w:t>
      </w:r>
      <w:r w:rsidRPr="00313940">
        <w:rPr>
          <w:color w:val="000000"/>
          <w:szCs w:val="22"/>
          <w:lang w:val="en-US" w:eastAsia="ko-KR"/>
        </w:rPr>
        <w:t>estrogen receptor</w:t>
      </w:r>
      <w:r>
        <w:rPr>
          <w:color w:val="000000"/>
          <w:szCs w:val="22"/>
          <w:lang w:val="en-US" w:eastAsia="ko-KR"/>
        </w:rPr>
        <w:t>;</w:t>
      </w:r>
      <w:r w:rsidRPr="00313940">
        <w:rPr>
          <w:color w:val="000000"/>
          <w:szCs w:val="22"/>
          <w:lang w:val="en-US" w:eastAsia="ko-KR"/>
        </w:rPr>
        <w:t xml:space="preserve"> </w:t>
      </w:r>
      <w:r w:rsidRPr="00313940">
        <w:rPr>
          <w:color w:val="000000"/>
          <w:szCs w:val="22"/>
          <w:lang w:val="en-US"/>
        </w:rPr>
        <w:t>HER2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human epidermal growth factor receptor 2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HR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hazard ratio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OS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overall survival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</w:t>
      </w:r>
      <w:proofErr w:type="spellStart"/>
      <w:r w:rsidRPr="00313940">
        <w:rPr>
          <w:color w:val="000000"/>
          <w:szCs w:val="22"/>
          <w:lang w:val="en-US" w:eastAsia="ko-KR"/>
        </w:rPr>
        <w:t>PgR</w:t>
      </w:r>
      <w:proofErr w:type="spellEnd"/>
      <w:r>
        <w:rPr>
          <w:color w:val="000000"/>
          <w:szCs w:val="22"/>
          <w:lang w:val="en-US" w:eastAsia="ko-KR"/>
        </w:rPr>
        <w:t>, progesterone receptor;</w:t>
      </w:r>
      <w:r w:rsidRPr="00313940">
        <w:rPr>
          <w:color w:val="000000"/>
          <w:szCs w:val="22"/>
          <w:lang w:val="en-US"/>
        </w:rPr>
        <w:t xml:space="preserve"> T</w:t>
      </w:r>
      <w:r>
        <w:rPr>
          <w:color w:val="000000"/>
          <w:szCs w:val="22"/>
          <w:lang w:val="en-US"/>
        </w:rPr>
        <w:t xml:space="preserve">, </w:t>
      </w:r>
      <w:proofErr w:type="spellStart"/>
      <w:r w:rsidRPr="00313940">
        <w:rPr>
          <w:color w:val="000000"/>
          <w:szCs w:val="22"/>
          <w:lang w:val="en-US"/>
        </w:rPr>
        <w:t>docetaxel</w:t>
      </w:r>
      <w:proofErr w:type="spellEnd"/>
      <w:r>
        <w:rPr>
          <w:color w:val="000000"/>
          <w:szCs w:val="22"/>
          <w:lang w:val="en-US"/>
        </w:rPr>
        <w:t xml:space="preserve">; X, </w:t>
      </w:r>
      <w:proofErr w:type="spellStart"/>
      <w:r w:rsidRPr="00313940">
        <w:rPr>
          <w:color w:val="000000"/>
          <w:szCs w:val="22"/>
          <w:lang w:val="en-US"/>
        </w:rPr>
        <w:t>capecitabine</w:t>
      </w:r>
      <w:proofErr w:type="spellEnd"/>
      <w:r w:rsidRPr="00313940">
        <w:rPr>
          <w:color w:val="000000"/>
          <w:szCs w:val="22"/>
          <w:lang w:val="en-US"/>
        </w:rPr>
        <w:t>.</w:t>
      </w:r>
    </w:p>
    <w:p w:rsidR="009644BF" w:rsidRDefault="009644BF" w:rsidP="009644BF">
      <w:pPr>
        <w:spacing w:line="480" w:lineRule="auto"/>
        <w:rPr>
          <w:szCs w:val="22"/>
          <w:lang w:val="en-US"/>
        </w:rPr>
      </w:pPr>
    </w:p>
    <w:p w:rsidR="009644BF" w:rsidRPr="00313940" w:rsidRDefault="009644BF" w:rsidP="009644BF">
      <w:pPr>
        <w:tabs>
          <w:tab w:val="left" w:pos="6600"/>
        </w:tabs>
        <w:spacing w:line="480" w:lineRule="auto"/>
        <w:rPr>
          <w:b/>
          <w:szCs w:val="22"/>
          <w:lang w:val="en-US"/>
        </w:rPr>
      </w:pPr>
      <w:r w:rsidRPr="00CE0B93">
        <w:rPr>
          <w:b/>
          <w:szCs w:val="22"/>
          <w:lang w:val="en-US"/>
        </w:rPr>
        <w:t>Figure S2</w:t>
      </w:r>
      <w:r>
        <w:rPr>
          <w:b/>
          <w:szCs w:val="22"/>
          <w:lang w:val="en-US"/>
        </w:rPr>
        <w:t>.</w:t>
      </w:r>
      <w:r w:rsidRPr="00313940">
        <w:rPr>
          <w:b/>
          <w:szCs w:val="22"/>
          <w:lang w:val="en-US"/>
        </w:rPr>
        <w:t xml:space="preserve"> </w:t>
      </w:r>
      <w:r w:rsidRPr="00CE0B93">
        <w:rPr>
          <w:szCs w:val="22"/>
          <w:lang w:val="en-US"/>
        </w:rPr>
        <w:t>Distribution of central Ki-67 scores in (A) ER-positive/HER2-negative breast cancer (</w:t>
      </w:r>
      <w:r w:rsidRPr="00CE0B93">
        <w:rPr>
          <w:i/>
          <w:szCs w:val="22"/>
          <w:lang w:val="en-US"/>
        </w:rPr>
        <w:t>n</w:t>
      </w:r>
      <w:r>
        <w:rPr>
          <w:szCs w:val="22"/>
          <w:lang w:val="en-US"/>
        </w:rPr>
        <w:t xml:space="preserve"> </w:t>
      </w:r>
      <w:r w:rsidRPr="00CE0B93">
        <w:rPr>
          <w:szCs w:val="22"/>
          <w:lang w:val="en-US"/>
        </w:rPr>
        <w:t>=</w:t>
      </w:r>
      <w:r>
        <w:rPr>
          <w:szCs w:val="22"/>
          <w:lang w:val="en-US"/>
        </w:rPr>
        <w:t xml:space="preserve"> </w:t>
      </w:r>
      <w:r w:rsidRPr="00CE0B93">
        <w:rPr>
          <w:szCs w:val="22"/>
          <w:lang w:val="en-US"/>
        </w:rPr>
        <w:t>824) and (B) TNBC (</w:t>
      </w:r>
      <w:r w:rsidRPr="00CE0B93">
        <w:rPr>
          <w:i/>
          <w:szCs w:val="22"/>
          <w:lang w:val="en-US"/>
        </w:rPr>
        <w:t>n</w:t>
      </w:r>
      <w:r>
        <w:rPr>
          <w:szCs w:val="22"/>
          <w:lang w:val="en-US"/>
        </w:rPr>
        <w:t xml:space="preserve"> </w:t>
      </w:r>
      <w:r w:rsidRPr="00CE0B93">
        <w:rPr>
          <w:szCs w:val="22"/>
          <w:lang w:val="en-US"/>
        </w:rPr>
        <w:t>=</w:t>
      </w:r>
      <w:r>
        <w:rPr>
          <w:szCs w:val="22"/>
          <w:lang w:val="en-US"/>
        </w:rPr>
        <w:t xml:space="preserve"> </w:t>
      </w:r>
      <w:r w:rsidRPr="00CE0B93">
        <w:rPr>
          <w:szCs w:val="22"/>
          <w:lang w:val="en-US"/>
        </w:rPr>
        <w:t>454)</w:t>
      </w:r>
    </w:p>
    <w:p w:rsidR="009644BF" w:rsidRPr="00313940" w:rsidRDefault="009644BF" w:rsidP="009644BF">
      <w:pPr>
        <w:spacing w:line="480" w:lineRule="auto"/>
        <w:rPr>
          <w:szCs w:val="22"/>
          <w:lang w:val="en-US"/>
        </w:rPr>
      </w:pPr>
      <w:r>
        <w:rPr>
          <w:color w:val="000000"/>
          <w:szCs w:val="22"/>
          <w:lang w:val="en-US" w:eastAsia="ko-KR"/>
        </w:rPr>
        <w:t xml:space="preserve">ER, </w:t>
      </w:r>
      <w:r w:rsidRPr="00313940">
        <w:rPr>
          <w:color w:val="000000"/>
          <w:szCs w:val="22"/>
          <w:lang w:val="en-US" w:eastAsia="ko-KR"/>
        </w:rPr>
        <w:t>estrogen recep</w:t>
      </w:r>
      <w:r>
        <w:rPr>
          <w:color w:val="000000"/>
          <w:szCs w:val="22"/>
          <w:lang w:val="en-US" w:eastAsia="ko-KR"/>
        </w:rPr>
        <w:t>tor;</w:t>
      </w:r>
      <w:r w:rsidRPr="00313940">
        <w:rPr>
          <w:color w:val="000000"/>
          <w:szCs w:val="22"/>
          <w:lang w:val="en-US" w:eastAsia="ko-KR"/>
        </w:rPr>
        <w:t xml:space="preserve"> </w:t>
      </w:r>
      <w:r w:rsidRPr="00313940">
        <w:rPr>
          <w:color w:val="000000"/>
          <w:szCs w:val="22"/>
          <w:lang w:val="en-US"/>
        </w:rPr>
        <w:t>HER2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human epidermal growth factor receptor 2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</w:t>
      </w:r>
      <w:r w:rsidRPr="00313940">
        <w:rPr>
          <w:color w:val="000000"/>
          <w:szCs w:val="22"/>
          <w:lang w:val="en-US" w:eastAsia="ko-KR"/>
        </w:rPr>
        <w:t>IHC</w:t>
      </w:r>
      <w:r>
        <w:rPr>
          <w:color w:val="000000"/>
          <w:szCs w:val="22"/>
          <w:lang w:val="en-US" w:eastAsia="ko-KR"/>
        </w:rPr>
        <w:t>, immunohistochemistry;</w:t>
      </w:r>
      <w:r w:rsidRPr="00313940">
        <w:rPr>
          <w:color w:val="000000"/>
          <w:szCs w:val="22"/>
          <w:lang w:val="en-US" w:eastAsia="ko-KR"/>
        </w:rPr>
        <w:t xml:space="preserve"> </w:t>
      </w:r>
      <w:r>
        <w:rPr>
          <w:color w:val="000000"/>
          <w:szCs w:val="22"/>
          <w:lang w:val="en-US"/>
        </w:rPr>
        <w:t xml:space="preserve">TNBC, </w:t>
      </w:r>
      <w:r w:rsidRPr="00313940">
        <w:rPr>
          <w:color w:val="000000"/>
          <w:szCs w:val="22"/>
          <w:lang w:val="en-US"/>
        </w:rPr>
        <w:t xml:space="preserve">triple-negative breast cancer. </w:t>
      </w:r>
    </w:p>
    <w:p w:rsidR="009644BF" w:rsidRPr="00313940" w:rsidRDefault="009644BF" w:rsidP="009644BF">
      <w:pPr>
        <w:tabs>
          <w:tab w:val="left" w:pos="6600"/>
        </w:tabs>
        <w:spacing w:line="480" w:lineRule="auto"/>
        <w:rPr>
          <w:b/>
          <w:szCs w:val="22"/>
          <w:lang w:val="en-US"/>
        </w:rPr>
      </w:pPr>
    </w:p>
    <w:p w:rsidR="009644BF" w:rsidRPr="009426D5" w:rsidRDefault="009644BF" w:rsidP="009644BF">
      <w:pPr>
        <w:spacing w:line="480" w:lineRule="auto"/>
        <w:rPr>
          <w:b/>
          <w:sz w:val="20"/>
          <w:szCs w:val="20"/>
          <w:lang w:val="en-US" w:eastAsia="en-GB"/>
        </w:rPr>
      </w:pPr>
      <w:r w:rsidRPr="002C1485">
        <w:rPr>
          <w:b/>
          <w:szCs w:val="22"/>
          <w:lang w:val="en-US"/>
        </w:rPr>
        <w:t>Figure S</w:t>
      </w:r>
      <w:r>
        <w:rPr>
          <w:b/>
          <w:szCs w:val="22"/>
          <w:lang w:val="en-US"/>
        </w:rPr>
        <w:t>3.</w:t>
      </w:r>
      <w:r w:rsidRPr="00313940">
        <w:rPr>
          <w:b/>
          <w:szCs w:val="22"/>
          <w:lang w:val="en-US"/>
        </w:rPr>
        <w:t xml:space="preserve"> </w:t>
      </w:r>
      <w:r w:rsidRPr="002C1485">
        <w:rPr>
          <w:szCs w:val="22"/>
          <w:lang w:val="en-US"/>
        </w:rPr>
        <w:t xml:space="preserve">Subpopulation Treatment Effect Pattern Plot for 5-year DFS between the two treatment arms within predefined patient subgroups based on Ki-67 levels in (A) ER-positive/HER2-negative breast cancer and (B) TNBC (exploratory analysis). </w:t>
      </w:r>
    </w:p>
    <w:p w:rsidR="009644BF" w:rsidRDefault="009644BF" w:rsidP="009644BF">
      <w:pPr>
        <w:tabs>
          <w:tab w:val="left" w:pos="6600"/>
        </w:tabs>
        <w:spacing w:line="480" w:lineRule="auto"/>
        <w:rPr>
          <w:lang w:val="en-US"/>
        </w:rPr>
      </w:pPr>
      <w:r w:rsidRPr="00313940">
        <w:rPr>
          <w:szCs w:val="22"/>
          <w:lang w:val="en-US"/>
        </w:rPr>
        <w:t>The x-axis shows the Ki-67 cutoff used to categori</w:t>
      </w:r>
      <w:r>
        <w:rPr>
          <w:szCs w:val="22"/>
          <w:lang w:val="en-US"/>
        </w:rPr>
        <w:t>z</w:t>
      </w:r>
      <w:r w:rsidRPr="00313940">
        <w:rPr>
          <w:szCs w:val="22"/>
          <w:lang w:val="en-US"/>
        </w:rPr>
        <w:t xml:space="preserve">e patients into low and high groups, with the actual Ki-67 value noted in parentheses. </w:t>
      </w:r>
      <w:r w:rsidRPr="00313940">
        <w:rPr>
          <w:lang w:val="en-US"/>
        </w:rPr>
        <w:t>Dashed and solid lines represent T and XT arms, respectively.</w:t>
      </w:r>
      <w:r>
        <w:rPr>
          <w:lang w:val="en-US"/>
        </w:rPr>
        <w:t xml:space="preserve"> </w:t>
      </w:r>
    </w:p>
    <w:p w:rsidR="009644BF" w:rsidRPr="005E67A9" w:rsidRDefault="009644BF" w:rsidP="009644BF">
      <w:pPr>
        <w:tabs>
          <w:tab w:val="left" w:pos="6600"/>
        </w:tabs>
        <w:spacing w:line="480" w:lineRule="auto"/>
        <w:rPr>
          <w:lang w:val="en-US"/>
        </w:rPr>
      </w:pPr>
      <w:r w:rsidRPr="00313940">
        <w:rPr>
          <w:color w:val="000000"/>
          <w:szCs w:val="22"/>
          <w:lang w:val="en-US" w:eastAsia="ko-KR"/>
        </w:rPr>
        <w:t>A</w:t>
      </w:r>
      <w:r>
        <w:rPr>
          <w:color w:val="000000"/>
          <w:szCs w:val="22"/>
          <w:lang w:val="en-US" w:eastAsia="ko-KR"/>
        </w:rPr>
        <w:t>, doxorubicin;</w:t>
      </w:r>
      <w:r w:rsidRPr="00313940">
        <w:rPr>
          <w:color w:val="000000"/>
          <w:szCs w:val="22"/>
          <w:lang w:val="en-US" w:eastAsia="ko-KR"/>
        </w:rPr>
        <w:t xml:space="preserve"> C</w:t>
      </w:r>
      <w:r>
        <w:rPr>
          <w:color w:val="000000"/>
          <w:szCs w:val="22"/>
          <w:lang w:val="en-US" w:eastAsia="ko-KR"/>
        </w:rPr>
        <w:t xml:space="preserve">, </w:t>
      </w:r>
      <w:r w:rsidRPr="00313940">
        <w:rPr>
          <w:color w:val="000000"/>
          <w:szCs w:val="22"/>
          <w:lang w:val="en-US" w:eastAsia="ko-KR"/>
        </w:rPr>
        <w:t>cyclophosphamide</w:t>
      </w:r>
      <w:r>
        <w:rPr>
          <w:color w:val="000000"/>
          <w:szCs w:val="22"/>
          <w:lang w:val="en-US" w:eastAsia="ko-KR"/>
        </w:rPr>
        <w:t>;</w:t>
      </w:r>
      <w:r w:rsidRPr="00313940">
        <w:rPr>
          <w:color w:val="000000"/>
          <w:szCs w:val="22"/>
          <w:lang w:val="en-US" w:eastAsia="ko-KR"/>
        </w:rPr>
        <w:t xml:space="preserve"> CI</w:t>
      </w:r>
      <w:r>
        <w:rPr>
          <w:color w:val="000000"/>
          <w:szCs w:val="22"/>
          <w:lang w:val="en-US" w:eastAsia="ko-KR"/>
        </w:rPr>
        <w:t xml:space="preserve">, </w:t>
      </w:r>
      <w:r w:rsidRPr="00313940">
        <w:rPr>
          <w:color w:val="000000"/>
          <w:szCs w:val="22"/>
          <w:lang w:val="en-US" w:eastAsia="ko-KR"/>
        </w:rPr>
        <w:t>confidence interval</w:t>
      </w:r>
      <w:r>
        <w:rPr>
          <w:color w:val="000000"/>
          <w:szCs w:val="22"/>
          <w:lang w:val="en-US" w:eastAsia="ko-KR"/>
        </w:rPr>
        <w:t xml:space="preserve">; DFS, disease-free survival; ER, </w:t>
      </w:r>
      <w:r w:rsidRPr="00313940">
        <w:rPr>
          <w:color w:val="000000"/>
          <w:szCs w:val="22"/>
          <w:lang w:val="en-US" w:eastAsia="ko-KR"/>
        </w:rPr>
        <w:t>estrogen receptor</w:t>
      </w:r>
      <w:r>
        <w:rPr>
          <w:color w:val="000000"/>
          <w:szCs w:val="22"/>
          <w:lang w:val="en-US" w:eastAsia="ko-KR"/>
        </w:rPr>
        <w:t>;</w:t>
      </w:r>
      <w:r w:rsidRPr="00313940">
        <w:rPr>
          <w:color w:val="000000"/>
          <w:szCs w:val="22"/>
          <w:lang w:val="en-US" w:eastAsia="ko-KR"/>
        </w:rPr>
        <w:t xml:space="preserve"> </w:t>
      </w:r>
      <w:r w:rsidRPr="00313940">
        <w:rPr>
          <w:color w:val="000000"/>
          <w:szCs w:val="22"/>
          <w:lang w:val="en-US"/>
        </w:rPr>
        <w:t>HER2</w:t>
      </w:r>
      <w:r>
        <w:rPr>
          <w:color w:val="000000"/>
          <w:szCs w:val="22"/>
          <w:lang w:val="en-US"/>
        </w:rPr>
        <w:t xml:space="preserve">, </w:t>
      </w:r>
      <w:r w:rsidRPr="00313940">
        <w:rPr>
          <w:color w:val="000000"/>
          <w:szCs w:val="22"/>
          <w:lang w:val="en-US"/>
        </w:rPr>
        <w:t>human epidermal growth factor receptor 2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T</w:t>
      </w:r>
      <w:r>
        <w:rPr>
          <w:color w:val="000000"/>
          <w:szCs w:val="22"/>
          <w:lang w:val="en-US"/>
        </w:rPr>
        <w:t xml:space="preserve">, </w:t>
      </w:r>
      <w:proofErr w:type="spellStart"/>
      <w:r w:rsidRPr="00313940">
        <w:rPr>
          <w:color w:val="000000"/>
          <w:szCs w:val="22"/>
          <w:lang w:val="en-US"/>
        </w:rPr>
        <w:t>docetaxel</w:t>
      </w:r>
      <w:proofErr w:type="spellEnd"/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  <w:lang w:val="en-US"/>
        </w:rPr>
        <w:t xml:space="preserve">TNBC, </w:t>
      </w:r>
      <w:r w:rsidRPr="00313940">
        <w:rPr>
          <w:color w:val="000000"/>
          <w:szCs w:val="22"/>
          <w:lang w:val="en-US"/>
        </w:rPr>
        <w:t>triple-negative breast cancer</w:t>
      </w:r>
      <w:r>
        <w:rPr>
          <w:color w:val="000000"/>
          <w:szCs w:val="22"/>
          <w:lang w:val="en-US"/>
        </w:rPr>
        <w:t>;</w:t>
      </w:r>
      <w:r w:rsidRPr="00313940">
        <w:rPr>
          <w:color w:val="000000"/>
          <w:szCs w:val="22"/>
          <w:lang w:val="en-US"/>
        </w:rPr>
        <w:t xml:space="preserve"> X</w:t>
      </w:r>
      <w:r>
        <w:rPr>
          <w:color w:val="000000"/>
          <w:szCs w:val="22"/>
          <w:lang w:val="en-US"/>
        </w:rPr>
        <w:t xml:space="preserve">, </w:t>
      </w:r>
      <w:proofErr w:type="spellStart"/>
      <w:r w:rsidRPr="00313940">
        <w:rPr>
          <w:color w:val="000000"/>
          <w:szCs w:val="22"/>
          <w:lang w:val="en-US"/>
        </w:rPr>
        <w:t>capecitabine</w:t>
      </w:r>
      <w:proofErr w:type="spellEnd"/>
      <w:r w:rsidRPr="00313940">
        <w:rPr>
          <w:color w:val="000000"/>
          <w:szCs w:val="22"/>
          <w:lang w:val="en-US"/>
        </w:rPr>
        <w:t>.</w:t>
      </w:r>
      <w:bookmarkStart w:id="0" w:name="_GoBack"/>
      <w:bookmarkEnd w:id="0"/>
    </w:p>
    <w:sectPr w:rsidR="009644BF" w:rsidRPr="005E67A9" w:rsidSect="004559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639"/>
    <w:multiLevelType w:val="hybridMultilevel"/>
    <w:tmpl w:val="3E00E1F2"/>
    <w:lvl w:ilvl="0" w:tplc="C6568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4B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C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6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23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EF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21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81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E7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504721"/>
    <w:multiLevelType w:val="hybridMultilevel"/>
    <w:tmpl w:val="3E4665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14DC"/>
    <w:multiLevelType w:val="hybridMultilevel"/>
    <w:tmpl w:val="E0E07F4A"/>
    <w:lvl w:ilvl="0" w:tplc="07744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A6F2E"/>
    <w:multiLevelType w:val="hybridMultilevel"/>
    <w:tmpl w:val="CACA6514"/>
    <w:lvl w:ilvl="0" w:tplc="AB58F064">
      <w:start w:val="219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F0D8D"/>
    <w:multiLevelType w:val="hybridMultilevel"/>
    <w:tmpl w:val="18BA03D0"/>
    <w:lvl w:ilvl="0" w:tplc="07744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91787"/>
    <w:multiLevelType w:val="hybridMultilevel"/>
    <w:tmpl w:val="883A8592"/>
    <w:lvl w:ilvl="0" w:tplc="9976AB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C5F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814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8AC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4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8DF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629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E97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73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2B371B"/>
    <w:multiLevelType w:val="hybridMultilevel"/>
    <w:tmpl w:val="9CAA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46D02"/>
    <w:multiLevelType w:val="hybridMultilevel"/>
    <w:tmpl w:val="8782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C252F"/>
    <w:multiLevelType w:val="hybridMultilevel"/>
    <w:tmpl w:val="47BC7E7E"/>
    <w:lvl w:ilvl="0" w:tplc="E4729504">
      <w:start w:val="39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34D7B"/>
    <w:multiLevelType w:val="hybridMultilevel"/>
    <w:tmpl w:val="7982D4A4"/>
    <w:lvl w:ilvl="0" w:tplc="07744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1034F"/>
    <w:multiLevelType w:val="hybridMultilevel"/>
    <w:tmpl w:val="5C6876FE"/>
    <w:lvl w:ilvl="0" w:tplc="65969C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2D1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093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A50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699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E77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8D0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C24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6E4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7A2C67"/>
    <w:multiLevelType w:val="hybridMultilevel"/>
    <w:tmpl w:val="24FC2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8655F"/>
    <w:multiLevelType w:val="hybridMultilevel"/>
    <w:tmpl w:val="F6EAF1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980639"/>
    <w:multiLevelType w:val="hybridMultilevel"/>
    <w:tmpl w:val="E954C256"/>
    <w:lvl w:ilvl="0" w:tplc="0276C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AE9E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E8D2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A2688D"/>
    <w:multiLevelType w:val="hybridMultilevel"/>
    <w:tmpl w:val="6BEEE930"/>
    <w:lvl w:ilvl="0" w:tplc="B2C26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B34CF"/>
    <w:multiLevelType w:val="hybridMultilevel"/>
    <w:tmpl w:val="40CC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80F8A"/>
    <w:multiLevelType w:val="hybridMultilevel"/>
    <w:tmpl w:val="90C8DAE0"/>
    <w:lvl w:ilvl="0" w:tplc="83F6F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A9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86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52C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8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4C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E3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E2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C9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484E34"/>
    <w:multiLevelType w:val="multilevel"/>
    <w:tmpl w:val="B22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41AFD"/>
    <w:multiLevelType w:val="hybridMultilevel"/>
    <w:tmpl w:val="10A01C1C"/>
    <w:lvl w:ilvl="0" w:tplc="D6948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A7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CF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A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28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80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CB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6E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CC9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421A8"/>
    <w:multiLevelType w:val="hybridMultilevel"/>
    <w:tmpl w:val="DDE89FCC"/>
    <w:lvl w:ilvl="0" w:tplc="DED63F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484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851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635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6C2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8191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269E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63F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AB4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5012AC"/>
    <w:multiLevelType w:val="hybridMultilevel"/>
    <w:tmpl w:val="6B3A06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327784"/>
    <w:multiLevelType w:val="hybridMultilevel"/>
    <w:tmpl w:val="AE209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B1C7A"/>
    <w:multiLevelType w:val="hybridMultilevel"/>
    <w:tmpl w:val="4114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22"/>
  </w:num>
  <w:num w:numId="5">
    <w:abstractNumId w:val="1"/>
  </w:num>
  <w:num w:numId="6">
    <w:abstractNumId w:val="13"/>
  </w:num>
  <w:num w:numId="7">
    <w:abstractNumId w:val="7"/>
  </w:num>
  <w:num w:numId="8">
    <w:abstractNumId w:val="21"/>
  </w:num>
  <w:num w:numId="9">
    <w:abstractNumId w:val="6"/>
  </w:num>
  <w:num w:numId="10">
    <w:abstractNumId w:val="12"/>
  </w:num>
  <w:num w:numId="11">
    <w:abstractNumId w:val="15"/>
  </w:num>
  <w:num w:numId="12">
    <w:abstractNumId w:val="20"/>
  </w:num>
  <w:num w:numId="13">
    <w:abstractNumId w:val="19"/>
  </w:num>
  <w:num w:numId="14">
    <w:abstractNumId w:val="14"/>
  </w:num>
  <w:num w:numId="15">
    <w:abstractNumId w:val="5"/>
  </w:num>
  <w:num w:numId="16">
    <w:abstractNumId w:val="10"/>
  </w:num>
  <w:num w:numId="17">
    <w:abstractNumId w:val="0"/>
  </w:num>
  <w:num w:numId="18">
    <w:abstractNumId w:val="11"/>
  </w:num>
  <w:num w:numId="19">
    <w:abstractNumId w:val="16"/>
  </w:num>
  <w:num w:numId="20">
    <w:abstractNumId w:val="18"/>
  </w:num>
  <w:num w:numId="21">
    <w:abstractNumId w:val="8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BF"/>
    <w:rsid w:val="004A34AE"/>
    <w:rsid w:val="009644BF"/>
    <w:rsid w:val="00F7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BF"/>
    <w:pPr>
      <w:spacing w:after="0" w:line="240" w:lineRule="auto"/>
    </w:pPr>
    <w:rPr>
      <w:rFonts w:ascii="Arial" w:eastAsia="Batang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4B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644B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44BF"/>
    <w:rPr>
      <w:rFonts w:ascii="Cambria" w:eastAsia="Batang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644BF"/>
    <w:rPr>
      <w:rFonts w:ascii="Times New Roman" w:eastAsia="Batang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99"/>
    <w:rsid w:val="009644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i12">
    <w:name w:val="Text:Ti12"/>
    <w:basedOn w:val="Normal"/>
    <w:link w:val="TextTi12Char"/>
    <w:uiPriority w:val="99"/>
    <w:rsid w:val="009644BF"/>
    <w:pPr>
      <w:spacing w:after="170" w:line="280" w:lineRule="atLeast"/>
      <w:jc w:val="both"/>
    </w:pPr>
    <w:rPr>
      <w:rFonts w:ascii="Times New Roman" w:hAnsi="Times New Roman" w:cs="Times New Roman"/>
      <w:sz w:val="24"/>
      <w:lang w:val="en-US" w:eastAsia="de-DE"/>
    </w:rPr>
  </w:style>
  <w:style w:type="character" w:customStyle="1" w:styleId="TextTi12Char">
    <w:name w:val="Text:Ti12 Char"/>
    <w:basedOn w:val="DefaultParagraphFont"/>
    <w:link w:val="TextTi12"/>
    <w:uiPriority w:val="99"/>
    <w:locked/>
    <w:rsid w:val="009644BF"/>
    <w:rPr>
      <w:rFonts w:ascii="Times New Roman" w:eastAsia="Batang" w:hAnsi="Times New Roman" w:cs="Times New Roman"/>
      <w:sz w:val="24"/>
      <w:szCs w:val="24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rsid w:val="009644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4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4BF"/>
    <w:rPr>
      <w:rFonts w:ascii="Arial" w:eastAsia="Batang" w:hAnsi="Arial" w:cs="Arial"/>
      <w:sz w:val="20"/>
      <w:szCs w:val="20"/>
    </w:rPr>
  </w:style>
  <w:style w:type="character" w:customStyle="1" w:styleId="last">
    <w:name w:val="last"/>
    <w:basedOn w:val="DefaultParagraphFont"/>
    <w:uiPriority w:val="99"/>
    <w:rsid w:val="009644BF"/>
    <w:rPr>
      <w:rFonts w:cs="Times New Roman"/>
    </w:rPr>
  </w:style>
  <w:style w:type="character" w:customStyle="1" w:styleId="affiliation">
    <w:name w:val="affiliation"/>
    <w:basedOn w:val="DefaultParagraphFont"/>
    <w:uiPriority w:val="99"/>
    <w:rsid w:val="009644B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4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B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4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4BF"/>
    <w:rPr>
      <w:rFonts w:ascii="Arial" w:eastAsia="Batang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9644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4BF"/>
    <w:rPr>
      <w:rFonts w:ascii="Arial" w:eastAsia="Batang" w:hAnsi="Arial" w:cs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4BF"/>
    <w:rPr>
      <w:rFonts w:ascii="Arial" w:eastAsia="Batang" w:hAnsi="Arial" w:cs="Arial"/>
      <w:b/>
      <w:bCs/>
      <w:sz w:val="20"/>
      <w:szCs w:val="20"/>
    </w:rPr>
  </w:style>
  <w:style w:type="character" w:customStyle="1" w:styleId="A8">
    <w:name w:val="A8"/>
    <w:uiPriority w:val="99"/>
    <w:rsid w:val="009644BF"/>
    <w:rPr>
      <w:b/>
      <w:color w:val="000000"/>
      <w:sz w:val="30"/>
    </w:rPr>
  </w:style>
  <w:style w:type="character" w:customStyle="1" w:styleId="A9">
    <w:name w:val="A9"/>
    <w:uiPriority w:val="99"/>
    <w:rsid w:val="009644BF"/>
    <w:rPr>
      <w:b/>
      <w:color w:val="000000"/>
      <w:sz w:val="15"/>
    </w:rPr>
  </w:style>
  <w:style w:type="paragraph" w:customStyle="1" w:styleId="Pa16">
    <w:name w:val="Pa16"/>
    <w:basedOn w:val="Normal"/>
    <w:next w:val="Normal"/>
    <w:uiPriority w:val="99"/>
    <w:rsid w:val="009644BF"/>
    <w:pPr>
      <w:autoSpaceDE w:val="0"/>
      <w:autoSpaceDN w:val="0"/>
      <w:adjustRightInd w:val="0"/>
      <w:spacing w:line="201" w:lineRule="atLeast"/>
    </w:pPr>
    <w:rPr>
      <w:rFonts w:ascii="GillSans" w:hAnsi="GillSans" w:cs="Times New Roman"/>
      <w:sz w:val="24"/>
      <w:lang w:eastAsia="ko-KR"/>
    </w:rPr>
  </w:style>
  <w:style w:type="character" w:customStyle="1" w:styleId="A5">
    <w:name w:val="A5"/>
    <w:uiPriority w:val="99"/>
    <w:rsid w:val="009644BF"/>
    <w:rPr>
      <w:color w:val="000000"/>
      <w:sz w:val="18"/>
    </w:rPr>
  </w:style>
  <w:style w:type="paragraph" w:customStyle="1" w:styleId="Default">
    <w:name w:val="Default"/>
    <w:uiPriority w:val="99"/>
    <w:rsid w:val="009644BF"/>
    <w:pPr>
      <w:autoSpaceDE w:val="0"/>
      <w:autoSpaceDN w:val="0"/>
      <w:adjustRightInd w:val="0"/>
      <w:spacing w:after="0" w:line="240" w:lineRule="auto"/>
    </w:pPr>
    <w:rPr>
      <w:rFonts w:ascii="GillSans" w:eastAsia="Batang" w:hAnsi="GillSans" w:cs="GillSans"/>
      <w:color w:val="000000"/>
      <w:sz w:val="24"/>
      <w:szCs w:val="24"/>
      <w:lang w:eastAsia="ko-KR"/>
    </w:rPr>
  </w:style>
  <w:style w:type="paragraph" w:customStyle="1" w:styleId="Pa7">
    <w:name w:val="Pa7"/>
    <w:basedOn w:val="Default"/>
    <w:next w:val="Default"/>
    <w:uiPriority w:val="99"/>
    <w:rsid w:val="009644BF"/>
    <w:pPr>
      <w:spacing w:line="2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9644BF"/>
    <w:rPr>
      <w:rFonts w:ascii="Zapf Dingbats ITC" w:hAnsi="Zapf Dingbats ITC"/>
      <w:color w:val="000000"/>
      <w:sz w:val="16"/>
    </w:rPr>
  </w:style>
  <w:style w:type="paragraph" w:customStyle="1" w:styleId="Pa5">
    <w:name w:val="Pa5"/>
    <w:basedOn w:val="Default"/>
    <w:next w:val="Default"/>
    <w:uiPriority w:val="99"/>
    <w:rsid w:val="009644BF"/>
    <w:pPr>
      <w:spacing w:line="2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9644BF"/>
    <w:pPr>
      <w:spacing w:line="34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9644BF"/>
    <w:rPr>
      <w:b/>
      <w:color w:val="000000"/>
      <w:sz w:val="38"/>
    </w:rPr>
  </w:style>
  <w:style w:type="character" w:customStyle="1" w:styleId="A17">
    <w:name w:val="A17"/>
    <w:uiPriority w:val="99"/>
    <w:rsid w:val="009644BF"/>
    <w:rPr>
      <w:color w:val="000000"/>
      <w:sz w:val="32"/>
    </w:rPr>
  </w:style>
  <w:style w:type="paragraph" w:customStyle="1" w:styleId="Pa20">
    <w:name w:val="Pa20"/>
    <w:basedOn w:val="Default"/>
    <w:next w:val="Default"/>
    <w:uiPriority w:val="99"/>
    <w:rsid w:val="009644BF"/>
    <w:pPr>
      <w:spacing w:line="28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9644B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ko-KR"/>
    </w:rPr>
  </w:style>
  <w:style w:type="paragraph" w:styleId="PlainText">
    <w:name w:val="Plain Text"/>
    <w:basedOn w:val="Normal"/>
    <w:link w:val="PlainTextChar"/>
    <w:uiPriority w:val="99"/>
    <w:rsid w:val="009644BF"/>
    <w:rPr>
      <w:rFonts w:ascii="Century Gothic" w:hAnsi="Century Gothic" w:cs="Times New Roman"/>
      <w:color w:val="002676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644BF"/>
    <w:rPr>
      <w:rFonts w:ascii="Century Gothic" w:eastAsia="Batang" w:hAnsi="Century Gothic" w:cs="Times New Roman"/>
      <w:color w:val="002676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644BF"/>
    <w:pPr>
      <w:ind w:left="720"/>
      <w:contextualSpacing/>
    </w:pPr>
    <w:rPr>
      <w:rFonts w:ascii="Times New Roman" w:hAnsi="Times New Roman" w:cs="Times New Roman"/>
      <w:sz w:val="24"/>
      <w:lang w:eastAsia="en-GB"/>
    </w:rPr>
  </w:style>
  <w:style w:type="character" w:customStyle="1" w:styleId="src1">
    <w:name w:val="src1"/>
    <w:basedOn w:val="DefaultParagraphFont"/>
    <w:uiPriority w:val="99"/>
    <w:rsid w:val="009644BF"/>
    <w:rPr>
      <w:rFonts w:cs="Times New Roman"/>
    </w:rPr>
  </w:style>
  <w:style w:type="character" w:customStyle="1" w:styleId="jrnl">
    <w:name w:val="jrnl"/>
    <w:basedOn w:val="DefaultParagraphFont"/>
    <w:uiPriority w:val="99"/>
    <w:rsid w:val="009644BF"/>
    <w:rPr>
      <w:rFonts w:cs="Times New Roman"/>
    </w:rPr>
  </w:style>
  <w:style w:type="character" w:styleId="Hyperlink">
    <w:name w:val="Hyperlink"/>
    <w:basedOn w:val="DefaultParagraphFont"/>
    <w:uiPriority w:val="99"/>
    <w:rsid w:val="009644BF"/>
    <w:rPr>
      <w:rFonts w:cs="Times New Roman"/>
      <w:color w:val="0000FF"/>
      <w:u w:val="single"/>
    </w:rPr>
  </w:style>
  <w:style w:type="character" w:customStyle="1" w:styleId="src">
    <w:name w:val="src"/>
    <w:basedOn w:val="DefaultParagraphFont"/>
    <w:uiPriority w:val="99"/>
    <w:rsid w:val="009644BF"/>
    <w:rPr>
      <w:rFonts w:cs="Times New Roman"/>
    </w:rPr>
  </w:style>
  <w:style w:type="character" w:styleId="Strong">
    <w:name w:val="Strong"/>
    <w:basedOn w:val="DefaultParagraphFont"/>
    <w:uiPriority w:val="99"/>
    <w:qFormat/>
    <w:rsid w:val="009644BF"/>
    <w:rPr>
      <w:rFonts w:cs="Times New Roman"/>
      <w:b/>
      <w:bCs/>
    </w:rPr>
  </w:style>
  <w:style w:type="character" w:customStyle="1" w:styleId="A3">
    <w:name w:val="A3"/>
    <w:uiPriority w:val="99"/>
    <w:rsid w:val="009644BF"/>
    <w:rPr>
      <w:color w:val="000000"/>
    </w:rPr>
  </w:style>
  <w:style w:type="paragraph" w:styleId="Revision">
    <w:name w:val="Revision"/>
    <w:hidden/>
    <w:uiPriority w:val="99"/>
    <w:semiHidden/>
    <w:rsid w:val="009644BF"/>
    <w:pPr>
      <w:spacing w:after="0" w:line="240" w:lineRule="auto"/>
    </w:pPr>
    <w:rPr>
      <w:rFonts w:ascii="Arial" w:eastAsia="Batang" w:hAnsi="Arial" w:cs="Arial"/>
      <w:szCs w:val="24"/>
    </w:rPr>
  </w:style>
  <w:style w:type="paragraph" w:customStyle="1" w:styleId="title1">
    <w:name w:val="title1"/>
    <w:basedOn w:val="Normal"/>
    <w:uiPriority w:val="99"/>
    <w:rsid w:val="009644BF"/>
    <w:rPr>
      <w:rFonts w:ascii="Times New Roman" w:hAnsi="Times New Roman" w:cs="Times New Roman"/>
      <w:sz w:val="29"/>
      <w:szCs w:val="29"/>
      <w:lang w:eastAsia="en-GB"/>
    </w:rPr>
  </w:style>
  <w:style w:type="paragraph" w:customStyle="1" w:styleId="rprtbody1">
    <w:name w:val="rprtbody1"/>
    <w:basedOn w:val="Normal"/>
    <w:uiPriority w:val="99"/>
    <w:rsid w:val="009644BF"/>
    <w:pPr>
      <w:spacing w:before="34" w:after="34"/>
    </w:pPr>
    <w:rPr>
      <w:rFonts w:ascii="Times New Roman" w:hAnsi="Times New Roman" w:cs="Times New Roman"/>
      <w:sz w:val="28"/>
      <w:szCs w:val="28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9644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44BF"/>
    <w:rPr>
      <w:rFonts w:ascii="Tahoma" w:eastAsia="Batang" w:hAnsi="Tahoma" w:cs="Tahoma"/>
      <w:sz w:val="20"/>
      <w:szCs w:val="20"/>
      <w:shd w:val="clear" w:color="auto" w:fill="000080"/>
    </w:rPr>
  </w:style>
  <w:style w:type="character" w:customStyle="1" w:styleId="highlight1">
    <w:name w:val="highlight1"/>
    <w:basedOn w:val="DefaultParagraphFont"/>
    <w:rsid w:val="009644BF"/>
    <w:rPr>
      <w:shd w:val="clear" w:color="auto" w:fill="F2F5F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BF"/>
    <w:pPr>
      <w:spacing w:after="0" w:line="240" w:lineRule="auto"/>
    </w:pPr>
    <w:rPr>
      <w:rFonts w:ascii="Arial" w:eastAsia="Batang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4B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644B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44BF"/>
    <w:rPr>
      <w:rFonts w:ascii="Cambria" w:eastAsia="Batang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644BF"/>
    <w:rPr>
      <w:rFonts w:ascii="Times New Roman" w:eastAsia="Batang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99"/>
    <w:rsid w:val="009644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i12">
    <w:name w:val="Text:Ti12"/>
    <w:basedOn w:val="Normal"/>
    <w:link w:val="TextTi12Char"/>
    <w:uiPriority w:val="99"/>
    <w:rsid w:val="009644BF"/>
    <w:pPr>
      <w:spacing w:after="170" w:line="280" w:lineRule="atLeast"/>
      <w:jc w:val="both"/>
    </w:pPr>
    <w:rPr>
      <w:rFonts w:ascii="Times New Roman" w:hAnsi="Times New Roman" w:cs="Times New Roman"/>
      <w:sz w:val="24"/>
      <w:lang w:val="en-US" w:eastAsia="de-DE"/>
    </w:rPr>
  </w:style>
  <w:style w:type="character" w:customStyle="1" w:styleId="TextTi12Char">
    <w:name w:val="Text:Ti12 Char"/>
    <w:basedOn w:val="DefaultParagraphFont"/>
    <w:link w:val="TextTi12"/>
    <w:uiPriority w:val="99"/>
    <w:locked/>
    <w:rsid w:val="009644BF"/>
    <w:rPr>
      <w:rFonts w:ascii="Times New Roman" w:eastAsia="Batang" w:hAnsi="Times New Roman" w:cs="Times New Roman"/>
      <w:sz w:val="24"/>
      <w:szCs w:val="24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rsid w:val="009644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4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4BF"/>
    <w:rPr>
      <w:rFonts w:ascii="Arial" w:eastAsia="Batang" w:hAnsi="Arial" w:cs="Arial"/>
      <w:sz w:val="20"/>
      <w:szCs w:val="20"/>
    </w:rPr>
  </w:style>
  <w:style w:type="character" w:customStyle="1" w:styleId="last">
    <w:name w:val="last"/>
    <w:basedOn w:val="DefaultParagraphFont"/>
    <w:uiPriority w:val="99"/>
    <w:rsid w:val="009644BF"/>
    <w:rPr>
      <w:rFonts w:cs="Times New Roman"/>
    </w:rPr>
  </w:style>
  <w:style w:type="character" w:customStyle="1" w:styleId="affiliation">
    <w:name w:val="affiliation"/>
    <w:basedOn w:val="DefaultParagraphFont"/>
    <w:uiPriority w:val="99"/>
    <w:rsid w:val="009644B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4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B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4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4BF"/>
    <w:rPr>
      <w:rFonts w:ascii="Arial" w:eastAsia="Batang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9644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4BF"/>
    <w:rPr>
      <w:rFonts w:ascii="Arial" w:eastAsia="Batang" w:hAnsi="Arial" w:cs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4BF"/>
    <w:rPr>
      <w:rFonts w:ascii="Arial" w:eastAsia="Batang" w:hAnsi="Arial" w:cs="Arial"/>
      <w:b/>
      <w:bCs/>
      <w:sz w:val="20"/>
      <w:szCs w:val="20"/>
    </w:rPr>
  </w:style>
  <w:style w:type="character" w:customStyle="1" w:styleId="A8">
    <w:name w:val="A8"/>
    <w:uiPriority w:val="99"/>
    <w:rsid w:val="009644BF"/>
    <w:rPr>
      <w:b/>
      <w:color w:val="000000"/>
      <w:sz w:val="30"/>
    </w:rPr>
  </w:style>
  <w:style w:type="character" w:customStyle="1" w:styleId="A9">
    <w:name w:val="A9"/>
    <w:uiPriority w:val="99"/>
    <w:rsid w:val="009644BF"/>
    <w:rPr>
      <w:b/>
      <w:color w:val="000000"/>
      <w:sz w:val="15"/>
    </w:rPr>
  </w:style>
  <w:style w:type="paragraph" w:customStyle="1" w:styleId="Pa16">
    <w:name w:val="Pa16"/>
    <w:basedOn w:val="Normal"/>
    <w:next w:val="Normal"/>
    <w:uiPriority w:val="99"/>
    <w:rsid w:val="009644BF"/>
    <w:pPr>
      <w:autoSpaceDE w:val="0"/>
      <w:autoSpaceDN w:val="0"/>
      <w:adjustRightInd w:val="0"/>
      <w:spacing w:line="201" w:lineRule="atLeast"/>
    </w:pPr>
    <w:rPr>
      <w:rFonts w:ascii="GillSans" w:hAnsi="GillSans" w:cs="Times New Roman"/>
      <w:sz w:val="24"/>
      <w:lang w:eastAsia="ko-KR"/>
    </w:rPr>
  </w:style>
  <w:style w:type="character" w:customStyle="1" w:styleId="A5">
    <w:name w:val="A5"/>
    <w:uiPriority w:val="99"/>
    <w:rsid w:val="009644BF"/>
    <w:rPr>
      <w:color w:val="000000"/>
      <w:sz w:val="18"/>
    </w:rPr>
  </w:style>
  <w:style w:type="paragraph" w:customStyle="1" w:styleId="Default">
    <w:name w:val="Default"/>
    <w:uiPriority w:val="99"/>
    <w:rsid w:val="009644BF"/>
    <w:pPr>
      <w:autoSpaceDE w:val="0"/>
      <w:autoSpaceDN w:val="0"/>
      <w:adjustRightInd w:val="0"/>
      <w:spacing w:after="0" w:line="240" w:lineRule="auto"/>
    </w:pPr>
    <w:rPr>
      <w:rFonts w:ascii="GillSans" w:eastAsia="Batang" w:hAnsi="GillSans" w:cs="GillSans"/>
      <w:color w:val="000000"/>
      <w:sz w:val="24"/>
      <w:szCs w:val="24"/>
      <w:lang w:eastAsia="ko-KR"/>
    </w:rPr>
  </w:style>
  <w:style w:type="paragraph" w:customStyle="1" w:styleId="Pa7">
    <w:name w:val="Pa7"/>
    <w:basedOn w:val="Default"/>
    <w:next w:val="Default"/>
    <w:uiPriority w:val="99"/>
    <w:rsid w:val="009644BF"/>
    <w:pPr>
      <w:spacing w:line="2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9644BF"/>
    <w:rPr>
      <w:rFonts w:ascii="Zapf Dingbats ITC" w:hAnsi="Zapf Dingbats ITC"/>
      <w:color w:val="000000"/>
      <w:sz w:val="16"/>
    </w:rPr>
  </w:style>
  <w:style w:type="paragraph" w:customStyle="1" w:styleId="Pa5">
    <w:name w:val="Pa5"/>
    <w:basedOn w:val="Default"/>
    <w:next w:val="Default"/>
    <w:uiPriority w:val="99"/>
    <w:rsid w:val="009644BF"/>
    <w:pPr>
      <w:spacing w:line="2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9644BF"/>
    <w:pPr>
      <w:spacing w:line="34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9644BF"/>
    <w:rPr>
      <w:b/>
      <w:color w:val="000000"/>
      <w:sz w:val="38"/>
    </w:rPr>
  </w:style>
  <w:style w:type="character" w:customStyle="1" w:styleId="A17">
    <w:name w:val="A17"/>
    <w:uiPriority w:val="99"/>
    <w:rsid w:val="009644BF"/>
    <w:rPr>
      <w:color w:val="000000"/>
      <w:sz w:val="32"/>
    </w:rPr>
  </w:style>
  <w:style w:type="paragraph" w:customStyle="1" w:styleId="Pa20">
    <w:name w:val="Pa20"/>
    <w:basedOn w:val="Default"/>
    <w:next w:val="Default"/>
    <w:uiPriority w:val="99"/>
    <w:rsid w:val="009644BF"/>
    <w:pPr>
      <w:spacing w:line="28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9644B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ko-KR"/>
    </w:rPr>
  </w:style>
  <w:style w:type="paragraph" w:styleId="PlainText">
    <w:name w:val="Plain Text"/>
    <w:basedOn w:val="Normal"/>
    <w:link w:val="PlainTextChar"/>
    <w:uiPriority w:val="99"/>
    <w:rsid w:val="009644BF"/>
    <w:rPr>
      <w:rFonts w:ascii="Century Gothic" w:hAnsi="Century Gothic" w:cs="Times New Roman"/>
      <w:color w:val="002676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644BF"/>
    <w:rPr>
      <w:rFonts w:ascii="Century Gothic" w:eastAsia="Batang" w:hAnsi="Century Gothic" w:cs="Times New Roman"/>
      <w:color w:val="002676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644BF"/>
    <w:pPr>
      <w:ind w:left="720"/>
      <w:contextualSpacing/>
    </w:pPr>
    <w:rPr>
      <w:rFonts w:ascii="Times New Roman" w:hAnsi="Times New Roman" w:cs="Times New Roman"/>
      <w:sz w:val="24"/>
      <w:lang w:eastAsia="en-GB"/>
    </w:rPr>
  </w:style>
  <w:style w:type="character" w:customStyle="1" w:styleId="src1">
    <w:name w:val="src1"/>
    <w:basedOn w:val="DefaultParagraphFont"/>
    <w:uiPriority w:val="99"/>
    <w:rsid w:val="009644BF"/>
    <w:rPr>
      <w:rFonts w:cs="Times New Roman"/>
    </w:rPr>
  </w:style>
  <w:style w:type="character" w:customStyle="1" w:styleId="jrnl">
    <w:name w:val="jrnl"/>
    <w:basedOn w:val="DefaultParagraphFont"/>
    <w:uiPriority w:val="99"/>
    <w:rsid w:val="009644BF"/>
    <w:rPr>
      <w:rFonts w:cs="Times New Roman"/>
    </w:rPr>
  </w:style>
  <w:style w:type="character" w:styleId="Hyperlink">
    <w:name w:val="Hyperlink"/>
    <w:basedOn w:val="DefaultParagraphFont"/>
    <w:uiPriority w:val="99"/>
    <w:rsid w:val="009644BF"/>
    <w:rPr>
      <w:rFonts w:cs="Times New Roman"/>
      <w:color w:val="0000FF"/>
      <w:u w:val="single"/>
    </w:rPr>
  </w:style>
  <w:style w:type="character" w:customStyle="1" w:styleId="src">
    <w:name w:val="src"/>
    <w:basedOn w:val="DefaultParagraphFont"/>
    <w:uiPriority w:val="99"/>
    <w:rsid w:val="009644BF"/>
    <w:rPr>
      <w:rFonts w:cs="Times New Roman"/>
    </w:rPr>
  </w:style>
  <w:style w:type="character" w:styleId="Strong">
    <w:name w:val="Strong"/>
    <w:basedOn w:val="DefaultParagraphFont"/>
    <w:uiPriority w:val="99"/>
    <w:qFormat/>
    <w:rsid w:val="009644BF"/>
    <w:rPr>
      <w:rFonts w:cs="Times New Roman"/>
      <w:b/>
      <w:bCs/>
    </w:rPr>
  </w:style>
  <w:style w:type="character" w:customStyle="1" w:styleId="A3">
    <w:name w:val="A3"/>
    <w:uiPriority w:val="99"/>
    <w:rsid w:val="009644BF"/>
    <w:rPr>
      <w:color w:val="000000"/>
    </w:rPr>
  </w:style>
  <w:style w:type="paragraph" w:styleId="Revision">
    <w:name w:val="Revision"/>
    <w:hidden/>
    <w:uiPriority w:val="99"/>
    <w:semiHidden/>
    <w:rsid w:val="009644BF"/>
    <w:pPr>
      <w:spacing w:after="0" w:line="240" w:lineRule="auto"/>
    </w:pPr>
    <w:rPr>
      <w:rFonts w:ascii="Arial" w:eastAsia="Batang" w:hAnsi="Arial" w:cs="Arial"/>
      <w:szCs w:val="24"/>
    </w:rPr>
  </w:style>
  <w:style w:type="paragraph" w:customStyle="1" w:styleId="title1">
    <w:name w:val="title1"/>
    <w:basedOn w:val="Normal"/>
    <w:uiPriority w:val="99"/>
    <w:rsid w:val="009644BF"/>
    <w:rPr>
      <w:rFonts w:ascii="Times New Roman" w:hAnsi="Times New Roman" w:cs="Times New Roman"/>
      <w:sz w:val="29"/>
      <w:szCs w:val="29"/>
      <w:lang w:eastAsia="en-GB"/>
    </w:rPr>
  </w:style>
  <w:style w:type="paragraph" w:customStyle="1" w:styleId="rprtbody1">
    <w:name w:val="rprtbody1"/>
    <w:basedOn w:val="Normal"/>
    <w:uiPriority w:val="99"/>
    <w:rsid w:val="009644BF"/>
    <w:pPr>
      <w:spacing w:before="34" w:after="34"/>
    </w:pPr>
    <w:rPr>
      <w:rFonts w:ascii="Times New Roman" w:hAnsi="Times New Roman" w:cs="Times New Roman"/>
      <w:sz w:val="28"/>
      <w:szCs w:val="28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9644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44BF"/>
    <w:rPr>
      <w:rFonts w:ascii="Tahoma" w:eastAsia="Batang" w:hAnsi="Tahoma" w:cs="Tahoma"/>
      <w:sz w:val="20"/>
      <w:szCs w:val="20"/>
      <w:shd w:val="clear" w:color="auto" w:fill="000080"/>
    </w:rPr>
  </w:style>
  <w:style w:type="character" w:customStyle="1" w:styleId="highlight1">
    <w:name w:val="highlight1"/>
    <w:basedOn w:val="DefaultParagraphFont"/>
    <w:rsid w:val="009644BF"/>
    <w:rPr>
      <w:shd w:val="clear" w:color="auto" w:fill="F2F5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KnowledgePoint360 Group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Laura</dc:creator>
  <cp:lastModifiedBy>Ellis, Laura</cp:lastModifiedBy>
  <cp:revision>1</cp:revision>
  <dcterms:created xsi:type="dcterms:W3CDTF">2015-03-16T10:54:00Z</dcterms:created>
  <dcterms:modified xsi:type="dcterms:W3CDTF">2015-03-16T10:55:00Z</dcterms:modified>
</cp:coreProperties>
</file>