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5F67" w14:textId="4AB1494E" w:rsidR="008749C3" w:rsidRDefault="00414998" w:rsidP="005A0A25">
      <w:pPr>
        <w:spacing w:line="480" w:lineRule="auto"/>
        <w:rPr>
          <w:rFonts w:ascii="Times New Roman" w:hAnsi="Times New Roman" w:cs="Times New Roman"/>
          <w:b/>
          <w:sz w:val="24"/>
          <w:szCs w:val="24"/>
        </w:rPr>
      </w:pPr>
      <w:r>
        <w:rPr>
          <w:rFonts w:ascii="Times New Roman" w:hAnsi="Times New Roman" w:cs="Times New Roman"/>
          <w:b/>
          <w:sz w:val="24"/>
          <w:szCs w:val="24"/>
        </w:rPr>
        <w:t>Supplemental</w:t>
      </w:r>
      <w:r w:rsidR="008A5585" w:rsidRPr="0057328B">
        <w:rPr>
          <w:rFonts w:ascii="Times New Roman" w:hAnsi="Times New Roman" w:cs="Times New Roman"/>
          <w:b/>
          <w:sz w:val="24"/>
          <w:szCs w:val="24"/>
        </w:rPr>
        <w:t xml:space="preserve"> Material</w:t>
      </w:r>
      <w:r w:rsidR="008E0EEE">
        <w:rPr>
          <w:rFonts w:ascii="Times New Roman" w:hAnsi="Times New Roman" w:cs="Times New Roman"/>
          <w:b/>
          <w:sz w:val="24"/>
          <w:szCs w:val="24"/>
        </w:rPr>
        <w:t>s</w:t>
      </w:r>
    </w:p>
    <w:p w14:paraId="5BD8C583" w14:textId="666CCABB" w:rsidR="008A5585" w:rsidRDefault="004B4374" w:rsidP="005A0A2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008A5585" w:rsidRPr="0057328B">
        <w:rPr>
          <w:rFonts w:ascii="Times New Roman" w:hAnsi="Times New Roman" w:cs="Times New Roman"/>
          <w:b/>
          <w:sz w:val="24"/>
          <w:szCs w:val="24"/>
        </w:rPr>
        <w:t>Materials and Methods</w:t>
      </w:r>
    </w:p>
    <w:p w14:paraId="164FEFCA" w14:textId="19B39B66" w:rsidR="006600C8" w:rsidRPr="00B02268" w:rsidRDefault="006600C8" w:rsidP="008B7980">
      <w:pPr>
        <w:spacing w:line="480" w:lineRule="auto"/>
        <w:jc w:val="both"/>
        <w:rPr>
          <w:rFonts w:ascii="Times New Roman" w:hAnsi="Times New Roman" w:cs="Times New Roman"/>
          <w:sz w:val="24"/>
          <w:szCs w:val="24"/>
          <w:lang w:val="en" w:eastAsia="ko-KR"/>
        </w:rPr>
      </w:pPr>
      <w:r>
        <w:rPr>
          <w:rFonts w:ascii="Times New Roman" w:hAnsi="Times New Roman" w:cs="Times New Roman"/>
          <w:b/>
          <w:sz w:val="24"/>
          <w:szCs w:val="24"/>
          <w:lang w:eastAsia="ko-KR"/>
        </w:rPr>
        <w:t>Culture and c</w:t>
      </w:r>
      <w:r w:rsidR="008B7980" w:rsidRPr="0057328B">
        <w:rPr>
          <w:rFonts w:ascii="Times New Roman" w:hAnsi="Times New Roman" w:cs="Times New Roman"/>
          <w:b/>
          <w:sz w:val="24"/>
          <w:szCs w:val="24"/>
          <w:lang w:eastAsia="ko-KR"/>
        </w:rPr>
        <w:t>o-culture</w:t>
      </w:r>
      <w:r w:rsidR="008B7980" w:rsidRPr="0057328B">
        <w:rPr>
          <w:rFonts w:ascii="Times New Roman" w:hAnsi="Times New Roman" w:cs="Times New Roman"/>
          <w:sz w:val="24"/>
          <w:szCs w:val="24"/>
          <w:lang w:eastAsia="ko-KR"/>
        </w:rPr>
        <w:t xml:space="preserve">:  </w:t>
      </w:r>
      <w:r w:rsidR="00B72CA3">
        <w:rPr>
          <w:rFonts w:ascii="Times New Roman" w:hAnsi="Times New Roman" w:cs="Times New Roman"/>
          <w:sz w:val="24"/>
          <w:szCs w:val="24"/>
          <w:lang w:eastAsia="ko-KR"/>
        </w:rPr>
        <w:t>Human pancreatic normal epithelial (</w:t>
      </w:r>
      <w:r w:rsidRPr="00B02268">
        <w:rPr>
          <w:rFonts w:ascii="Times New Roman" w:hAnsi="Times New Roman" w:cs="Times New Roman"/>
          <w:sz w:val="24"/>
          <w:szCs w:val="24"/>
          <w:lang w:val="en" w:eastAsia="ko-KR"/>
        </w:rPr>
        <w:t>HPNE cells</w:t>
      </w:r>
      <w:r w:rsidR="00B72CA3">
        <w:rPr>
          <w:rFonts w:ascii="Times New Roman" w:hAnsi="Times New Roman" w:cs="Times New Roman"/>
          <w:sz w:val="24"/>
          <w:szCs w:val="24"/>
          <w:lang w:val="en" w:eastAsia="ko-KR"/>
        </w:rPr>
        <w:t>)</w:t>
      </w:r>
      <w:r w:rsidRPr="00B02268">
        <w:rPr>
          <w:rFonts w:ascii="Times New Roman" w:hAnsi="Times New Roman" w:cs="Times New Roman"/>
          <w:sz w:val="24"/>
          <w:szCs w:val="24"/>
          <w:lang w:val="en" w:eastAsia="ko-KR"/>
        </w:rPr>
        <w:t xml:space="preserve"> were cultured in a medium composed of 75% DMEM without glucose (Sigma), supplemented with 2 mM L-glutamine and 1.5 g/L sodium bicarbonate, and 25% Medium M3 Base (Incell Corp., San Antonio, TX).  For complete growth medium, 5% FBS, 10 ng/ml human recombinant EGF, 5.5 mM D-glucose, and 750 ng/ml puromycin were added.  </w:t>
      </w:r>
    </w:p>
    <w:p w14:paraId="261E1D4A" w14:textId="13AEC365" w:rsidR="008B7980" w:rsidRDefault="008B7980" w:rsidP="008B7980">
      <w:pPr>
        <w:spacing w:line="480" w:lineRule="auto"/>
        <w:jc w:val="both"/>
        <w:rPr>
          <w:rFonts w:ascii="Times New Roman" w:hAnsi="Times New Roman" w:cs="Times New Roman"/>
          <w:sz w:val="24"/>
          <w:szCs w:val="24"/>
          <w:lang w:eastAsia="ko-KR"/>
        </w:rPr>
      </w:pPr>
      <w:r w:rsidRPr="0057328B">
        <w:rPr>
          <w:rFonts w:ascii="Times New Roman" w:hAnsi="Times New Roman" w:cs="Times New Roman"/>
          <w:sz w:val="24"/>
          <w:szCs w:val="24"/>
          <w:lang w:eastAsia="ko-KR"/>
        </w:rPr>
        <w:t>Co-culture experiments utilized 1x10</w:t>
      </w:r>
      <w:r w:rsidRPr="0057328B">
        <w:rPr>
          <w:rFonts w:ascii="Times New Roman" w:hAnsi="Times New Roman" w:cs="Times New Roman"/>
          <w:sz w:val="24"/>
          <w:szCs w:val="24"/>
          <w:vertAlign w:val="superscript"/>
          <w:lang w:eastAsia="ko-KR"/>
        </w:rPr>
        <w:t>4</w:t>
      </w:r>
      <w:r w:rsidRPr="0057328B">
        <w:rPr>
          <w:rFonts w:ascii="Times New Roman" w:hAnsi="Times New Roman" w:cs="Times New Roman"/>
          <w:sz w:val="24"/>
          <w:szCs w:val="24"/>
          <w:lang w:eastAsia="ko-KR"/>
        </w:rPr>
        <w:t xml:space="preserve"> cells of GFP-HNDFs mixed with 5x10</w:t>
      </w:r>
      <w:r w:rsidRPr="0057328B">
        <w:rPr>
          <w:rFonts w:ascii="Times New Roman" w:hAnsi="Times New Roman" w:cs="Times New Roman"/>
          <w:sz w:val="24"/>
          <w:szCs w:val="24"/>
          <w:vertAlign w:val="superscript"/>
          <w:lang w:eastAsia="ko-KR"/>
        </w:rPr>
        <w:t>3</w:t>
      </w:r>
      <w:r w:rsidRPr="0057328B">
        <w:rPr>
          <w:rFonts w:ascii="Times New Roman" w:hAnsi="Times New Roman" w:cs="Times New Roman"/>
          <w:sz w:val="24"/>
          <w:szCs w:val="24"/>
          <w:lang w:eastAsia="ko-KR"/>
        </w:rPr>
        <w:t xml:space="preserve"> PDA cells in 96 wells. GFP-HNDF proliferation was measured daily for 14 days by assessing fluorescence intensity (RFUs) using the </w:t>
      </w:r>
      <w:proofErr w:type="spellStart"/>
      <w:r w:rsidRPr="0057328B">
        <w:rPr>
          <w:rFonts w:ascii="Times New Roman" w:hAnsi="Times New Roman" w:cs="Times New Roman"/>
          <w:sz w:val="24"/>
          <w:szCs w:val="24"/>
          <w:lang w:eastAsia="ko-KR"/>
        </w:rPr>
        <w:t>SpectraMax</w:t>
      </w:r>
      <w:proofErr w:type="spellEnd"/>
      <w:r w:rsidRPr="0057328B">
        <w:rPr>
          <w:rFonts w:ascii="Times New Roman" w:hAnsi="Times New Roman" w:cs="Times New Roman"/>
          <w:sz w:val="24"/>
          <w:szCs w:val="24"/>
          <w:lang w:eastAsia="ko-KR"/>
        </w:rPr>
        <w:t xml:space="preserve"> Gemini XS microplate </w:t>
      </w:r>
      <w:proofErr w:type="spellStart"/>
      <w:r w:rsidRPr="0057328B">
        <w:rPr>
          <w:rFonts w:ascii="Times New Roman" w:hAnsi="Times New Roman" w:cs="Times New Roman"/>
          <w:sz w:val="24"/>
          <w:szCs w:val="24"/>
          <w:lang w:eastAsia="ko-KR"/>
        </w:rPr>
        <w:t>fluorometer</w:t>
      </w:r>
      <w:proofErr w:type="spellEnd"/>
      <w:r w:rsidRPr="0057328B">
        <w:rPr>
          <w:rFonts w:ascii="Times New Roman" w:hAnsi="Times New Roman" w:cs="Times New Roman"/>
          <w:sz w:val="24"/>
          <w:szCs w:val="24"/>
          <w:lang w:eastAsia="ko-KR"/>
        </w:rPr>
        <w:t xml:space="preserve"> (Molecular Devices, Sunnyvale, CA) at 485 nm excitation and 538 nm emission.  To determine the effect of PDA cells on activation of fibroblasts and collagen deposition, 2.5x10</w:t>
      </w:r>
      <w:r w:rsidRPr="0057328B">
        <w:rPr>
          <w:rFonts w:ascii="Times New Roman" w:hAnsi="Times New Roman" w:cs="Times New Roman"/>
          <w:sz w:val="24"/>
          <w:szCs w:val="24"/>
          <w:vertAlign w:val="superscript"/>
          <w:lang w:eastAsia="ko-KR"/>
        </w:rPr>
        <w:t>4</w:t>
      </w:r>
      <w:r w:rsidRPr="0057328B">
        <w:rPr>
          <w:rFonts w:ascii="Times New Roman" w:hAnsi="Times New Roman" w:cs="Times New Roman"/>
          <w:sz w:val="24"/>
          <w:szCs w:val="24"/>
          <w:lang w:eastAsia="ko-KR"/>
        </w:rPr>
        <w:t xml:space="preserve"> cells of NHF544 were cultured in a mixture with 2.5x10</w:t>
      </w:r>
      <w:r w:rsidRPr="0057328B">
        <w:rPr>
          <w:rFonts w:ascii="Times New Roman" w:hAnsi="Times New Roman" w:cs="Times New Roman"/>
          <w:sz w:val="24"/>
          <w:szCs w:val="24"/>
          <w:vertAlign w:val="superscript"/>
          <w:lang w:eastAsia="ko-KR"/>
        </w:rPr>
        <w:t>4</w:t>
      </w:r>
      <w:r w:rsidRPr="0057328B">
        <w:rPr>
          <w:rFonts w:ascii="Times New Roman" w:hAnsi="Times New Roman" w:cs="Times New Roman"/>
          <w:sz w:val="24"/>
          <w:szCs w:val="24"/>
          <w:lang w:eastAsia="ko-KR"/>
        </w:rPr>
        <w:t xml:space="preserve"> cells of PDA cells transduced with </w:t>
      </w:r>
      <w:proofErr w:type="spellStart"/>
      <w:r w:rsidRPr="0057328B">
        <w:rPr>
          <w:rFonts w:ascii="Times New Roman" w:hAnsi="Times New Roman" w:cs="Times New Roman"/>
          <w:sz w:val="24"/>
          <w:szCs w:val="24"/>
          <w:lang w:eastAsia="ko-KR"/>
        </w:rPr>
        <w:t>shRNAs</w:t>
      </w:r>
      <w:proofErr w:type="spellEnd"/>
      <w:r w:rsidRPr="0057328B">
        <w:rPr>
          <w:rFonts w:ascii="Times New Roman" w:hAnsi="Times New Roman" w:cs="Times New Roman"/>
          <w:sz w:val="24"/>
          <w:szCs w:val="24"/>
          <w:lang w:eastAsia="ko-KR"/>
        </w:rPr>
        <w:t xml:space="preserve"> </w:t>
      </w:r>
      <w:r w:rsidR="0038191F">
        <w:rPr>
          <w:rFonts w:ascii="Times New Roman" w:hAnsi="Times New Roman" w:cs="Times New Roman"/>
          <w:sz w:val="24"/>
          <w:szCs w:val="24"/>
          <w:lang w:eastAsia="ko-KR"/>
        </w:rPr>
        <w:t xml:space="preserve">and </w:t>
      </w:r>
      <w:r w:rsidRPr="0057328B">
        <w:rPr>
          <w:rFonts w:ascii="Times New Roman" w:hAnsi="Times New Roman" w:cs="Times New Roman"/>
          <w:sz w:val="24"/>
          <w:szCs w:val="24"/>
          <w:lang w:eastAsia="ko-KR"/>
        </w:rPr>
        <w:t>plated on a</w:t>
      </w:r>
      <w:r w:rsidR="0057328B">
        <w:rPr>
          <w:rFonts w:ascii="Times New Roman" w:hAnsi="Times New Roman" w:cs="Times New Roman"/>
          <w:sz w:val="24"/>
          <w:szCs w:val="24"/>
          <w:lang w:eastAsia="ko-KR"/>
        </w:rPr>
        <w:t>n</w:t>
      </w:r>
      <w:r w:rsidRPr="0057328B">
        <w:rPr>
          <w:rFonts w:ascii="Times New Roman" w:hAnsi="Times New Roman" w:cs="Times New Roman"/>
          <w:sz w:val="24"/>
          <w:szCs w:val="24"/>
          <w:lang w:eastAsia="ko-KR"/>
        </w:rPr>
        <w:t xml:space="preserve"> 8-well </w:t>
      </w:r>
      <w:proofErr w:type="spellStart"/>
      <w:r w:rsidRPr="0057328B">
        <w:rPr>
          <w:rFonts w:ascii="Times New Roman" w:eastAsia="Malgun Gothic" w:hAnsi="Times New Roman" w:cs="Times New Roman"/>
          <w:sz w:val="24"/>
          <w:szCs w:val="24"/>
          <w:lang w:eastAsia="ko-KR"/>
        </w:rPr>
        <w:t>Millicell</w:t>
      </w:r>
      <w:proofErr w:type="spellEnd"/>
      <w:r w:rsidR="002868C5" w:rsidRPr="004B503C">
        <w:rPr>
          <w:rFonts w:ascii="Times New Roman" w:eastAsia="Calibri" w:hAnsi="Times New Roman" w:cs="Times New Roman"/>
          <w:sz w:val="24"/>
          <w:szCs w:val="24"/>
          <w:vertAlign w:val="superscript"/>
        </w:rPr>
        <w:t>®</w:t>
      </w:r>
      <w:r w:rsidRPr="0057328B">
        <w:rPr>
          <w:rFonts w:ascii="Times New Roman" w:eastAsia="Malgun Gothic" w:hAnsi="Times New Roman" w:cs="Times New Roman"/>
          <w:sz w:val="24"/>
          <w:szCs w:val="24"/>
          <w:lang w:eastAsia="ko-KR"/>
        </w:rPr>
        <w:t xml:space="preserve"> EZ </w:t>
      </w:r>
      <w:r w:rsidRPr="0057328B">
        <w:rPr>
          <w:rFonts w:ascii="Times New Roman" w:eastAsia="Malgun Gothic" w:hAnsi="Times New Roman" w:cs="Times New Roman"/>
          <w:sz w:val="24"/>
          <w:szCs w:val="24"/>
          <w:vertAlign w:val="subscript"/>
          <w:lang w:eastAsia="ko-KR"/>
        </w:rPr>
        <w:t>SLIDE</w:t>
      </w:r>
      <w:r w:rsidRPr="0057328B">
        <w:rPr>
          <w:rFonts w:ascii="Times New Roman" w:eastAsia="Malgun Gothic" w:hAnsi="Times New Roman" w:cs="Times New Roman"/>
          <w:sz w:val="24"/>
          <w:szCs w:val="24"/>
          <w:lang w:eastAsia="ko-KR"/>
        </w:rPr>
        <w:t xml:space="preserve"> (Millipore, Billerica, MA)</w:t>
      </w:r>
      <w:r w:rsidRPr="0057328B">
        <w:rPr>
          <w:rFonts w:ascii="Times New Roman" w:hAnsi="Times New Roman" w:cs="Times New Roman"/>
          <w:sz w:val="24"/>
          <w:szCs w:val="24"/>
          <w:lang w:eastAsia="ko-KR"/>
        </w:rPr>
        <w:t xml:space="preserve">.  After 24 hours of co-culture, activation of fibroblasts and collagen deposition were analyzed by immunofluorescence by using </w:t>
      </w:r>
      <w:r w:rsidRPr="0057328B">
        <w:rPr>
          <w:rFonts w:ascii="Times New Roman" w:hAnsi="Times New Roman" w:cs="Times New Roman"/>
          <w:sz w:val="24"/>
          <w:szCs w:val="24"/>
          <w:lang w:eastAsia="ko-KR"/>
        </w:rPr>
        <w:sym w:font="Symbol" w:char="F061"/>
      </w:r>
      <w:r w:rsidRPr="0057328B">
        <w:rPr>
          <w:rFonts w:ascii="Times New Roman" w:hAnsi="Times New Roman" w:cs="Times New Roman"/>
          <w:sz w:val="24"/>
          <w:szCs w:val="24"/>
          <w:lang w:eastAsia="ko-KR"/>
        </w:rPr>
        <w:t>-SMA (Sigma) and collagen 1 (</w:t>
      </w:r>
      <w:proofErr w:type="spellStart"/>
      <w:r w:rsidRPr="0057328B">
        <w:rPr>
          <w:rFonts w:ascii="Times New Roman" w:hAnsi="Times New Roman" w:cs="Times New Roman"/>
          <w:sz w:val="24"/>
          <w:szCs w:val="24"/>
          <w:lang w:eastAsia="ko-KR"/>
        </w:rPr>
        <w:t>Abcam</w:t>
      </w:r>
      <w:proofErr w:type="spellEnd"/>
      <w:r w:rsidRPr="0057328B">
        <w:rPr>
          <w:rFonts w:ascii="Times New Roman" w:hAnsi="Times New Roman" w:cs="Times New Roman"/>
          <w:sz w:val="24"/>
          <w:szCs w:val="24"/>
          <w:lang w:eastAsia="ko-KR"/>
        </w:rPr>
        <w:t xml:space="preserve">) antibodies, respectively.  To study the proliferation of PDA cells in co-culture with </w:t>
      </w:r>
      <w:proofErr w:type="spellStart"/>
      <w:r w:rsidRPr="0057328B">
        <w:rPr>
          <w:rFonts w:ascii="Times New Roman" w:hAnsi="Times New Roman" w:cs="Times New Roman"/>
          <w:sz w:val="24"/>
          <w:szCs w:val="24"/>
          <w:lang w:eastAsia="ko-KR"/>
        </w:rPr>
        <w:t>hPSCs</w:t>
      </w:r>
      <w:proofErr w:type="spellEnd"/>
      <w:r w:rsidRPr="0057328B">
        <w:rPr>
          <w:rFonts w:ascii="Times New Roman" w:hAnsi="Times New Roman" w:cs="Times New Roman"/>
          <w:sz w:val="24"/>
          <w:szCs w:val="24"/>
          <w:lang w:eastAsia="ko-KR"/>
        </w:rPr>
        <w:t>, 2x10</w:t>
      </w:r>
      <w:r w:rsidRPr="0057328B">
        <w:rPr>
          <w:rFonts w:ascii="Times New Roman" w:hAnsi="Times New Roman" w:cs="Times New Roman"/>
          <w:sz w:val="24"/>
          <w:szCs w:val="24"/>
          <w:vertAlign w:val="superscript"/>
          <w:lang w:eastAsia="ko-KR"/>
        </w:rPr>
        <w:t>5</w:t>
      </w:r>
      <w:r w:rsidRPr="0057328B">
        <w:rPr>
          <w:rFonts w:ascii="Times New Roman" w:hAnsi="Times New Roman" w:cs="Times New Roman"/>
          <w:sz w:val="24"/>
          <w:szCs w:val="24"/>
          <w:lang w:eastAsia="ko-KR"/>
        </w:rPr>
        <w:t xml:space="preserve"> </w:t>
      </w:r>
      <w:proofErr w:type="spellStart"/>
      <w:r w:rsidRPr="0057328B">
        <w:rPr>
          <w:rFonts w:ascii="Times New Roman" w:hAnsi="Times New Roman" w:cs="Times New Roman"/>
          <w:sz w:val="24"/>
          <w:szCs w:val="24"/>
          <w:lang w:eastAsia="ko-KR"/>
        </w:rPr>
        <w:t>hPSCs</w:t>
      </w:r>
      <w:proofErr w:type="spellEnd"/>
      <w:r w:rsidRPr="0057328B">
        <w:rPr>
          <w:rFonts w:ascii="Times New Roman" w:hAnsi="Times New Roman" w:cs="Times New Roman"/>
          <w:sz w:val="24"/>
          <w:szCs w:val="24"/>
          <w:lang w:eastAsia="ko-KR"/>
        </w:rPr>
        <w:t xml:space="preserve"> were seeded in 12-well plates.  24 hours later, 6x10</w:t>
      </w:r>
      <w:r w:rsidRPr="0057328B">
        <w:rPr>
          <w:rFonts w:ascii="Times New Roman" w:hAnsi="Times New Roman" w:cs="Times New Roman"/>
          <w:sz w:val="24"/>
          <w:szCs w:val="24"/>
          <w:vertAlign w:val="superscript"/>
          <w:lang w:eastAsia="ko-KR"/>
        </w:rPr>
        <w:t>4</w:t>
      </w:r>
      <w:r w:rsidRPr="0057328B">
        <w:rPr>
          <w:rFonts w:ascii="Times New Roman" w:hAnsi="Times New Roman" w:cs="Times New Roman"/>
          <w:sz w:val="24"/>
          <w:szCs w:val="24"/>
          <w:lang w:eastAsia="ko-KR"/>
        </w:rPr>
        <w:t xml:space="preserve"> (Panc1) or 9x10</w:t>
      </w:r>
      <w:r w:rsidRPr="0057328B">
        <w:rPr>
          <w:rFonts w:ascii="Times New Roman" w:hAnsi="Times New Roman" w:cs="Times New Roman"/>
          <w:sz w:val="24"/>
          <w:szCs w:val="24"/>
          <w:vertAlign w:val="superscript"/>
          <w:lang w:eastAsia="ko-KR"/>
        </w:rPr>
        <w:t>4</w:t>
      </w:r>
      <w:r w:rsidRPr="0057328B">
        <w:rPr>
          <w:rFonts w:ascii="Times New Roman" w:hAnsi="Times New Roman" w:cs="Times New Roman"/>
          <w:sz w:val="24"/>
          <w:szCs w:val="24"/>
          <w:lang w:eastAsia="ko-KR"/>
        </w:rPr>
        <w:t xml:space="preserve"> (AsPC1) cells were added on top of the </w:t>
      </w:r>
      <w:proofErr w:type="spellStart"/>
      <w:r w:rsidRPr="0057328B">
        <w:rPr>
          <w:rFonts w:ascii="Times New Roman" w:hAnsi="Times New Roman" w:cs="Times New Roman"/>
          <w:sz w:val="24"/>
          <w:szCs w:val="24"/>
          <w:lang w:eastAsia="ko-KR"/>
        </w:rPr>
        <w:t>hPSCs</w:t>
      </w:r>
      <w:proofErr w:type="spellEnd"/>
      <w:r w:rsidRPr="0057328B">
        <w:rPr>
          <w:rFonts w:ascii="Times New Roman" w:hAnsi="Times New Roman" w:cs="Times New Roman"/>
          <w:sz w:val="24"/>
          <w:szCs w:val="24"/>
          <w:lang w:eastAsia="ko-KR"/>
        </w:rPr>
        <w:t xml:space="preserve"> feeder layer and were </w:t>
      </w:r>
      <w:r w:rsidRPr="002868C5">
        <w:rPr>
          <w:rFonts w:ascii="Times New Roman" w:hAnsi="Times New Roman" w:cs="Times New Roman"/>
          <w:sz w:val="24"/>
          <w:szCs w:val="24"/>
          <w:lang w:eastAsia="ko-KR"/>
        </w:rPr>
        <w:t xml:space="preserve">allowed to proliferate for up to 10 days.  </w:t>
      </w:r>
    </w:p>
    <w:p w14:paraId="64106B02" w14:textId="60A5B419" w:rsidR="00BE1CA1" w:rsidRDefault="00BE1CA1" w:rsidP="00BE1CA1">
      <w:pPr>
        <w:spacing w:line="480" w:lineRule="auto"/>
        <w:jc w:val="both"/>
        <w:rPr>
          <w:rFonts w:ascii="Times New Roman" w:eastAsia="Times New Roman" w:hAnsi="Times New Roman" w:cs="Times New Roman"/>
          <w:sz w:val="24"/>
          <w:szCs w:val="23"/>
        </w:rPr>
      </w:pPr>
      <w:r w:rsidRPr="0057328B">
        <w:rPr>
          <w:rFonts w:ascii="Times New Roman" w:hAnsi="Times New Roman" w:cs="Times New Roman"/>
          <w:b/>
          <w:sz w:val="24"/>
          <w:szCs w:val="24"/>
          <w:lang w:eastAsia="ko-KR"/>
        </w:rPr>
        <w:t>Immunohistochemistry (IHC)</w:t>
      </w:r>
      <w:r w:rsidRPr="004B503C">
        <w:rPr>
          <w:rFonts w:ascii="Times New Roman" w:hAnsi="Times New Roman" w:cs="Times New Roman"/>
          <w:sz w:val="24"/>
          <w:szCs w:val="24"/>
          <w:lang w:eastAsia="ko-KR"/>
        </w:rPr>
        <w:t>:</w:t>
      </w:r>
      <w:r w:rsidRPr="0057328B">
        <w:rPr>
          <w:rFonts w:ascii="Times New Roman" w:hAnsi="Times New Roman" w:cs="Times New Roman"/>
          <w:b/>
          <w:sz w:val="24"/>
          <w:szCs w:val="24"/>
          <w:lang w:eastAsia="ko-KR"/>
        </w:rPr>
        <w:t xml:space="preserve">  </w:t>
      </w:r>
      <w:r w:rsidRPr="008E0EEE">
        <w:rPr>
          <w:rFonts w:ascii="Times New Roman" w:eastAsia="Times New Roman" w:hAnsi="Times New Roman" w:cs="Times New Roman"/>
          <w:sz w:val="24"/>
          <w:szCs w:val="23"/>
        </w:rPr>
        <w:t xml:space="preserve">Paraffin-embedded de-identified PDA specimens from the IUSCC Tissue Bank were </w:t>
      </w:r>
      <w:proofErr w:type="spellStart"/>
      <w:r w:rsidRPr="008E0EEE">
        <w:rPr>
          <w:rFonts w:ascii="Times New Roman" w:eastAsia="Times New Roman" w:hAnsi="Times New Roman" w:cs="Times New Roman"/>
          <w:sz w:val="24"/>
          <w:szCs w:val="23"/>
        </w:rPr>
        <w:t>immunostained</w:t>
      </w:r>
      <w:proofErr w:type="spellEnd"/>
      <w:r w:rsidRPr="008E0EEE">
        <w:rPr>
          <w:rFonts w:ascii="Times New Roman" w:eastAsia="Times New Roman" w:hAnsi="Times New Roman" w:cs="Times New Roman"/>
          <w:sz w:val="24"/>
          <w:szCs w:val="23"/>
        </w:rPr>
        <w:t xml:space="preserve"> </w:t>
      </w:r>
      <w:r w:rsidR="0038191F">
        <w:rPr>
          <w:rFonts w:ascii="Times New Roman" w:eastAsia="Times New Roman" w:hAnsi="Times New Roman" w:cs="Times New Roman"/>
          <w:sz w:val="24"/>
          <w:szCs w:val="23"/>
        </w:rPr>
        <w:t xml:space="preserve">by </w:t>
      </w:r>
      <w:r w:rsidRPr="008E0EEE">
        <w:rPr>
          <w:rFonts w:ascii="Times New Roman" w:eastAsia="Times New Roman" w:hAnsi="Times New Roman" w:cs="Times New Roman"/>
          <w:sz w:val="24"/>
          <w:szCs w:val="23"/>
        </w:rPr>
        <w:t xml:space="preserve">using antibodies against </w:t>
      </w:r>
      <w:r w:rsidRPr="0057328B">
        <w:rPr>
          <w:rFonts w:ascii="Times New Roman" w:eastAsia="Times New Roman" w:hAnsi="Times New Roman" w:cs="Times New Roman"/>
          <w:sz w:val="24"/>
          <w:szCs w:val="24"/>
        </w:rPr>
        <w:t>TG2 (</w:t>
      </w:r>
      <w:proofErr w:type="spellStart"/>
      <w:r w:rsidRPr="0057328B">
        <w:rPr>
          <w:rFonts w:ascii="Times New Roman" w:eastAsia="Times New Roman" w:hAnsi="Times New Roman" w:cs="Times New Roman"/>
          <w:sz w:val="24"/>
          <w:szCs w:val="24"/>
        </w:rPr>
        <w:t>Neomarkers</w:t>
      </w:r>
      <w:proofErr w:type="spellEnd"/>
      <w:r w:rsidRPr="0057328B">
        <w:rPr>
          <w:rFonts w:ascii="Times New Roman" w:eastAsia="Times New Roman" w:hAnsi="Times New Roman" w:cs="Times New Roman"/>
          <w:sz w:val="24"/>
          <w:szCs w:val="24"/>
        </w:rPr>
        <w:t xml:space="preserve">, 1:200) and </w:t>
      </w:r>
      <w:proofErr w:type="spellStart"/>
      <w:r w:rsidRPr="0057328B">
        <w:rPr>
          <w:rFonts w:ascii="Times New Roman" w:hAnsi="Times New Roman" w:cs="Times New Roman"/>
          <w:sz w:val="24"/>
          <w:szCs w:val="24"/>
          <w:lang w:eastAsia="ko-KR"/>
        </w:rPr>
        <w:t>isopeptide</w:t>
      </w:r>
      <w:proofErr w:type="spellEnd"/>
      <w:r w:rsidRPr="0057328B">
        <w:rPr>
          <w:rFonts w:ascii="Times New Roman" w:hAnsi="Times New Roman" w:cs="Times New Roman"/>
          <w:sz w:val="24"/>
          <w:szCs w:val="24"/>
          <w:lang w:eastAsia="ko-KR"/>
        </w:rPr>
        <w:t xml:space="preserve"> (</w:t>
      </w:r>
      <w:proofErr w:type="spellStart"/>
      <w:r w:rsidRPr="0057328B">
        <w:rPr>
          <w:rFonts w:ascii="Times New Roman" w:hAnsi="Times New Roman" w:cs="Times New Roman"/>
          <w:sz w:val="24"/>
          <w:szCs w:val="24"/>
          <w:lang w:eastAsia="ko-KR"/>
        </w:rPr>
        <w:t>Abcam</w:t>
      </w:r>
      <w:proofErr w:type="spellEnd"/>
      <w:r w:rsidRPr="0057328B">
        <w:rPr>
          <w:rFonts w:ascii="Times New Roman" w:hAnsi="Times New Roman" w:cs="Times New Roman"/>
          <w:sz w:val="24"/>
          <w:szCs w:val="24"/>
          <w:lang w:eastAsia="ko-KR"/>
        </w:rPr>
        <w:t xml:space="preserve">, Cambridge, MA, 1:100), </w:t>
      </w:r>
      <w:r w:rsidRPr="0057328B">
        <w:rPr>
          <w:rFonts w:ascii="Times New Roman" w:eastAsia="Times New Roman" w:hAnsi="Times New Roman" w:cs="Times New Roman"/>
          <w:sz w:val="24"/>
          <w:szCs w:val="23"/>
        </w:rPr>
        <w:t>after sodium citrate antigen retrieval.  Paraffin-</w:t>
      </w:r>
      <w:r w:rsidRPr="0057328B">
        <w:rPr>
          <w:rFonts w:ascii="Times New Roman" w:eastAsia="Times New Roman" w:hAnsi="Times New Roman" w:cs="Times New Roman"/>
          <w:sz w:val="24"/>
          <w:szCs w:val="23"/>
        </w:rPr>
        <w:lastRenderedPageBreak/>
        <w:t>embedded p</w:t>
      </w:r>
      <w:r w:rsidRPr="0057328B">
        <w:rPr>
          <w:rFonts w:ascii="Times New Roman" w:hAnsi="Times New Roman" w:cs="Times New Roman"/>
          <w:sz w:val="24"/>
          <w:szCs w:val="24"/>
          <w:lang w:eastAsia="ko-KR"/>
        </w:rPr>
        <w:t>ancreatic xenografts were stained similarly, using a TG2 polyclonal antibody (</w:t>
      </w:r>
      <w:proofErr w:type="spellStart"/>
      <w:r w:rsidRPr="0057328B">
        <w:rPr>
          <w:rFonts w:ascii="Times New Roman" w:hAnsi="Times New Roman" w:cs="Times New Roman"/>
          <w:sz w:val="24"/>
          <w:szCs w:val="24"/>
          <w:lang w:eastAsia="ko-KR"/>
        </w:rPr>
        <w:t>NeoMarkers</w:t>
      </w:r>
      <w:proofErr w:type="spellEnd"/>
      <w:r w:rsidRPr="0057328B">
        <w:rPr>
          <w:rFonts w:ascii="Times New Roman" w:hAnsi="Times New Roman" w:cs="Times New Roman"/>
          <w:sz w:val="24"/>
          <w:szCs w:val="24"/>
          <w:lang w:eastAsia="ko-KR"/>
        </w:rPr>
        <w:t xml:space="preserve">, 1:50) and ready to use α-SMA monoclonal antibody (IHC World) for </w:t>
      </w:r>
      <w:proofErr w:type="spellStart"/>
      <w:r w:rsidRPr="0057328B">
        <w:rPr>
          <w:rFonts w:ascii="Times New Roman" w:hAnsi="Times New Roman" w:cs="Times New Roman"/>
          <w:sz w:val="24"/>
          <w:szCs w:val="24"/>
          <w:lang w:eastAsia="ko-KR"/>
        </w:rPr>
        <w:t>myofibroblasts</w:t>
      </w:r>
      <w:proofErr w:type="spellEnd"/>
      <w:r w:rsidRPr="0057328B">
        <w:rPr>
          <w:rFonts w:ascii="Times New Roman" w:hAnsi="Times New Roman" w:cs="Times New Roman"/>
          <w:sz w:val="24"/>
          <w:szCs w:val="24"/>
          <w:lang w:eastAsia="ko-KR"/>
        </w:rPr>
        <w:t>.</w:t>
      </w:r>
      <w:r w:rsidRPr="0057328B">
        <w:rPr>
          <w:rFonts w:ascii="Times New Roman" w:eastAsia="Times New Roman" w:hAnsi="Times New Roman" w:cs="Times New Roman"/>
          <w:sz w:val="24"/>
          <w:szCs w:val="23"/>
        </w:rPr>
        <w:t xml:space="preserve">  Secondary labeling was based on the </w:t>
      </w:r>
      <w:proofErr w:type="spellStart"/>
      <w:r w:rsidRPr="0057328B">
        <w:rPr>
          <w:rFonts w:ascii="Times New Roman" w:eastAsia="Times New Roman" w:hAnsi="Times New Roman" w:cs="Times New Roman"/>
          <w:sz w:val="24"/>
          <w:szCs w:val="23"/>
        </w:rPr>
        <w:t>Avidin</w:t>
      </w:r>
      <w:proofErr w:type="spellEnd"/>
      <w:r w:rsidRPr="0057328B">
        <w:rPr>
          <w:rFonts w:ascii="Times New Roman" w:eastAsia="Times New Roman" w:hAnsi="Times New Roman" w:cs="Times New Roman"/>
          <w:sz w:val="24"/>
          <w:szCs w:val="23"/>
        </w:rPr>
        <w:t>/Biotin system (</w:t>
      </w:r>
      <w:proofErr w:type="spellStart"/>
      <w:r w:rsidRPr="0057328B">
        <w:rPr>
          <w:rFonts w:ascii="Times New Roman" w:eastAsia="Times New Roman" w:hAnsi="Times New Roman" w:cs="Times New Roman"/>
          <w:sz w:val="24"/>
          <w:szCs w:val="23"/>
        </w:rPr>
        <w:t>Dako</w:t>
      </w:r>
      <w:proofErr w:type="spellEnd"/>
      <w:r w:rsidRPr="0057328B">
        <w:rPr>
          <w:rFonts w:ascii="Times New Roman" w:hAnsi="Times New Roman" w:cs="Times New Roman"/>
          <w:sz w:val="24"/>
          <w:szCs w:val="24"/>
          <w:lang w:eastAsia="ko-KR"/>
        </w:rPr>
        <w:t xml:space="preserve"> North America, Inc.</w:t>
      </w:r>
      <w:r w:rsidRPr="0057328B">
        <w:rPr>
          <w:rFonts w:ascii="Times New Roman" w:eastAsia="Times New Roman" w:hAnsi="Times New Roman" w:cs="Times New Roman"/>
          <w:sz w:val="24"/>
          <w:szCs w:val="23"/>
        </w:rPr>
        <w:t xml:space="preserve">).  Slides were stained with 3-3’ </w:t>
      </w:r>
      <w:proofErr w:type="spellStart"/>
      <w:r w:rsidRPr="0057328B">
        <w:rPr>
          <w:rFonts w:ascii="Times New Roman" w:eastAsia="Times New Roman" w:hAnsi="Times New Roman" w:cs="Times New Roman"/>
          <w:sz w:val="24"/>
          <w:szCs w:val="23"/>
        </w:rPr>
        <w:t>diaminobenzidine</w:t>
      </w:r>
      <w:proofErr w:type="spellEnd"/>
      <w:r w:rsidRPr="0057328B">
        <w:rPr>
          <w:rFonts w:ascii="Times New Roman" w:eastAsia="Times New Roman" w:hAnsi="Times New Roman" w:cs="Times New Roman"/>
          <w:sz w:val="24"/>
          <w:szCs w:val="23"/>
        </w:rPr>
        <w:t xml:space="preserve"> (DAB) and counterstained with </w:t>
      </w:r>
      <w:proofErr w:type="spellStart"/>
      <w:r w:rsidRPr="0057328B">
        <w:rPr>
          <w:rFonts w:ascii="Times New Roman" w:eastAsia="Times New Roman" w:hAnsi="Times New Roman" w:cs="Times New Roman"/>
          <w:sz w:val="24"/>
          <w:szCs w:val="23"/>
        </w:rPr>
        <w:t>hematoxyllin</w:t>
      </w:r>
      <w:proofErr w:type="spellEnd"/>
      <w:r w:rsidRPr="0057328B">
        <w:rPr>
          <w:rFonts w:ascii="Times New Roman" w:eastAsia="Times New Roman" w:hAnsi="Times New Roman" w:cs="Times New Roman"/>
          <w:sz w:val="24"/>
          <w:szCs w:val="23"/>
        </w:rPr>
        <w:t xml:space="preserve">.  Negative controls were run in parallel, with isotype IgG control.  </w:t>
      </w:r>
      <w:r w:rsidRPr="0057328B">
        <w:rPr>
          <w:rFonts w:ascii="Times New Roman" w:hAnsi="Times New Roman" w:cs="Times New Roman"/>
          <w:sz w:val="24"/>
          <w:szCs w:val="24"/>
          <w:lang w:eastAsia="ko-KR"/>
        </w:rPr>
        <w:t xml:space="preserve">H score was calculated as percentage of stained cells multiplied by intensity of staining (graded from 0 to 3+).  </w:t>
      </w:r>
      <w:r w:rsidRPr="0057328B">
        <w:rPr>
          <w:rFonts w:ascii="Times New Roman" w:eastAsia="Times New Roman" w:hAnsi="Times New Roman" w:cs="Times New Roman"/>
          <w:sz w:val="24"/>
          <w:szCs w:val="24"/>
        </w:rPr>
        <w:t>All slides were reviewed by a b</w:t>
      </w:r>
      <w:r>
        <w:rPr>
          <w:rFonts w:ascii="Times New Roman" w:eastAsia="Times New Roman" w:hAnsi="Times New Roman" w:cs="Times New Roman"/>
          <w:sz w:val="24"/>
          <w:szCs w:val="24"/>
        </w:rPr>
        <w:t>oard-certified pathologist (RE)</w:t>
      </w:r>
      <w:r w:rsidRPr="0057328B">
        <w:rPr>
          <w:rFonts w:ascii="Times New Roman" w:eastAsia="Times New Roman" w:hAnsi="Times New Roman" w:cs="Times New Roman"/>
          <w:sz w:val="24"/>
          <w:szCs w:val="24"/>
        </w:rPr>
        <w:t xml:space="preserve">.  In total, we stained 75 specimens, of which 52 tumors were part of a tissue microarray (TMA), 20 were identified as tumors associated with </w:t>
      </w:r>
      <w:proofErr w:type="spellStart"/>
      <w:r w:rsidRPr="0057328B">
        <w:rPr>
          <w:rFonts w:ascii="Times New Roman" w:eastAsia="Times New Roman" w:hAnsi="Times New Roman" w:cs="Times New Roman"/>
          <w:sz w:val="24"/>
          <w:szCs w:val="24"/>
        </w:rPr>
        <w:t>desmoplasia</w:t>
      </w:r>
      <w:proofErr w:type="spellEnd"/>
      <w:r w:rsidRPr="0057328B">
        <w:rPr>
          <w:rFonts w:ascii="Times New Roman" w:eastAsia="Times New Roman" w:hAnsi="Times New Roman" w:cs="Times New Roman"/>
          <w:sz w:val="24"/>
          <w:szCs w:val="24"/>
        </w:rPr>
        <w:t xml:space="preserve">, and 3 were normal pancreas.  </w:t>
      </w:r>
      <w:r w:rsidRPr="0057328B">
        <w:rPr>
          <w:rFonts w:ascii="Times New Roman" w:eastAsia="Times New Roman" w:hAnsi="Times New Roman" w:cs="Times New Roman"/>
          <w:sz w:val="24"/>
          <w:szCs w:val="23"/>
        </w:rPr>
        <w:t>The IU Institutional Review Board approved the use of de-identified human tissue specimens.</w:t>
      </w:r>
      <w:r>
        <w:rPr>
          <w:rFonts w:ascii="Times New Roman" w:eastAsia="Times New Roman" w:hAnsi="Times New Roman" w:cs="Times New Roman"/>
          <w:sz w:val="24"/>
          <w:szCs w:val="23"/>
        </w:rPr>
        <w:t xml:space="preserve"> </w:t>
      </w:r>
    </w:p>
    <w:p w14:paraId="6C566C88" w14:textId="64E61A65" w:rsidR="008B7980" w:rsidRDefault="008B7980" w:rsidP="00BE1CA1">
      <w:pPr>
        <w:spacing w:line="480" w:lineRule="auto"/>
        <w:jc w:val="both"/>
        <w:rPr>
          <w:rFonts w:ascii="Times New Roman" w:hAnsi="Times New Roman" w:cs="Times New Roman"/>
          <w:sz w:val="24"/>
          <w:szCs w:val="24"/>
          <w:lang w:eastAsia="ko-KR"/>
        </w:rPr>
      </w:pPr>
      <w:r w:rsidRPr="002868C5">
        <w:rPr>
          <w:rFonts w:ascii="Times New Roman" w:hAnsi="Times New Roman" w:cs="Times New Roman"/>
          <w:b/>
          <w:sz w:val="24"/>
          <w:szCs w:val="24"/>
          <w:lang w:eastAsia="ko-KR"/>
        </w:rPr>
        <w:t xml:space="preserve">Western Blot Analysis: </w:t>
      </w:r>
      <w:r w:rsidR="00C75CA5" w:rsidRPr="002868C5">
        <w:rPr>
          <w:rFonts w:ascii="Times New Roman" w:hAnsi="Times New Roman" w:cs="Times New Roman"/>
          <w:b/>
          <w:sz w:val="24"/>
          <w:szCs w:val="24"/>
          <w:lang w:eastAsia="ko-KR"/>
        </w:rPr>
        <w:t xml:space="preserve"> </w:t>
      </w:r>
      <w:r w:rsidRPr="002868C5">
        <w:rPr>
          <w:rFonts w:ascii="Times New Roman" w:hAnsi="Times New Roman" w:cs="Times New Roman"/>
          <w:sz w:val="24"/>
          <w:szCs w:val="24"/>
          <w:lang w:eastAsia="ko-KR"/>
        </w:rPr>
        <w:t>Cells were lysed in Radio-</w:t>
      </w:r>
      <w:proofErr w:type="spellStart"/>
      <w:r w:rsidRPr="002868C5">
        <w:rPr>
          <w:rFonts w:ascii="Times New Roman" w:hAnsi="Times New Roman" w:cs="Times New Roman"/>
          <w:sz w:val="24"/>
          <w:szCs w:val="24"/>
          <w:lang w:eastAsia="ko-KR"/>
        </w:rPr>
        <w:t>Immunoprecipitation</w:t>
      </w:r>
      <w:proofErr w:type="spellEnd"/>
      <w:r w:rsidRPr="002868C5">
        <w:rPr>
          <w:rFonts w:ascii="Times New Roman" w:hAnsi="Times New Roman" w:cs="Times New Roman"/>
          <w:sz w:val="24"/>
          <w:szCs w:val="24"/>
          <w:lang w:eastAsia="ko-KR"/>
        </w:rPr>
        <w:t xml:space="preserve"> Assay (RIPA) buffer containing Halt</w:t>
      </w:r>
      <w:r w:rsidRPr="002868C5">
        <w:rPr>
          <w:rFonts w:ascii="Times New Roman" w:eastAsia="Times New Roman" w:hAnsi="Times New Roman" w:cs="Times New Roman"/>
          <w:sz w:val="24"/>
          <w:szCs w:val="24"/>
        </w:rPr>
        <w:sym w:font="Symbol" w:char="F0E4"/>
      </w:r>
      <w:r w:rsidRPr="002868C5">
        <w:rPr>
          <w:rFonts w:ascii="Times New Roman" w:hAnsi="Times New Roman" w:cs="Times New Roman"/>
          <w:sz w:val="24"/>
          <w:szCs w:val="24"/>
          <w:lang w:eastAsia="ko-KR"/>
        </w:rPr>
        <w:t xml:space="preserve"> protease inhibitor cocktail (Thermo Scientific).  Equal amounts of proteins were separated by sodium dodecyl sulfate polyacrylamide gel electrophoresis (SDS-PAGE), and transferred to Immuno-Blot </w:t>
      </w:r>
      <w:proofErr w:type="spellStart"/>
      <w:r w:rsidRPr="002868C5">
        <w:rPr>
          <w:rFonts w:ascii="Times New Roman" w:hAnsi="Times New Roman" w:cs="Times New Roman"/>
          <w:sz w:val="24"/>
          <w:szCs w:val="24"/>
          <w:lang w:eastAsia="ko-KR"/>
        </w:rPr>
        <w:t>polyvinylidene</w:t>
      </w:r>
      <w:proofErr w:type="spellEnd"/>
      <w:r w:rsidRPr="002868C5">
        <w:rPr>
          <w:rFonts w:ascii="Times New Roman" w:hAnsi="Times New Roman" w:cs="Times New Roman"/>
          <w:sz w:val="24"/>
          <w:szCs w:val="24"/>
          <w:lang w:eastAsia="ko-KR"/>
        </w:rPr>
        <w:t xml:space="preserve"> </w:t>
      </w:r>
      <w:proofErr w:type="spellStart"/>
      <w:r w:rsidRPr="002868C5">
        <w:rPr>
          <w:rFonts w:ascii="Times New Roman" w:hAnsi="Times New Roman" w:cs="Times New Roman"/>
          <w:sz w:val="24"/>
          <w:szCs w:val="24"/>
          <w:lang w:eastAsia="ko-KR"/>
        </w:rPr>
        <w:t>difluoride</w:t>
      </w:r>
      <w:proofErr w:type="spellEnd"/>
      <w:r w:rsidRPr="002868C5">
        <w:rPr>
          <w:rFonts w:ascii="Times New Roman" w:hAnsi="Times New Roman" w:cs="Times New Roman"/>
          <w:sz w:val="24"/>
          <w:szCs w:val="24"/>
          <w:lang w:eastAsia="ko-KR"/>
        </w:rPr>
        <w:t xml:space="preserve"> (PVDF) membranes (Bio-Rad Laboratories, Inc.).  After blocking, membranes were blotted with primary antibodies followed by HRP-conjugated secondary antibodies.  The protein-antibody complexes were visualized by enhanced </w:t>
      </w:r>
      <w:proofErr w:type="spellStart"/>
      <w:r w:rsidRPr="002868C5">
        <w:rPr>
          <w:rFonts w:ascii="Times New Roman" w:hAnsi="Times New Roman" w:cs="Times New Roman"/>
          <w:sz w:val="24"/>
          <w:szCs w:val="24"/>
          <w:lang w:eastAsia="ko-KR"/>
        </w:rPr>
        <w:t>chemiluminescence</w:t>
      </w:r>
      <w:proofErr w:type="spellEnd"/>
      <w:r w:rsidRPr="002868C5">
        <w:rPr>
          <w:rFonts w:ascii="Times New Roman" w:hAnsi="Times New Roman" w:cs="Times New Roman"/>
          <w:sz w:val="24"/>
          <w:szCs w:val="24"/>
          <w:lang w:eastAsia="ko-KR"/>
        </w:rPr>
        <w:t xml:space="preserve"> solution (</w:t>
      </w:r>
      <w:proofErr w:type="spellStart"/>
      <w:r w:rsidRPr="002868C5">
        <w:rPr>
          <w:rFonts w:ascii="Times New Roman" w:hAnsi="Times New Roman" w:cs="Times New Roman"/>
          <w:sz w:val="24"/>
          <w:szCs w:val="24"/>
          <w:lang w:eastAsia="ko-KR"/>
        </w:rPr>
        <w:t>Thermo</w:t>
      </w:r>
      <w:proofErr w:type="spellEnd"/>
      <w:r w:rsidRPr="002868C5">
        <w:rPr>
          <w:rFonts w:ascii="Times New Roman" w:hAnsi="Times New Roman" w:cs="Times New Roman"/>
          <w:sz w:val="24"/>
          <w:szCs w:val="24"/>
          <w:lang w:eastAsia="ko-KR"/>
        </w:rPr>
        <w:t xml:space="preserve"> Scientific), and images were captured by </w:t>
      </w:r>
      <w:proofErr w:type="spellStart"/>
      <w:r w:rsidRPr="002868C5">
        <w:rPr>
          <w:rFonts w:ascii="Times New Roman" w:hAnsi="Times New Roman" w:cs="Times New Roman"/>
          <w:sz w:val="24"/>
          <w:szCs w:val="24"/>
          <w:lang w:eastAsia="ko-KR"/>
        </w:rPr>
        <w:t>ImageQuant</w:t>
      </w:r>
      <w:proofErr w:type="spellEnd"/>
      <w:r w:rsidRPr="002868C5">
        <w:rPr>
          <w:rFonts w:ascii="Times New Roman" w:hAnsi="Times New Roman" w:cs="Times New Roman"/>
          <w:sz w:val="24"/>
          <w:szCs w:val="24"/>
          <w:lang w:eastAsia="ko-KR"/>
        </w:rPr>
        <w:t xml:space="preserve"> LAS 4000 mini imager with a </w:t>
      </w:r>
      <w:proofErr w:type="spellStart"/>
      <w:r w:rsidRPr="002868C5">
        <w:rPr>
          <w:rFonts w:ascii="Times New Roman" w:hAnsi="Times New Roman" w:cs="Times New Roman"/>
          <w:sz w:val="24"/>
          <w:szCs w:val="24"/>
          <w:lang w:eastAsia="ko-KR"/>
        </w:rPr>
        <w:t>Chemilux</w:t>
      </w:r>
      <w:proofErr w:type="spellEnd"/>
      <w:r w:rsidRPr="002868C5">
        <w:rPr>
          <w:rFonts w:ascii="Times New Roman" w:hAnsi="Times New Roman" w:cs="Times New Roman"/>
          <w:sz w:val="24"/>
          <w:szCs w:val="24"/>
          <w:lang w:eastAsia="ko-KR"/>
        </w:rPr>
        <w:t xml:space="preserve"> CCD camera (GE Healthcare, Uppsala, Sweden).</w:t>
      </w:r>
      <w:r w:rsidR="0089353B" w:rsidRPr="002868C5">
        <w:rPr>
          <w:rFonts w:ascii="Times New Roman" w:hAnsi="Times New Roman" w:cs="Times New Roman"/>
          <w:sz w:val="24"/>
          <w:szCs w:val="24"/>
          <w:lang w:eastAsia="ko-KR"/>
        </w:rPr>
        <w:t xml:space="preserve">  All analyses were repeated at least 3 times.</w:t>
      </w:r>
    </w:p>
    <w:p w14:paraId="5A14F7F8" w14:textId="521A2720" w:rsidR="00BE1CA1" w:rsidRDefault="00BE1CA1" w:rsidP="00BE1CA1">
      <w:pPr>
        <w:spacing w:line="480" w:lineRule="auto"/>
        <w:jc w:val="both"/>
        <w:rPr>
          <w:rFonts w:ascii="Times New Roman" w:eastAsia="Calibri" w:hAnsi="Times New Roman" w:cs="Times New Roman"/>
          <w:sz w:val="24"/>
          <w:szCs w:val="24"/>
        </w:rPr>
      </w:pPr>
      <w:r w:rsidRPr="0057328B">
        <w:rPr>
          <w:rFonts w:ascii="Times New Roman" w:eastAsia="Malgun Gothic" w:hAnsi="Times New Roman" w:cs="Times New Roman"/>
          <w:b/>
          <w:sz w:val="24"/>
          <w:szCs w:val="24"/>
          <w:lang w:eastAsia="ko-KR"/>
        </w:rPr>
        <w:t xml:space="preserve">Immunofluorescence (IF) </w:t>
      </w:r>
      <w:r w:rsidRPr="0057328B">
        <w:rPr>
          <w:rFonts w:ascii="Times New Roman" w:eastAsia="Malgun Gothic" w:hAnsi="Times New Roman" w:cs="Times New Roman"/>
          <w:sz w:val="24"/>
          <w:szCs w:val="24"/>
          <w:lang w:eastAsia="ko-KR"/>
        </w:rPr>
        <w:t xml:space="preserve">used antibodies </w:t>
      </w:r>
      <w:r w:rsidRPr="0057328B">
        <w:rPr>
          <w:rFonts w:ascii="Times New Roman" w:eastAsia="Calibri" w:hAnsi="Times New Roman" w:cs="Times New Roman"/>
          <w:sz w:val="24"/>
          <w:szCs w:val="24"/>
        </w:rPr>
        <w:t>for TG2 (</w:t>
      </w:r>
      <w:proofErr w:type="spellStart"/>
      <w:r w:rsidRPr="0057328B">
        <w:rPr>
          <w:rFonts w:ascii="Times New Roman" w:eastAsia="Calibri" w:hAnsi="Times New Roman" w:cs="Times New Roman"/>
          <w:sz w:val="24"/>
          <w:szCs w:val="24"/>
        </w:rPr>
        <w:t>Neomarkers</w:t>
      </w:r>
      <w:proofErr w:type="spellEnd"/>
      <w:r w:rsidRPr="0057328B">
        <w:rPr>
          <w:rFonts w:ascii="Times New Roman" w:hAnsi="Times New Roman" w:cs="Times New Roman"/>
          <w:sz w:val="24"/>
          <w:szCs w:val="24"/>
          <w:lang w:eastAsia="ko-KR"/>
        </w:rPr>
        <w:t>), α-SMA (Sigma), collagen 1 (</w:t>
      </w:r>
      <w:proofErr w:type="spellStart"/>
      <w:r w:rsidRPr="0057328B">
        <w:rPr>
          <w:rFonts w:ascii="Times New Roman" w:hAnsi="Times New Roman" w:cs="Times New Roman"/>
          <w:sz w:val="24"/>
          <w:szCs w:val="24"/>
          <w:lang w:eastAsia="ko-KR"/>
        </w:rPr>
        <w:t>Abcam</w:t>
      </w:r>
      <w:proofErr w:type="spellEnd"/>
      <w:r w:rsidRPr="0057328B">
        <w:rPr>
          <w:rFonts w:ascii="Times New Roman" w:hAnsi="Times New Roman" w:cs="Times New Roman"/>
          <w:sz w:val="24"/>
          <w:szCs w:val="24"/>
          <w:lang w:eastAsia="ko-KR"/>
        </w:rPr>
        <w:t xml:space="preserve">), and YAP/TAZ (Cell Signaling) at a 1:100 dilution.  </w:t>
      </w:r>
      <w:r w:rsidRPr="0057328B">
        <w:rPr>
          <w:rFonts w:ascii="Times New Roman" w:eastAsia="Malgun Gothic" w:hAnsi="Times New Roman" w:cs="Times New Roman"/>
          <w:sz w:val="24"/>
          <w:szCs w:val="24"/>
          <w:lang w:eastAsia="ko-KR"/>
        </w:rPr>
        <w:t>PDA cells were cultured on collagen coated (</w:t>
      </w:r>
      <w:proofErr w:type="spellStart"/>
      <w:r w:rsidRPr="0057328B">
        <w:rPr>
          <w:rFonts w:ascii="Times New Roman" w:eastAsia="Malgun Gothic" w:hAnsi="Times New Roman" w:cs="Times New Roman"/>
          <w:sz w:val="24"/>
          <w:szCs w:val="24"/>
          <w:lang w:eastAsia="ko-KR"/>
        </w:rPr>
        <w:t>StemCell</w:t>
      </w:r>
      <w:proofErr w:type="spellEnd"/>
      <w:r w:rsidRPr="0057328B">
        <w:rPr>
          <w:rFonts w:ascii="Times New Roman" w:eastAsia="Malgun Gothic" w:hAnsi="Times New Roman" w:cs="Times New Roman"/>
          <w:sz w:val="24"/>
          <w:szCs w:val="24"/>
          <w:lang w:eastAsia="ko-KR"/>
        </w:rPr>
        <w:t xml:space="preserve"> Technologies, Inc., </w:t>
      </w:r>
      <w:r w:rsidRPr="0057328B">
        <w:rPr>
          <w:rFonts w:ascii="Times New Roman" w:hAnsi="Times New Roman" w:cs="Times New Roman"/>
          <w:sz w:val="24"/>
          <w:szCs w:val="24"/>
          <w:lang w:eastAsia="ko-KR"/>
        </w:rPr>
        <w:t>Vancouver, BC</w:t>
      </w:r>
      <w:r w:rsidRPr="0057328B">
        <w:rPr>
          <w:rFonts w:ascii="Times New Roman" w:eastAsia="Malgun Gothic" w:hAnsi="Times New Roman" w:cs="Times New Roman"/>
          <w:sz w:val="24"/>
          <w:szCs w:val="24"/>
          <w:lang w:eastAsia="ko-KR"/>
        </w:rPr>
        <w:t>), fibronectin coated (BD Biosciences, Bedford, MA), or uncoated slides (</w:t>
      </w:r>
      <w:proofErr w:type="spellStart"/>
      <w:r w:rsidRPr="0057328B">
        <w:rPr>
          <w:rFonts w:ascii="Times New Roman" w:eastAsia="Malgun Gothic" w:hAnsi="Times New Roman" w:cs="Times New Roman"/>
          <w:sz w:val="24"/>
          <w:szCs w:val="24"/>
          <w:lang w:eastAsia="ko-KR"/>
        </w:rPr>
        <w:t>Millicell</w:t>
      </w:r>
      <w:proofErr w:type="spellEnd"/>
      <w:r w:rsidRPr="0057328B">
        <w:rPr>
          <w:rFonts w:ascii="Times New Roman" w:eastAsia="Malgun Gothic" w:hAnsi="Times New Roman" w:cs="Times New Roman"/>
          <w:sz w:val="24"/>
          <w:szCs w:val="24"/>
          <w:vertAlign w:val="superscript"/>
          <w:lang w:eastAsia="ko-KR"/>
        </w:rPr>
        <w:sym w:font="Symbol" w:char="F0D2"/>
      </w:r>
      <w:r w:rsidRPr="0057328B">
        <w:rPr>
          <w:rFonts w:ascii="Times New Roman" w:eastAsia="Malgun Gothic" w:hAnsi="Times New Roman" w:cs="Times New Roman"/>
          <w:sz w:val="24"/>
          <w:szCs w:val="24"/>
          <w:lang w:eastAsia="ko-KR"/>
        </w:rPr>
        <w:t xml:space="preserve"> EZ </w:t>
      </w:r>
      <w:r w:rsidRPr="0057328B">
        <w:rPr>
          <w:rFonts w:ascii="Times New Roman" w:eastAsia="Malgun Gothic" w:hAnsi="Times New Roman" w:cs="Times New Roman"/>
          <w:sz w:val="24"/>
          <w:szCs w:val="24"/>
          <w:vertAlign w:val="subscript"/>
          <w:lang w:eastAsia="ko-KR"/>
        </w:rPr>
        <w:t>SLIDE</w:t>
      </w:r>
      <w:r w:rsidRPr="008E0EEE">
        <w:rPr>
          <w:rFonts w:ascii="Times New Roman" w:eastAsia="Malgun Gothic" w:hAnsi="Times New Roman" w:cs="Times New Roman"/>
          <w:sz w:val="24"/>
          <w:szCs w:val="24"/>
          <w:lang w:eastAsia="ko-KR"/>
        </w:rPr>
        <w:t xml:space="preserve">, Millipore).  </w:t>
      </w:r>
      <w:r w:rsidRPr="008E0EEE">
        <w:rPr>
          <w:rFonts w:ascii="Times New Roman" w:eastAsia="Calibri" w:hAnsi="Times New Roman" w:cs="Times New Roman"/>
          <w:sz w:val="24"/>
          <w:szCs w:val="24"/>
        </w:rPr>
        <w:t xml:space="preserve">After fixation in </w:t>
      </w:r>
      <w:r w:rsidRPr="008E0EEE">
        <w:rPr>
          <w:rFonts w:ascii="Times New Roman" w:eastAsia="Calibri" w:hAnsi="Times New Roman" w:cs="Times New Roman"/>
          <w:sz w:val="24"/>
          <w:szCs w:val="24"/>
        </w:rPr>
        <w:lastRenderedPageBreak/>
        <w:t xml:space="preserve">4% paraformaldehyde, cells were </w:t>
      </w:r>
      <w:proofErr w:type="spellStart"/>
      <w:r w:rsidRPr="008E0EEE">
        <w:rPr>
          <w:rFonts w:ascii="Times New Roman" w:eastAsia="Calibri" w:hAnsi="Times New Roman" w:cs="Times New Roman"/>
          <w:sz w:val="24"/>
          <w:szCs w:val="24"/>
        </w:rPr>
        <w:t>permeabilized</w:t>
      </w:r>
      <w:proofErr w:type="spellEnd"/>
      <w:r w:rsidRPr="0057328B">
        <w:rPr>
          <w:rFonts w:ascii="Times New Roman" w:eastAsia="Calibri" w:hAnsi="Times New Roman" w:cs="Times New Roman"/>
          <w:sz w:val="24"/>
          <w:szCs w:val="24"/>
        </w:rPr>
        <w:t xml:space="preserve"> using 0.1% Triton X-100 in PBS for 5 min and blocked for 1 hour with 3% goat serum in PBS-T (0.1% Tween 20).  Subsequently, cells were incubated overnight at 4</w:t>
      </w:r>
      <w:r w:rsidRPr="0057328B">
        <w:rPr>
          <w:rFonts w:ascii="Times New Roman" w:hAnsi="Times New Roman" w:cs="Times New Roman"/>
          <w:sz w:val="24"/>
          <w:szCs w:val="24"/>
          <w:lang w:val="en" w:eastAsia="ko-KR"/>
        </w:rPr>
        <w:t>°C</w:t>
      </w:r>
      <w:r w:rsidRPr="0057328B">
        <w:rPr>
          <w:rFonts w:ascii="Times New Roman" w:eastAsia="Calibri" w:hAnsi="Times New Roman" w:cs="Times New Roman"/>
          <w:sz w:val="24"/>
          <w:szCs w:val="24"/>
        </w:rPr>
        <w:t xml:space="preserve"> with antibodies for TG2 (</w:t>
      </w:r>
      <w:proofErr w:type="spellStart"/>
      <w:r w:rsidRPr="0057328B">
        <w:rPr>
          <w:rFonts w:ascii="Times New Roman" w:eastAsia="Calibri" w:hAnsi="Times New Roman" w:cs="Times New Roman"/>
          <w:sz w:val="24"/>
          <w:szCs w:val="24"/>
        </w:rPr>
        <w:t>Neomarkers</w:t>
      </w:r>
      <w:proofErr w:type="spellEnd"/>
      <w:r w:rsidRPr="0057328B">
        <w:rPr>
          <w:rFonts w:ascii="Times New Roman" w:hAnsi="Times New Roman" w:cs="Times New Roman"/>
          <w:sz w:val="24"/>
          <w:szCs w:val="24"/>
          <w:lang w:eastAsia="ko-KR"/>
        </w:rPr>
        <w:t>), α-SMA (Sigma), collagen 1 (</w:t>
      </w:r>
      <w:proofErr w:type="spellStart"/>
      <w:r w:rsidRPr="0057328B">
        <w:rPr>
          <w:rFonts w:ascii="Times New Roman" w:hAnsi="Times New Roman" w:cs="Times New Roman"/>
          <w:sz w:val="24"/>
          <w:szCs w:val="24"/>
          <w:lang w:eastAsia="ko-KR"/>
        </w:rPr>
        <w:t>Abcam</w:t>
      </w:r>
      <w:proofErr w:type="spellEnd"/>
      <w:r w:rsidRPr="0057328B">
        <w:rPr>
          <w:rFonts w:ascii="Times New Roman" w:hAnsi="Times New Roman" w:cs="Times New Roman"/>
          <w:sz w:val="24"/>
          <w:szCs w:val="24"/>
          <w:lang w:eastAsia="ko-KR"/>
        </w:rPr>
        <w:t xml:space="preserve">), and YAP/TAZ (Cell Signaling) at a 1:100 dilution, </w:t>
      </w:r>
      <w:r w:rsidRPr="0057328B">
        <w:rPr>
          <w:rFonts w:ascii="Times New Roman" w:eastAsia="Calibri" w:hAnsi="Times New Roman" w:cs="Times New Roman"/>
          <w:sz w:val="24"/>
          <w:szCs w:val="24"/>
        </w:rPr>
        <w:t>followed by 1 hour incubation with Cy</w:t>
      </w:r>
      <w:r w:rsidRPr="0057328B">
        <w:rPr>
          <w:rFonts w:ascii="Times New Roman" w:eastAsia="Calibri" w:hAnsi="Times New Roman" w:cs="Times New Roman"/>
          <w:sz w:val="24"/>
          <w:szCs w:val="24"/>
          <w:vertAlign w:val="superscript"/>
        </w:rPr>
        <w:t>TM</w:t>
      </w:r>
      <w:r w:rsidRPr="0057328B">
        <w:rPr>
          <w:rFonts w:ascii="Times New Roman" w:eastAsia="Calibri" w:hAnsi="Times New Roman" w:cs="Times New Roman"/>
          <w:sz w:val="24"/>
          <w:szCs w:val="24"/>
        </w:rPr>
        <w:t>5-conjugated anti-mouse secondary antibody (</w:t>
      </w:r>
      <w:r w:rsidRPr="0057328B">
        <w:rPr>
          <w:rFonts w:ascii="Times New Roman" w:hAnsi="Times New Roman" w:cs="Times New Roman"/>
          <w:sz w:val="24"/>
          <w:szCs w:val="24"/>
          <w:lang w:eastAsia="ko-KR"/>
        </w:rPr>
        <w:t>Invitrogen Corporation, Camarillo, CA</w:t>
      </w:r>
      <w:r w:rsidRPr="0057328B">
        <w:rPr>
          <w:rFonts w:ascii="Times New Roman" w:eastAsia="Calibri" w:hAnsi="Times New Roman" w:cs="Times New Roman"/>
          <w:sz w:val="24"/>
          <w:szCs w:val="24"/>
        </w:rPr>
        <w:t>)</w:t>
      </w:r>
      <w:r w:rsidRPr="0057328B">
        <w:rPr>
          <w:rFonts w:ascii="Times New Roman" w:hAnsi="Times New Roman" w:cs="Times New Roman"/>
          <w:sz w:val="24"/>
          <w:szCs w:val="24"/>
          <w:lang w:eastAsia="ko-KR"/>
        </w:rPr>
        <w:t xml:space="preserve"> and Alexa Fluor</w:t>
      </w:r>
      <w:r w:rsidRPr="0057328B">
        <w:rPr>
          <w:rFonts w:ascii="Times New Roman" w:hAnsi="Times New Roman" w:cs="Times New Roman"/>
          <w:sz w:val="24"/>
          <w:szCs w:val="24"/>
          <w:vertAlign w:val="superscript"/>
          <w:lang w:eastAsia="ko-KR"/>
        </w:rPr>
        <w:t>®</w:t>
      </w:r>
      <w:r w:rsidRPr="0057328B">
        <w:rPr>
          <w:rFonts w:ascii="Times New Roman" w:hAnsi="Times New Roman" w:cs="Times New Roman"/>
          <w:sz w:val="24"/>
          <w:szCs w:val="24"/>
          <w:lang w:eastAsia="ko-KR"/>
        </w:rPr>
        <w:t xml:space="preserve"> 488 goat anti-rabbit IgG (Life Technologies, Carlsbad, CA). </w:t>
      </w:r>
      <w:r w:rsidRPr="0057328B">
        <w:rPr>
          <w:rFonts w:ascii="Times New Roman" w:eastAsia="Calibri" w:hAnsi="Times New Roman" w:cs="Times New Roman"/>
          <w:sz w:val="24"/>
          <w:szCs w:val="24"/>
        </w:rPr>
        <w:t xml:space="preserve"> </w:t>
      </w:r>
      <w:r w:rsidR="00B72CA3">
        <w:rPr>
          <w:rFonts w:ascii="Times New Roman" w:eastAsia="Calibri" w:hAnsi="Times New Roman" w:cs="Times New Roman"/>
          <w:sz w:val="24"/>
          <w:szCs w:val="24"/>
        </w:rPr>
        <w:t>T</w:t>
      </w:r>
      <w:r w:rsidRPr="0057328B">
        <w:rPr>
          <w:rFonts w:ascii="Times New Roman" w:eastAsia="Calibri" w:hAnsi="Times New Roman" w:cs="Times New Roman"/>
          <w:sz w:val="24"/>
          <w:szCs w:val="24"/>
        </w:rPr>
        <w:t xml:space="preserve">o detect matrix-bound TG2, cells were </w:t>
      </w:r>
      <w:r w:rsidR="005F4263">
        <w:rPr>
          <w:rFonts w:ascii="Times New Roman" w:eastAsia="Calibri" w:hAnsi="Times New Roman" w:cs="Times New Roman"/>
          <w:sz w:val="24"/>
          <w:szCs w:val="24"/>
        </w:rPr>
        <w:t xml:space="preserve">not </w:t>
      </w:r>
      <w:proofErr w:type="spellStart"/>
      <w:r w:rsidR="005F4263">
        <w:rPr>
          <w:rFonts w:ascii="Times New Roman" w:eastAsia="Calibri" w:hAnsi="Times New Roman" w:cs="Times New Roman"/>
          <w:sz w:val="24"/>
          <w:szCs w:val="24"/>
        </w:rPr>
        <w:t>permeabilized</w:t>
      </w:r>
      <w:proofErr w:type="spellEnd"/>
      <w:r w:rsidR="005F4263">
        <w:rPr>
          <w:rFonts w:ascii="Times New Roman" w:eastAsia="Calibri" w:hAnsi="Times New Roman" w:cs="Times New Roman"/>
          <w:sz w:val="24"/>
          <w:szCs w:val="24"/>
        </w:rPr>
        <w:t xml:space="preserve"> prior to </w:t>
      </w:r>
      <w:r w:rsidRPr="0057328B">
        <w:rPr>
          <w:rFonts w:ascii="Times New Roman" w:eastAsia="Calibri" w:hAnsi="Times New Roman" w:cs="Times New Roman"/>
          <w:sz w:val="24"/>
          <w:szCs w:val="24"/>
        </w:rPr>
        <w:t>incubat</w:t>
      </w:r>
      <w:r w:rsidR="005F4263">
        <w:rPr>
          <w:rFonts w:ascii="Times New Roman" w:eastAsia="Calibri" w:hAnsi="Times New Roman" w:cs="Times New Roman"/>
          <w:sz w:val="24"/>
          <w:szCs w:val="24"/>
        </w:rPr>
        <w:t>ion</w:t>
      </w:r>
      <w:r w:rsidRPr="0057328B">
        <w:rPr>
          <w:rFonts w:ascii="Times New Roman" w:eastAsia="Calibri" w:hAnsi="Times New Roman" w:cs="Times New Roman"/>
          <w:sz w:val="24"/>
          <w:szCs w:val="24"/>
        </w:rPr>
        <w:t xml:space="preserve"> with </w:t>
      </w:r>
      <w:r w:rsidR="005F4263">
        <w:rPr>
          <w:rFonts w:ascii="Times New Roman" w:eastAsia="Calibri" w:hAnsi="Times New Roman" w:cs="Times New Roman"/>
          <w:sz w:val="24"/>
          <w:szCs w:val="24"/>
        </w:rPr>
        <w:t xml:space="preserve">the </w:t>
      </w:r>
      <w:r w:rsidRPr="0057328B">
        <w:rPr>
          <w:rFonts w:ascii="Times New Roman" w:eastAsia="Calibri" w:hAnsi="Times New Roman" w:cs="Times New Roman"/>
          <w:sz w:val="24"/>
          <w:szCs w:val="24"/>
        </w:rPr>
        <w:t>TG2 antibody (1:100 dilution), as previously described</w:t>
      </w:r>
      <w:r>
        <w:rPr>
          <w:rFonts w:ascii="Times New Roman" w:eastAsia="Calibri" w:hAnsi="Times New Roman" w:cs="Times New Roman"/>
          <w:sz w:val="24"/>
          <w:szCs w:val="24"/>
        </w:rPr>
        <w:t xml:space="preserve"> </w:t>
      </w:r>
      <w:r w:rsidR="00473A09">
        <w:rPr>
          <w:rFonts w:ascii="Times New Roman" w:eastAsia="Calibri" w:hAnsi="Times New Roman" w:cs="Times New Roman"/>
          <w:sz w:val="24"/>
          <w:szCs w:val="24"/>
        </w:rPr>
        <w:t>(</w:t>
      </w:r>
      <w:r w:rsidRPr="00473A09">
        <w:rPr>
          <w:rFonts w:ascii="Times New Roman" w:eastAsia="Calibri" w:hAnsi="Times New Roman" w:cs="Times New Roman"/>
          <w:sz w:val="24"/>
          <w:szCs w:val="24"/>
        </w:rPr>
        <w:t>23</w:t>
      </w:r>
      <w:r w:rsidR="00473A09">
        <w:rPr>
          <w:rFonts w:ascii="Times New Roman" w:eastAsia="Calibri" w:hAnsi="Times New Roman" w:cs="Times New Roman"/>
          <w:sz w:val="24"/>
          <w:szCs w:val="24"/>
        </w:rPr>
        <w:t>)</w:t>
      </w:r>
      <w:r w:rsidRPr="008E0EEE">
        <w:rPr>
          <w:rFonts w:ascii="Times New Roman" w:eastAsia="Calibri" w:hAnsi="Times New Roman" w:cs="Times New Roman"/>
          <w:sz w:val="24"/>
          <w:szCs w:val="24"/>
        </w:rPr>
        <w:t>.  Isotype-specific IgG was a negative co</w:t>
      </w:r>
      <w:r w:rsidRPr="0057328B">
        <w:rPr>
          <w:rFonts w:ascii="Times New Roman" w:eastAsia="Calibri" w:hAnsi="Times New Roman" w:cs="Times New Roman"/>
          <w:sz w:val="24"/>
          <w:szCs w:val="24"/>
        </w:rPr>
        <w:t>ntrol.  Nuclei were visualized by 4’</w:t>
      </w:r>
      <w:proofErr w:type="gramStart"/>
      <w:r w:rsidRPr="0057328B">
        <w:rPr>
          <w:rFonts w:ascii="Times New Roman" w:eastAsia="Calibri" w:hAnsi="Times New Roman" w:cs="Times New Roman"/>
          <w:sz w:val="24"/>
          <w:szCs w:val="24"/>
        </w:rPr>
        <w:t>,6</w:t>
      </w:r>
      <w:proofErr w:type="gramEnd"/>
      <w:r w:rsidRPr="0057328B">
        <w:rPr>
          <w:rFonts w:ascii="Times New Roman" w:eastAsia="Calibri" w:hAnsi="Times New Roman" w:cs="Times New Roman"/>
          <w:sz w:val="24"/>
          <w:szCs w:val="24"/>
        </w:rPr>
        <w:t>-diamidino-2-phenylindole (DAPI) staining (VECTASHIELD; Vector Laboratories,</w:t>
      </w:r>
      <w:r w:rsidRPr="0057328B">
        <w:rPr>
          <w:rFonts w:ascii="Times New Roman" w:hAnsi="Times New Roman" w:cs="Times New Roman"/>
          <w:sz w:val="24"/>
          <w:szCs w:val="24"/>
          <w:lang w:eastAsia="ko-KR"/>
        </w:rPr>
        <w:t xml:space="preserve"> Burlingame, CA</w:t>
      </w:r>
      <w:r w:rsidRPr="0057328B">
        <w:rPr>
          <w:rFonts w:ascii="Times New Roman" w:eastAsia="Calibri" w:hAnsi="Times New Roman" w:cs="Times New Roman"/>
          <w:sz w:val="24"/>
          <w:szCs w:val="24"/>
        </w:rPr>
        <w:t xml:space="preserve">).  Analysis used a Zeiss LSM 510 META confocal multiphoton microscope system </w:t>
      </w:r>
      <w:r w:rsidRPr="0057328B">
        <w:rPr>
          <w:rFonts w:ascii="Times New Roman" w:eastAsia="Malgun Gothic" w:hAnsi="Times New Roman" w:cs="Times New Roman"/>
          <w:sz w:val="24"/>
          <w:szCs w:val="24"/>
          <w:lang w:eastAsia="ko-KR"/>
        </w:rPr>
        <w:t>(Carl Zeiss, Inc., Thornwood, NY, USA)</w:t>
      </w:r>
      <w:r w:rsidRPr="0057328B">
        <w:rPr>
          <w:rFonts w:ascii="Times New Roman" w:eastAsia="Calibri" w:hAnsi="Times New Roman" w:cs="Times New Roman"/>
          <w:sz w:val="24"/>
          <w:szCs w:val="24"/>
        </w:rPr>
        <w:t xml:space="preserve"> under UV excitation at 635 nm for Cy5, 488 nm for Alexa Fluor</w:t>
      </w:r>
      <w:r w:rsidRPr="004B503C">
        <w:rPr>
          <w:rFonts w:ascii="Times New Roman" w:eastAsia="Calibri" w:hAnsi="Times New Roman" w:cs="Times New Roman"/>
          <w:sz w:val="24"/>
          <w:szCs w:val="24"/>
          <w:vertAlign w:val="superscript"/>
        </w:rPr>
        <w:t>®</w:t>
      </w:r>
      <w:r w:rsidRPr="0057328B">
        <w:rPr>
          <w:rFonts w:ascii="Times New Roman" w:eastAsia="Calibri" w:hAnsi="Times New Roman" w:cs="Times New Roman"/>
          <w:sz w:val="24"/>
          <w:szCs w:val="24"/>
        </w:rPr>
        <w:t xml:space="preserve"> </w:t>
      </w:r>
      <w:r w:rsidRPr="008E0EEE">
        <w:rPr>
          <w:rFonts w:ascii="Times New Roman" w:eastAsia="Calibri" w:hAnsi="Times New Roman" w:cs="Times New Roman"/>
          <w:sz w:val="24"/>
          <w:szCs w:val="24"/>
        </w:rPr>
        <w:t xml:space="preserve">488, and 405 nm for DAPI. </w:t>
      </w:r>
    </w:p>
    <w:p w14:paraId="3D81DD29" w14:textId="3BF74ECB" w:rsidR="00BE1CA1" w:rsidRDefault="00BE1CA1" w:rsidP="008B7980">
      <w:pPr>
        <w:spacing w:line="480" w:lineRule="auto"/>
        <w:jc w:val="both"/>
        <w:rPr>
          <w:rFonts w:ascii="Times New Roman" w:hAnsi="Times New Roman" w:cs="Times New Roman"/>
          <w:sz w:val="24"/>
          <w:szCs w:val="24"/>
          <w:lang w:eastAsia="ko-KR"/>
        </w:rPr>
      </w:pPr>
      <w:r w:rsidRPr="002868C5">
        <w:rPr>
          <w:rFonts w:ascii="Times New Roman" w:hAnsi="Times New Roman" w:cs="Times New Roman"/>
          <w:b/>
          <w:sz w:val="24"/>
          <w:szCs w:val="24"/>
          <w:lang w:eastAsia="ko-KR"/>
        </w:rPr>
        <w:t xml:space="preserve">Proliferation Assays:  </w:t>
      </w:r>
      <w:r w:rsidRPr="002868C5">
        <w:rPr>
          <w:rFonts w:ascii="Times New Roman" w:hAnsi="Times New Roman" w:cs="Times New Roman"/>
          <w:sz w:val="24"/>
          <w:szCs w:val="24"/>
          <w:lang w:eastAsia="ko-KR"/>
        </w:rPr>
        <w:t>The</w:t>
      </w:r>
      <w:r w:rsidRPr="002868C5">
        <w:rPr>
          <w:rFonts w:ascii="Times New Roman" w:hAnsi="Times New Roman" w:cs="Times New Roman"/>
          <w:b/>
          <w:sz w:val="24"/>
          <w:szCs w:val="24"/>
          <w:lang w:eastAsia="ko-KR"/>
        </w:rPr>
        <w:t xml:space="preserve"> </w:t>
      </w:r>
      <w:r w:rsidRPr="002868C5">
        <w:rPr>
          <w:rFonts w:ascii="Times New Roman" w:hAnsi="Times New Roman" w:cs="Times New Roman"/>
          <w:sz w:val="24"/>
          <w:szCs w:val="24"/>
          <w:lang w:eastAsia="ko-KR"/>
        </w:rPr>
        <w:t xml:space="preserve">proliferation of NHF544 on native or </w:t>
      </w:r>
      <w:proofErr w:type="spellStart"/>
      <w:r w:rsidRPr="002868C5">
        <w:rPr>
          <w:rFonts w:ascii="Times New Roman" w:hAnsi="Times New Roman" w:cs="Times New Roman"/>
          <w:sz w:val="24"/>
          <w:szCs w:val="24"/>
          <w:lang w:eastAsia="ko-KR"/>
        </w:rPr>
        <w:t>crosslinked</w:t>
      </w:r>
      <w:proofErr w:type="spellEnd"/>
      <w:r w:rsidRPr="002868C5">
        <w:rPr>
          <w:rFonts w:ascii="Times New Roman" w:hAnsi="Times New Roman" w:cs="Times New Roman"/>
          <w:sz w:val="24"/>
          <w:szCs w:val="24"/>
          <w:lang w:eastAsia="ko-KR"/>
        </w:rPr>
        <w:t xml:space="preserve"> collagen used the cell counting kit (CCK)-8 (</w:t>
      </w:r>
      <w:proofErr w:type="spellStart"/>
      <w:r w:rsidRPr="002868C5">
        <w:rPr>
          <w:rFonts w:ascii="Times New Roman" w:hAnsi="Times New Roman" w:cs="Times New Roman"/>
          <w:sz w:val="24"/>
          <w:szCs w:val="24"/>
          <w:lang w:eastAsia="ko-KR"/>
        </w:rPr>
        <w:t>Dojindo</w:t>
      </w:r>
      <w:proofErr w:type="spellEnd"/>
      <w:r w:rsidRPr="002868C5">
        <w:rPr>
          <w:rFonts w:ascii="Times New Roman" w:hAnsi="Times New Roman" w:cs="Times New Roman"/>
          <w:sz w:val="24"/>
          <w:szCs w:val="24"/>
          <w:lang w:eastAsia="ko-KR"/>
        </w:rPr>
        <w:t xml:space="preserve"> Molecular Technologies, Inc., Rockville, MD), according to the manufacturer’s instructions.  Absorbance at 450 nm was measured using EL800 microplate reader (</w:t>
      </w:r>
      <w:proofErr w:type="spellStart"/>
      <w:r w:rsidRPr="002868C5">
        <w:rPr>
          <w:rFonts w:ascii="Times New Roman" w:hAnsi="Times New Roman" w:cs="Times New Roman"/>
          <w:sz w:val="24"/>
          <w:szCs w:val="24"/>
          <w:lang w:eastAsia="ko-KR"/>
        </w:rPr>
        <w:t>BioTek</w:t>
      </w:r>
      <w:proofErr w:type="spellEnd"/>
      <w:r w:rsidRPr="002868C5">
        <w:rPr>
          <w:rFonts w:ascii="Times New Roman" w:hAnsi="Times New Roman" w:cs="Times New Roman"/>
          <w:sz w:val="24"/>
          <w:szCs w:val="24"/>
          <w:lang w:eastAsia="ko-KR"/>
        </w:rPr>
        <w:t xml:space="preserve"> Instruments, Inc., Winooski, VT).  The </w:t>
      </w:r>
      <w:proofErr w:type="spellStart"/>
      <w:r w:rsidRPr="002868C5">
        <w:rPr>
          <w:rFonts w:ascii="Times New Roman" w:hAnsi="Times New Roman" w:cs="Times New Roman"/>
          <w:sz w:val="24"/>
          <w:szCs w:val="24"/>
          <w:lang w:eastAsia="ko-KR"/>
        </w:rPr>
        <w:t>bromodeoxyuridine</w:t>
      </w:r>
      <w:proofErr w:type="spellEnd"/>
      <w:r w:rsidRPr="002868C5">
        <w:rPr>
          <w:rFonts w:ascii="Times New Roman" w:hAnsi="Times New Roman" w:cs="Times New Roman"/>
          <w:sz w:val="24"/>
          <w:szCs w:val="24"/>
          <w:lang w:eastAsia="ko-KR"/>
        </w:rPr>
        <w:t xml:space="preserve"> (</w:t>
      </w:r>
      <w:proofErr w:type="spellStart"/>
      <w:r w:rsidRPr="002868C5">
        <w:rPr>
          <w:rFonts w:ascii="Times New Roman" w:hAnsi="Times New Roman" w:cs="Times New Roman"/>
          <w:sz w:val="24"/>
          <w:szCs w:val="24"/>
          <w:lang w:eastAsia="ko-KR"/>
        </w:rPr>
        <w:t>BrdU</w:t>
      </w:r>
      <w:proofErr w:type="spellEnd"/>
      <w:r w:rsidRPr="002868C5">
        <w:rPr>
          <w:rFonts w:ascii="Times New Roman" w:hAnsi="Times New Roman" w:cs="Times New Roman"/>
          <w:sz w:val="24"/>
          <w:szCs w:val="24"/>
          <w:lang w:eastAsia="ko-KR"/>
        </w:rPr>
        <w:t>) cell proliferation ELISA kit (</w:t>
      </w:r>
      <w:proofErr w:type="spellStart"/>
      <w:r w:rsidRPr="002868C5">
        <w:rPr>
          <w:rFonts w:ascii="Times New Roman" w:hAnsi="Times New Roman" w:cs="Times New Roman"/>
          <w:sz w:val="24"/>
          <w:szCs w:val="24"/>
          <w:lang w:eastAsia="ko-KR"/>
        </w:rPr>
        <w:t>Abcam</w:t>
      </w:r>
      <w:proofErr w:type="spellEnd"/>
      <w:r w:rsidRPr="002868C5">
        <w:rPr>
          <w:rFonts w:ascii="Times New Roman" w:hAnsi="Times New Roman" w:cs="Times New Roman"/>
          <w:sz w:val="24"/>
          <w:szCs w:val="24"/>
          <w:lang w:eastAsia="ko-KR"/>
        </w:rPr>
        <w:t xml:space="preserve">) was used to measure proliferation of PDA cells.  Absorbance at 370 nm was measured by </w:t>
      </w:r>
      <w:proofErr w:type="spellStart"/>
      <w:r w:rsidRPr="002868C5">
        <w:rPr>
          <w:rFonts w:ascii="Times New Roman" w:hAnsi="Times New Roman" w:cs="Times New Roman"/>
          <w:sz w:val="24"/>
          <w:szCs w:val="24"/>
          <w:lang w:eastAsia="ko-KR"/>
        </w:rPr>
        <w:t>SPECTRAmax</w:t>
      </w:r>
      <w:proofErr w:type="spellEnd"/>
      <w:r w:rsidRPr="002868C5">
        <w:rPr>
          <w:rFonts w:ascii="Times New Roman" w:hAnsi="Times New Roman" w:cs="Times New Roman"/>
          <w:sz w:val="24"/>
          <w:szCs w:val="24"/>
          <w:vertAlign w:val="superscript"/>
          <w:lang w:eastAsia="ko-KR"/>
        </w:rPr>
        <w:t>®</w:t>
      </w:r>
      <w:r w:rsidRPr="002868C5">
        <w:rPr>
          <w:rFonts w:ascii="Times New Roman" w:hAnsi="Times New Roman" w:cs="Times New Roman"/>
          <w:sz w:val="24"/>
          <w:szCs w:val="24"/>
          <w:lang w:eastAsia="ko-KR"/>
        </w:rPr>
        <w:t xml:space="preserve"> Plus 384 microplate spectrophotometer (Molecular Devices).  Crystal violet staining was utilized to stain the PDA cells grown on the </w:t>
      </w:r>
      <w:proofErr w:type="spellStart"/>
      <w:r w:rsidRPr="002868C5">
        <w:rPr>
          <w:rFonts w:ascii="Times New Roman" w:hAnsi="Times New Roman" w:cs="Times New Roman"/>
          <w:sz w:val="24"/>
          <w:szCs w:val="24"/>
          <w:lang w:eastAsia="ko-KR"/>
        </w:rPr>
        <w:t>hPSCs</w:t>
      </w:r>
      <w:proofErr w:type="spellEnd"/>
      <w:r w:rsidRPr="002868C5">
        <w:rPr>
          <w:rFonts w:ascii="Times New Roman" w:hAnsi="Times New Roman" w:cs="Times New Roman"/>
          <w:sz w:val="24"/>
          <w:szCs w:val="24"/>
          <w:lang w:eastAsia="ko-KR"/>
        </w:rPr>
        <w:t xml:space="preserve"> feeder layer.  Cells were fixed and stained for 20 min at room temperature with Fixing/Staining </w:t>
      </w:r>
      <w:r w:rsidR="0038191F" w:rsidRPr="002868C5">
        <w:rPr>
          <w:rFonts w:ascii="Times New Roman" w:hAnsi="Times New Roman" w:cs="Times New Roman"/>
          <w:sz w:val="24"/>
          <w:szCs w:val="24"/>
          <w:lang w:eastAsia="ko-KR"/>
        </w:rPr>
        <w:t>solution, which</w:t>
      </w:r>
      <w:r w:rsidRPr="002868C5">
        <w:rPr>
          <w:rFonts w:ascii="Times New Roman" w:hAnsi="Times New Roman" w:cs="Times New Roman"/>
          <w:sz w:val="24"/>
          <w:szCs w:val="24"/>
          <w:lang w:eastAsia="ko-KR"/>
        </w:rPr>
        <w:t xml:space="preserve"> contains 0.05% crystal violet (w/v), 1% formaldehyde, 1X PBS, and 1% methanol.  The dye was solubilized in methanol, and absorbance at 540 nm was measured on the </w:t>
      </w:r>
      <w:proofErr w:type="spellStart"/>
      <w:r w:rsidRPr="002868C5">
        <w:rPr>
          <w:rFonts w:ascii="Times New Roman" w:hAnsi="Times New Roman" w:cs="Times New Roman"/>
          <w:sz w:val="24"/>
          <w:szCs w:val="24"/>
          <w:lang w:eastAsia="ko-KR"/>
        </w:rPr>
        <w:lastRenderedPageBreak/>
        <w:t>SPECTRAmax</w:t>
      </w:r>
      <w:proofErr w:type="spellEnd"/>
      <w:r w:rsidRPr="002868C5">
        <w:rPr>
          <w:rFonts w:ascii="Times New Roman" w:hAnsi="Times New Roman" w:cs="Times New Roman"/>
          <w:sz w:val="24"/>
          <w:szCs w:val="24"/>
          <w:vertAlign w:val="superscript"/>
          <w:lang w:eastAsia="ko-KR"/>
        </w:rPr>
        <w:t>®</w:t>
      </w:r>
      <w:r w:rsidRPr="002868C5">
        <w:rPr>
          <w:rFonts w:ascii="Times New Roman" w:hAnsi="Times New Roman" w:cs="Times New Roman"/>
          <w:sz w:val="24"/>
          <w:szCs w:val="24"/>
          <w:lang w:eastAsia="ko-KR"/>
        </w:rPr>
        <w:t xml:space="preserve"> Plus 384 spectrophotometer (Molecular Devices).  Experiments were performed in 4 replicates and were repeated 2-3 times.</w:t>
      </w:r>
    </w:p>
    <w:p w14:paraId="5B35E785" w14:textId="25E96255" w:rsidR="008B7980" w:rsidRDefault="008B7980" w:rsidP="008B7980">
      <w:pPr>
        <w:spacing w:line="480" w:lineRule="auto"/>
        <w:jc w:val="both"/>
        <w:rPr>
          <w:rFonts w:ascii="Times New Roman" w:eastAsia="Calibri" w:hAnsi="Times New Roman" w:cs="Times New Roman"/>
          <w:sz w:val="24"/>
          <w:szCs w:val="24"/>
        </w:rPr>
      </w:pPr>
      <w:r w:rsidRPr="0057328B">
        <w:rPr>
          <w:rFonts w:ascii="Times New Roman" w:eastAsia="Malgun Gothic" w:hAnsi="Times New Roman" w:cs="Times New Roman"/>
          <w:b/>
          <w:sz w:val="24"/>
          <w:szCs w:val="24"/>
          <w:lang w:eastAsia="ko-KR"/>
        </w:rPr>
        <w:t>Revers</w:t>
      </w:r>
      <w:r w:rsidR="00C75CA5" w:rsidRPr="0057328B">
        <w:rPr>
          <w:rFonts w:ascii="Times New Roman" w:eastAsia="Malgun Gothic" w:hAnsi="Times New Roman" w:cs="Times New Roman"/>
          <w:b/>
          <w:sz w:val="24"/>
          <w:szCs w:val="24"/>
          <w:lang w:eastAsia="ko-KR"/>
        </w:rPr>
        <w:t>e</w:t>
      </w:r>
      <w:r w:rsidR="00BE1CA1">
        <w:rPr>
          <w:rFonts w:ascii="Times New Roman" w:eastAsia="Malgun Gothic" w:hAnsi="Times New Roman" w:cs="Times New Roman"/>
          <w:b/>
          <w:sz w:val="24"/>
          <w:szCs w:val="24"/>
          <w:lang w:eastAsia="ko-KR"/>
        </w:rPr>
        <w:t xml:space="preserve"> Transcription PCR (RT-PCR) and Quantitative Real-T</w:t>
      </w:r>
      <w:r w:rsidRPr="0057328B">
        <w:rPr>
          <w:rFonts w:ascii="Times New Roman" w:eastAsia="Malgun Gothic" w:hAnsi="Times New Roman" w:cs="Times New Roman"/>
          <w:b/>
          <w:sz w:val="24"/>
          <w:szCs w:val="24"/>
          <w:lang w:eastAsia="ko-KR"/>
        </w:rPr>
        <w:t>ime PCR (</w:t>
      </w:r>
      <w:proofErr w:type="spellStart"/>
      <w:r w:rsidRPr="0057328B">
        <w:rPr>
          <w:rFonts w:ascii="Times New Roman" w:eastAsia="Malgun Gothic" w:hAnsi="Times New Roman" w:cs="Times New Roman"/>
          <w:b/>
          <w:sz w:val="24"/>
          <w:szCs w:val="24"/>
          <w:lang w:eastAsia="ko-KR"/>
        </w:rPr>
        <w:t>qRT</w:t>
      </w:r>
      <w:proofErr w:type="spellEnd"/>
      <w:r w:rsidRPr="0057328B">
        <w:rPr>
          <w:rFonts w:ascii="Times New Roman" w:eastAsia="Malgun Gothic" w:hAnsi="Times New Roman" w:cs="Times New Roman"/>
          <w:b/>
          <w:sz w:val="24"/>
          <w:szCs w:val="24"/>
          <w:lang w:eastAsia="ko-KR"/>
        </w:rPr>
        <w:t>-PCR)</w:t>
      </w:r>
      <w:r w:rsidRPr="004B503C">
        <w:rPr>
          <w:rFonts w:ascii="Times New Roman" w:eastAsia="Malgun Gothic" w:hAnsi="Times New Roman" w:cs="Times New Roman"/>
          <w:sz w:val="24"/>
          <w:szCs w:val="24"/>
          <w:lang w:eastAsia="ko-KR"/>
        </w:rPr>
        <w:t>:</w:t>
      </w:r>
      <w:r w:rsidRPr="0057328B">
        <w:rPr>
          <w:rFonts w:ascii="Times New Roman" w:eastAsia="Malgun Gothic" w:hAnsi="Times New Roman" w:cs="Times New Roman"/>
          <w:b/>
          <w:sz w:val="24"/>
          <w:szCs w:val="24"/>
          <w:lang w:eastAsia="ko-KR"/>
        </w:rPr>
        <w:t xml:space="preserve">  </w:t>
      </w:r>
      <w:r w:rsidRPr="0057328B">
        <w:rPr>
          <w:rFonts w:ascii="Times New Roman" w:eastAsia="Calibri" w:hAnsi="Times New Roman" w:cs="Times New Roman"/>
          <w:sz w:val="24"/>
          <w:szCs w:val="24"/>
        </w:rPr>
        <w:t xml:space="preserve">Total RNA was extracted using RNA STAT-60 Reagent (Tel-Test Inc., Friendswood, TX) and reverse-transcribed using </w:t>
      </w:r>
      <w:proofErr w:type="spellStart"/>
      <w:r w:rsidRPr="0057328B">
        <w:rPr>
          <w:rFonts w:ascii="Times New Roman" w:eastAsia="Calibri" w:hAnsi="Times New Roman" w:cs="Times New Roman"/>
          <w:sz w:val="24"/>
          <w:szCs w:val="24"/>
        </w:rPr>
        <w:t>iScript</w:t>
      </w:r>
      <w:proofErr w:type="spellEnd"/>
      <w:r w:rsidRPr="0057328B">
        <w:rPr>
          <w:rFonts w:ascii="Times New Roman" w:eastAsia="Calibri" w:hAnsi="Times New Roman" w:cs="Times New Roman"/>
          <w:sz w:val="24"/>
          <w:szCs w:val="24"/>
        </w:rPr>
        <w:t xml:space="preserve"> cDNA synthesis kit (Bio-Rad Laboratories, Inc.).  The reverse transcriptase product (1 </w:t>
      </w:r>
      <w:r w:rsidRPr="0057328B">
        <w:rPr>
          <w:rFonts w:ascii="Times New Roman" w:eastAsia="Calibri" w:hAnsi="Times New Roman" w:cs="Times New Roman"/>
          <w:sz w:val="24"/>
          <w:szCs w:val="24"/>
          <w:lang w:val="it-IT"/>
        </w:rPr>
        <w:t>μ</w:t>
      </w:r>
      <w:r w:rsidRPr="0057328B">
        <w:rPr>
          <w:rFonts w:ascii="Times New Roman" w:eastAsia="Calibri" w:hAnsi="Times New Roman" w:cs="Times New Roman"/>
          <w:sz w:val="24"/>
          <w:szCs w:val="24"/>
        </w:rPr>
        <w:t>l) and primers were heated at 94°C for 90-s followed by 24 rounds of amplification for GAPDH and 29 cycles for TG2 (30-s denaturing at 94°C, 30-s annealing at 57°C, and 30-s extension at 72°C) followed by a 10 min final extension at 72°C</w:t>
      </w:r>
      <w:r w:rsidRPr="0057328B">
        <w:rPr>
          <w:rFonts w:ascii="Times New Roman" w:eastAsia="Malgun Gothic" w:hAnsi="Times New Roman" w:cs="Times New Roman"/>
          <w:sz w:val="24"/>
          <w:szCs w:val="24"/>
          <w:lang w:eastAsia="ko-KR"/>
        </w:rPr>
        <w:t xml:space="preserve"> on a T100</w:t>
      </w:r>
      <w:r w:rsidRPr="0057328B">
        <w:rPr>
          <w:rFonts w:ascii="Times New Roman" w:eastAsia="Malgun Gothic" w:hAnsi="Times New Roman" w:cs="Times New Roman"/>
          <w:sz w:val="24"/>
          <w:szCs w:val="24"/>
          <w:lang w:eastAsia="ko-KR"/>
        </w:rPr>
        <w:sym w:font="Symbol" w:char="F0E4"/>
      </w:r>
      <w:r w:rsidRPr="0057328B">
        <w:rPr>
          <w:rFonts w:ascii="Times New Roman" w:eastAsia="Malgun Gothic" w:hAnsi="Times New Roman" w:cs="Times New Roman"/>
          <w:sz w:val="24"/>
          <w:szCs w:val="24"/>
          <w:lang w:eastAsia="ko-KR"/>
        </w:rPr>
        <w:t xml:space="preserve"> Thermal Cycler (Bio-Rad Laboratories, Inc.).</w:t>
      </w:r>
      <w:r w:rsidRPr="0057328B">
        <w:rPr>
          <w:rFonts w:ascii="Times New Roman" w:eastAsia="Calibri" w:hAnsi="Times New Roman" w:cs="Times New Roman"/>
          <w:sz w:val="24"/>
          <w:szCs w:val="24"/>
        </w:rPr>
        <w:t xml:space="preserve">  The RT-PCR product was visualized on an </w:t>
      </w:r>
      <w:proofErr w:type="spellStart"/>
      <w:r w:rsidRPr="0057328B">
        <w:rPr>
          <w:rFonts w:ascii="Times New Roman" w:eastAsia="Malgun Gothic" w:hAnsi="Times New Roman" w:cs="Times New Roman"/>
          <w:sz w:val="24"/>
          <w:szCs w:val="24"/>
          <w:lang w:eastAsia="ko-KR"/>
        </w:rPr>
        <w:t>ImageQuant</w:t>
      </w:r>
      <w:proofErr w:type="spellEnd"/>
      <w:r w:rsidRPr="0057328B">
        <w:rPr>
          <w:rFonts w:ascii="Times New Roman" w:eastAsia="Malgun Gothic" w:hAnsi="Times New Roman" w:cs="Times New Roman"/>
          <w:sz w:val="24"/>
          <w:szCs w:val="24"/>
          <w:lang w:eastAsia="ko-KR"/>
        </w:rPr>
        <w:t xml:space="preserve"> LAS 4000 mini imager (GE Healthcare) </w:t>
      </w:r>
      <w:r w:rsidRPr="0057328B">
        <w:rPr>
          <w:rFonts w:ascii="Times New Roman" w:eastAsia="Calibri" w:hAnsi="Times New Roman" w:cs="Times New Roman"/>
          <w:sz w:val="24"/>
          <w:szCs w:val="24"/>
        </w:rPr>
        <w:t xml:space="preserve">after fractionation on a 1% agarose gel.  For </w:t>
      </w:r>
      <w:proofErr w:type="spellStart"/>
      <w:r w:rsidRPr="0057328B">
        <w:rPr>
          <w:rFonts w:ascii="Times New Roman" w:eastAsia="Calibri" w:hAnsi="Times New Roman" w:cs="Times New Roman"/>
          <w:sz w:val="24"/>
          <w:szCs w:val="24"/>
        </w:rPr>
        <w:t>qRT</w:t>
      </w:r>
      <w:proofErr w:type="spellEnd"/>
      <w:r w:rsidRPr="0057328B">
        <w:rPr>
          <w:rFonts w:ascii="Times New Roman" w:eastAsia="Calibri" w:hAnsi="Times New Roman" w:cs="Times New Roman"/>
          <w:sz w:val="24"/>
          <w:szCs w:val="24"/>
        </w:rPr>
        <w:t xml:space="preserve">-PCR, the </w:t>
      </w:r>
      <w:proofErr w:type="spellStart"/>
      <w:r w:rsidRPr="0057328B">
        <w:rPr>
          <w:rFonts w:ascii="Times New Roman" w:eastAsia="Malgun Gothic" w:hAnsi="Times New Roman" w:cs="Times New Roman"/>
          <w:sz w:val="24"/>
          <w:szCs w:val="24"/>
          <w:lang w:eastAsia="ko-KR"/>
        </w:rPr>
        <w:t>iTaq</w:t>
      </w:r>
      <w:proofErr w:type="spellEnd"/>
      <w:r w:rsidRPr="0057328B">
        <w:rPr>
          <w:rFonts w:ascii="Times New Roman" w:eastAsia="Malgun Gothic" w:hAnsi="Times New Roman" w:cs="Times New Roman"/>
          <w:sz w:val="24"/>
          <w:szCs w:val="24"/>
          <w:lang w:eastAsia="ko-KR"/>
        </w:rPr>
        <w:t xml:space="preserve"> Universal SYBR Green </w:t>
      </w:r>
      <w:proofErr w:type="spellStart"/>
      <w:r w:rsidRPr="0057328B">
        <w:rPr>
          <w:rFonts w:ascii="Times New Roman" w:eastAsia="Malgun Gothic" w:hAnsi="Times New Roman" w:cs="Times New Roman"/>
          <w:sz w:val="24"/>
          <w:szCs w:val="24"/>
          <w:lang w:eastAsia="ko-KR"/>
        </w:rPr>
        <w:t>Supermix</w:t>
      </w:r>
      <w:proofErr w:type="spellEnd"/>
      <w:r w:rsidRPr="0057328B">
        <w:rPr>
          <w:rFonts w:ascii="Times New Roman" w:eastAsia="Malgun Gothic" w:hAnsi="Times New Roman" w:cs="Times New Roman"/>
          <w:sz w:val="24"/>
          <w:szCs w:val="24"/>
          <w:lang w:eastAsia="ko-KR"/>
        </w:rPr>
        <w:t xml:space="preserve"> (Bio-Rad Laboratories, Inc.)</w:t>
      </w:r>
      <w:r w:rsidRPr="0057328B">
        <w:rPr>
          <w:rFonts w:ascii="Times New Roman" w:eastAsia="Calibri" w:hAnsi="Times New Roman" w:cs="Times New Roman"/>
          <w:sz w:val="24"/>
          <w:szCs w:val="24"/>
        </w:rPr>
        <w:t xml:space="preserve"> on an ABI Prism 7900 platform (Applied </w:t>
      </w:r>
      <w:proofErr w:type="spellStart"/>
      <w:r w:rsidRPr="0057328B">
        <w:rPr>
          <w:rFonts w:ascii="Times New Roman" w:eastAsia="Calibri" w:hAnsi="Times New Roman" w:cs="Times New Roman"/>
          <w:sz w:val="24"/>
          <w:szCs w:val="24"/>
        </w:rPr>
        <w:t>Biosystems</w:t>
      </w:r>
      <w:proofErr w:type="spellEnd"/>
      <w:r w:rsidRPr="0057328B">
        <w:rPr>
          <w:rFonts w:ascii="Times New Roman" w:eastAsia="Calibri" w:hAnsi="Times New Roman" w:cs="Times New Roman"/>
          <w:sz w:val="24"/>
          <w:szCs w:val="24"/>
        </w:rPr>
        <w:t xml:space="preserve">, Waltham, MA) was used.  </w:t>
      </w:r>
      <w:r w:rsidRPr="0057328B">
        <w:rPr>
          <w:rFonts w:ascii="Times New Roman" w:eastAsia="Malgun Gothic" w:hAnsi="Times New Roman" w:cs="Times New Roman"/>
          <w:sz w:val="24"/>
          <w:szCs w:val="24"/>
          <w:lang w:eastAsia="ko-KR"/>
        </w:rPr>
        <w:t xml:space="preserve">Primers used for RT-PCR were: </w:t>
      </w:r>
      <w:r w:rsidR="004B503C">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i/>
          <w:sz w:val="24"/>
          <w:szCs w:val="24"/>
          <w:lang w:eastAsia="ko-KR"/>
        </w:rPr>
        <w:t>TG2 forward</w:t>
      </w:r>
      <w:r w:rsidRPr="0057328B">
        <w:rPr>
          <w:rFonts w:ascii="Times New Roman" w:eastAsia="Malgun Gothic" w:hAnsi="Times New Roman" w:cs="Times New Roman"/>
          <w:sz w:val="24"/>
          <w:szCs w:val="24"/>
          <w:lang w:eastAsia="ko-KR"/>
        </w:rPr>
        <w:t>: ACC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CGC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GTC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GTG</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ACC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AAC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TAC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 xml:space="preserve">AAC and </w:t>
      </w:r>
      <w:r w:rsidRPr="0057328B">
        <w:rPr>
          <w:rFonts w:ascii="Times New Roman" w:eastAsia="Malgun Gothic" w:hAnsi="Times New Roman" w:cs="Times New Roman"/>
          <w:i/>
          <w:sz w:val="24"/>
          <w:szCs w:val="24"/>
          <w:lang w:eastAsia="ko-KR"/>
        </w:rPr>
        <w:t>reverse</w:t>
      </w:r>
      <w:r w:rsidRPr="0057328B">
        <w:rPr>
          <w:rFonts w:ascii="Times New Roman" w:eastAsia="Malgun Gothic" w:hAnsi="Times New Roman" w:cs="Times New Roman"/>
          <w:sz w:val="24"/>
          <w:szCs w:val="24"/>
          <w:lang w:eastAsia="ko-KR"/>
        </w:rPr>
        <w:t>: GGT</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GAT</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ATC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CTC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CCG</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CTC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GTC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TCG</w:t>
      </w:r>
      <w:r w:rsidR="00146CEF" w:rsidRPr="0057328B">
        <w:rPr>
          <w:rFonts w:ascii="Times New Roman" w:eastAsia="Malgun Gothic" w:hAnsi="Times New Roman" w:cs="Times New Roman"/>
          <w:sz w:val="24"/>
          <w:szCs w:val="24"/>
          <w:lang w:eastAsia="ko-KR"/>
        </w:rPr>
        <w:t>; GAPDH</w:t>
      </w:r>
      <w:r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i/>
          <w:sz w:val="24"/>
          <w:szCs w:val="24"/>
          <w:lang w:eastAsia="ko-KR"/>
        </w:rPr>
        <w:t>forward</w:t>
      </w:r>
      <w:r w:rsidRPr="0057328B">
        <w:rPr>
          <w:rFonts w:ascii="Times New Roman" w:eastAsia="Malgun Gothic" w:hAnsi="Times New Roman" w:cs="Times New Roman"/>
          <w:sz w:val="24"/>
          <w:szCs w:val="24"/>
          <w:lang w:eastAsia="ko-KR"/>
        </w:rPr>
        <w:t>: GAT</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TCC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ACC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CAT</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GGC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AAA</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TTC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 xml:space="preserve">C and </w:t>
      </w:r>
      <w:r w:rsidRPr="0057328B">
        <w:rPr>
          <w:rFonts w:ascii="Times New Roman" w:eastAsia="Malgun Gothic" w:hAnsi="Times New Roman" w:cs="Times New Roman"/>
          <w:i/>
          <w:sz w:val="24"/>
          <w:szCs w:val="24"/>
          <w:lang w:eastAsia="ko-KR"/>
        </w:rPr>
        <w:t>reverse</w:t>
      </w:r>
      <w:r w:rsidRPr="0057328B">
        <w:rPr>
          <w:rFonts w:ascii="Times New Roman" w:eastAsia="Malgun Gothic" w:hAnsi="Times New Roman" w:cs="Times New Roman"/>
          <w:sz w:val="24"/>
          <w:szCs w:val="24"/>
          <w:lang w:eastAsia="ko-KR"/>
        </w:rPr>
        <w:t>: CAC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GTT</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GGC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AGT</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GGG</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GAC.</w:t>
      </w:r>
      <w:r w:rsidRPr="004B503C">
        <w:rPr>
          <w:rFonts w:ascii="Times New Roman" w:eastAsia="Calibri" w:hAnsi="Times New Roman" w:cs="Times New Roman"/>
        </w:rPr>
        <w:t xml:space="preserve"> </w:t>
      </w:r>
      <w:r w:rsidR="009F7AEE" w:rsidRPr="004B503C">
        <w:rPr>
          <w:rFonts w:ascii="Times New Roman" w:eastAsia="Calibri" w:hAnsi="Times New Roman" w:cs="Times New Roman"/>
        </w:rPr>
        <w:t xml:space="preserve"> </w:t>
      </w:r>
      <w:r w:rsidRPr="0057328B">
        <w:rPr>
          <w:rFonts w:ascii="Times New Roman" w:eastAsia="Calibri" w:hAnsi="Times New Roman" w:cs="Times New Roman"/>
          <w:sz w:val="24"/>
          <w:szCs w:val="24"/>
        </w:rPr>
        <w:t xml:space="preserve">The primers for </w:t>
      </w:r>
      <w:proofErr w:type="spellStart"/>
      <w:r w:rsidR="009F7AEE" w:rsidRPr="008E0EEE">
        <w:rPr>
          <w:rFonts w:ascii="Times New Roman" w:eastAsia="Calibri" w:hAnsi="Times New Roman" w:cs="Times New Roman"/>
          <w:sz w:val="24"/>
          <w:szCs w:val="24"/>
        </w:rPr>
        <w:t>qRT</w:t>
      </w:r>
      <w:proofErr w:type="spellEnd"/>
      <w:r w:rsidR="009F7AEE" w:rsidRPr="008E0EEE">
        <w:rPr>
          <w:rFonts w:ascii="Times New Roman" w:eastAsia="Calibri" w:hAnsi="Times New Roman" w:cs="Times New Roman"/>
          <w:sz w:val="24"/>
          <w:szCs w:val="24"/>
        </w:rPr>
        <w:t>-</w:t>
      </w:r>
      <w:r w:rsidRPr="008E0EEE">
        <w:rPr>
          <w:rFonts w:ascii="Times New Roman" w:eastAsia="Calibri" w:hAnsi="Times New Roman" w:cs="Times New Roman"/>
          <w:sz w:val="24"/>
          <w:szCs w:val="24"/>
        </w:rPr>
        <w:t xml:space="preserve">PCR were: </w:t>
      </w:r>
      <w:r w:rsidRPr="0057328B">
        <w:rPr>
          <w:rFonts w:ascii="Times New Roman" w:eastAsia="Malgun Gothic" w:hAnsi="Times New Roman" w:cs="Times New Roman"/>
          <w:i/>
          <w:sz w:val="24"/>
          <w:szCs w:val="24"/>
          <w:lang w:eastAsia="ko-KR"/>
        </w:rPr>
        <w:t>CTGF</w:t>
      </w:r>
      <w:r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i/>
          <w:sz w:val="24"/>
          <w:szCs w:val="24"/>
          <w:lang w:eastAsia="ko-KR"/>
        </w:rPr>
        <w:t>forward</w:t>
      </w:r>
      <w:r w:rsidRPr="0057328B">
        <w:rPr>
          <w:rFonts w:ascii="Times New Roman" w:eastAsia="Malgun Gothic" w:hAnsi="Times New Roman" w:cs="Times New Roman"/>
          <w:sz w:val="24"/>
          <w:szCs w:val="24"/>
          <w:lang w:eastAsia="ko-KR"/>
        </w:rPr>
        <w:t>: AGG</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AGT</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GGG</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TGT</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GTG</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ACG</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 xml:space="preserve">A and </w:t>
      </w:r>
      <w:r w:rsidRPr="0057328B">
        <w:rPr>
          <w:rFonts w:ascii="Times New Roman" w:eastAsia="Malgun Gothic" w:hAnsi="Times New Roman" w:cs="Times New Roman"/>
          <w:i/>
          <w:sz w:val="24"/>
          <w:szCs w:val="24"/>
          <w:lang w:eastAsia="ko-KR"/>
        </w:rPr>
        <w:t>reverse:</w:t>
      </w:r>
      <w:r w:rsidRPr="0057328B">
        <w:rPr>
          <w:rFonts w:ascii="Times New Roman" w:eastAsia="Malgun Gothic" w:hAnsi="Times New Roman" w:cs="Times New Roman"/>
          <w:sz w:val="24"/>
          <w:szCs w:val="24"/>
          <w:lang w:eastAsia="ko-KR"/>
        </w:rPr>
        <w:t xml:space="preserve"> CCA</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GGC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AGT</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TGG</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CTC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TAA</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 xml:space="preserve">TC and </w:t>
      </w:r>
      <w:r w:rsidRPr="0057328B">
        <w:rPr>
          <w:rFonts w:ascii="Times New Roman" w:eastAsia="Malgun Gothic" w:hAnsi="Times New Roman" w:cs="Times New Roman"/>
          <w:i/>
          <w:sz w:val="24"/>
          <w:szCs w:val="24"/>
          <w:lang w:eastAsia="ko-KR"/>
        </w:rPr>
        <w:t>GAPDH</w:t>
      </w:r>
      <w:r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i/>
          <w:sz w:val="24"/>
          <w:szCs w:val="24"/>
          <w:lang w:eastAsia="ko-KR"/>
        </w:rPr>
        <w:t>forward</w:t>
      </w:r>
      <w:r w:rsidRPr="0057328B">
        <w:rPr>
          <w:rFonts w:ascii="Times New Roman" w:eastAsia="Malgun Gothic" w:hAnsi="Times New Roman" w:cs="Times New Roman"/>
          <w:sz w:val="24"/>
          <w:szCs w:val="24"/>
          <w:lang w:eastAsia="ko-KR"/>
        </w:rPr>
        <w:t>: AGC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CAC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ATC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GCT</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CAG</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ACA</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 xml:space="preserve">C and </w:t>
      </w:r>
      <w:r w:rsidRPr="0057328B">
        <w:rPr>
          <w:rFonts w:ascii="Times New Roman" w:eastAsia="Malgun Gothic" w:hAnsi="Times New Roman" w:cs="Times New Roman"/>
          <w:i/>
          <w:sz w:val="24"/>
          <w:szCs w:val="24"/>
          <w:lang w:eastAsia="ko-KR"/>
        </w:rPr>
        <w:t>reverse</w:t>
      </w:r>
      <w:r w:rsidRPr="0057328B">
        <w:rPr>
          <w:rFonts w:ascii="Times New Roman" w:eastAsia="Malgun Gothic" w:hAnsi="Times New Roman" w:cs="Times New Roman"/>
          <w:sz w:val="24"/>
          <w:szCs w:val="24"/>
          <w:lang w:eastAsia="ko-KR"/>
        </w:rPr>
        <w:t>: GCC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CAA</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TAC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GAC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CAA</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ATC</w:t>
      </w:r>
      <w:r w:rsidR="009F7AEE" w:rsidRPr="0057328B">
        <w:rPr>
          <w:rFonts w:ascii="Times New Roman" w:eastAsia="Malgun Gothic" w:hAnsi="Times New Roman" w:cs="Times New Roman"/>
          <w:sz w:val="24"/>
          <w:szCs w:val="24"/>
          <w:lang w:eastAsia="ko-KR"/>
        </w:rPr>
        <w:t xml:space="preserve"> </w:t>
      </w:r>
      <w:r w:rsidRPr="0057328B">
        <w:rPr>
          <w:rFonts w:ascii="Times New Roman" w:eastAsia="Malgun Gothic" w:hAnsi="Times New Roman" w:cs="Times New Roman"/>
          <w:sz w:val="24"/>
          <w:szCs w:val="24"/>
          <w:lang w:eastAsia="ko-KR"/>
        </w:rPr>
        <w:t>C.  Relative target gene expression was calculated using Ct method, 2</w:t>
      </w:r>
      <w:r w:rsidRPr="0057328B">
        <w:rPr>
          <w:rFonts w:ascii="Times New Roman" w:eastAsia="Malgun Gothic" w:hAnsi="Times New Roman" w:cs="Times New Roman"/>
          <w:sz w:val="24"/>
          <w:szCs w:val="24"/>
          <w:vertAlign w:val="superscript"/>
          <w:lang w:eastAsia="ko-KR"/>
        </w:rPr>
        <w:t>-ΔCt</w:t>
      </w:r>
      <w:r w:rsidRPr="0057328B">
        <w:rPr>
          <w:rFonts w:ascii="Times New Roman" w:eastAsia="Malgun Gothic" w:hAnsi="Times New Roman" w:cs="Times New Roman"/>
          <w:sz w:val="24"/>
          <w:szCs w:val="24"/>
          <w:lang w:eastAsia="ko-KR"/>
        </w:rPr>
        <w:t>=2</w:t>
      </w:r>
      <w:r w:rsidRPr="0057328B">
        <w:rPr>
          <w:rFonts w:ascii="Times New Roman" w:eastAsia="Malgun Gothic" w:hAnsi="Times New Roman" w:cs="Times New Roman"/>
          <w:sz w:val="24"/>
          <w:szCs w:val="24"/>
          <w:vertAlign w:val="superscript"/>
          <w:lang w:eastAsia="ko-KR"/>
        </w:rPr>
        <w:t>-[</w:t>
      </w:r>
      <w:proofErr w:type="gramStart"/>
      <w:r w:rsidRPr="0057328B">
        <w:rPr>
          <w:rFonts w:ascii="Times New Roman" w:eastAsia="Malgun Gothic" w:hAnsi="Times New Roman" w:cs="Times New Roman"/>
          <w:sz w:val="24"/>
          <w:szCs w:val="24"/>
          <w:vertAlign w:val="superscript"/>
          <w:lang w:eastAsia="ko-KR"/>
        </w:rPr>
        <w:t>Ct(</w:t>
      </w:r>
      <w:proofErr w:type="gramEnd"/>
      <w:r w:rsidRPr="0057328B">
        <w:rPr>
          <w:rFonts w:ascii="Times New Roman" w:eastAsia="Malgun Gothic" w:hAnsi="Times New Roman" w:cs="Times New Roman"/>
          <w:sz w:val="24"/>
          <w:szCs w:val="24"/>
          <w:vertAlign w:val="superscript"/>
          <w:lang w:eastAsia="ko-KR"/>
        </w:rPr>
        <w:t>CTGF)-Ct(GAPDH)]</w:t>
      </w:r>
      <w:r w:rsidRPr="0057328B">
        <w:rPr>
          <w:rFonts w:ascii="Times New Roman" w:eastAsia="Malgun Gothic" w:hAnsi="Times New Roman" w:cs="Times New Roman"/>
          <w:sz w:val="24"/>
          <w:szCs w:val="24"/>
          <w:lang w:eastAsia="ko-KR"/>
        </w:rPr>
        <w:t xml:space="preserve">, where Ct is the cycle threshold value defined as the fractional cycle number at which the target fluorescent signal passes a fixed threshold.  All </w:t>
      </w:r>
      <w:r w:rsidRPr="0057328B">
        <w:rPr>
          <w:rFonts w:ascii="Times New Roman" w:eastAsia="Calibri" w:hAnsi="Times New Roman" w:cs="Times New Roman"/>
          <w:sz w:val="24"/>
          <w:szCs w:val="24"/>
        </w:rPr>
        <w:t>experiments were performed in duplicate</w:t>
      </w:r>
      <w:r w:rsidR="0089353B">
        <w:rPr>
          <w:rFonts w:ascii="Times New Roman" w:eastAsia="Calibri" w:hAnsi="Times New Roman" w:cs="Times New Roman"/>
          <w:sz w:val="24"/>
          <w:szCs w:val="24"/>
        </w:rPr>
        <w:t>s</w:t>
      </w:r>
      <w:r w:rsidRPr="0057328B">
        <w:rPr>
          <w:rFonts w:ascii="Times New Roman" w:eastAsia="Calibri" w:hAnsi="Times New Roman" w:cs="Times New Roman"/>
          <w:sz w:val="24"/>
          <w:szCs w:val="24"/>
        </w:rPr>
        <w:t xml:space="preserve"> in three independent </w:t>
      </w:r>
      <w:r w:rsidR="0089353B">
        <w:rPr>
          <w:rFonts w:ascii="Times New Roman" w:eastAsia="Malgun Gothic" w:hAnsi="Times New Roman" w:cs="Times New Roman"/>
          <w:sz w:val="24"/>
          <w:szCs w:val="24"/>
          <w:lang w:eastAsia="ko-KR"/>
        </w:rPr>
        <w:t xml:space="preserve">experiments </w:t>
      </w:r>
      <w:r w:rsidRPr="0057328B">
        <w:rPr>
          <w:rFonts w:ascii="Times New Roman" w:eastAsia="Calibri" w:hAnsi="Times New Roman" w:cs="Times New Roman"/>
          <w:sz w:val="24"/>
          <w:szCs w:val="24"/>
        </w:rPr>
        <w:t xml:space="preserve">and results are presented as means </w:t>
      </w:r>
      <w:r w:rsidR="008C7324">
        <w:rPr>
          <w:rFonts w:ascii="Times New Roman" w:eastAsia="Calibri" w:hAnsi="Times New Roman" w:cs="Times New Roman"/>
          <w:sz w:val="24"/>
          <w:szCs w:val="24"/>
        </w:rPr>
        <w:t>±</w:t>
      </w:r>
      <w:r w:rsidRPr="0057328B">
        <w:rPr>
          <w:rFonts w:ascii="Times New Roman" w:eastAsia="Calibri" w:hAnsi="Times New Roman" w:cs="Times New Roman"/>
          <w:sz w:val="24"/>
          <w:szCs w:val="24"/>
        </w:rPr>
        <w:t xml:space="preserve"> standard error </w:t>
      </w:r>
      <w:r w:rsidR="00CD1F23" w:rsidRPr="0057328B">
        <w:rPr>
          <w:rFonts w:ascii="Times New Roman" w:eastAsia="Calibri" w:hAnsi="Times New Roman" w:cs="Times New Roman"/>
          <w:sz w:val="24"/>
          <w:szCs w:val="24"/>
        </w:rPr>
        <w:t xml:space="preserve">(SE) </w:t>
      </w:r>
      <w:r w:rsidRPr="0057328B">
        <w:rPr>
          <w:rFonts w:ascii="Times New Roman" w:eastAsia="Calibri" w:hAnsi="Times New Roman" w:cs="Times New Roman"/>
          <w:sz w:val="24"/>
          <w:szCs w:val="24"/>
        </w:rPr>
        <w:t xml:space="preserve">of replicates.  </w:t>
      </w:r>
    </w:p>
    <w:p w14:paraId="177FE093" w14:textId="5C0132F0" w:rsidR="008A5585" w:rsidRPr="0057328B" w:rsidRDefault="00BE1CA1" w:rsidP="008A5585">
      <w:pPr>
        <w:spacing w:line="480" w:lineRule="auto"/>
        <w:jc w:val="both"/>
        <w:rPr>
          <w:rFonts w:ascii="Times New Roman" w:hAnsi="Times New Roman" w:cs="Times New Roman"/>
          <w:b/>
          <w:sz w:val="24"/>
          <w:szCs w:val="24"/>
          <w:lang w:eastAsia="ko-KR"/>
        </w:rPr>
      </w:pPr>
      <w:proofErr w:type="spellStart"/>
      <w:r>
        <w:rPr>
          <w:rFonts w:ascii="Times New Roman" w:eastAsia="Malgun Gothic" w:hAnsi="Times New Roman" w:cs="Times New Roman"/>
          <w:b/>
          <w:sz w:val="24"/>
          <w:szCs w:val="24"/>
          <w:lang w:eastAsia="ko-KR"/>
        </w:rPr>
        <w:lastRenderedPageBreak/>
        <w:t>Picrosirius</w:t>
      </w:r>
      <w:proofErr w:type="spellEnd"/>
      <w:r>
        <w:rPr>
          <w:rFonts w:ascii="Times New Roman" w:eastAsia="Malgun Gothic" w:hAnsi="Times New Roman" w:cs="Times New Roman"/>
          <w:b/>
          <w:sz w:val="24"/>
          <w:szCs w:val="24"/>
          <w:lang w:eastAsia="ko-KR"/>
        </w:rPr>
        <w:t xml:space="preserve"> Red Staining Q</w:t>
      </w:r>
      <w:r w:rsidR="008A5585" w:rsidRPr="0057328B">
        <w:rPr>
          <w:rFonts w:ascii="Times New Roman" w:eastAsia="Malgun Gothic" w:hAnsi="Times New Roman" w:cs="Times New Roman"/>
          <w:b/>
          <w:sz w:val="24"/>
          <w:szCs w:val="24"/>
          <w:lang w:eastAsia="ko-KR"/>
        </w:rPr>
        <w:t>uantification:</w:t>
      </w:r>
      <w:r w:rsidR="008A5585" w:rsidRPr="0057328B">
        <w:rPr>
          <w:rFonts w:ascii="Times New Roman" w:eastAsia="Malgun Gothic" w:hAnsi="Times New Roman" w:cs="Times New Roman"/>
          <w:sz w:val="24"/>
          <w:szCs w:val="24"/>
          <w:lang w:eastAsia="ko-KR"/>
        </w:rPr>
        <w:t xml:space="preserve">  Original 12-bit images were transformed to 24-bit images by separating colors to 8-bit RGB images and recombining into a 24-bit image.  The 24-bit images were resolved into the hue definitions as previously described</w:t>
      </w:r>
      <w:r w:rsidR="00C1550E">
        <w:rPr>
          <w:rFonts w:ascii="Times New Roman" w:eastAsia="Malgun Gothic" w:hAnsi="Times New Roman" w:cs="Times New Roman"/>
          <w:sz w:val="24"/>
          <w:szCs w:val="24"/>
          <w:lang w:eastAsia="ko-KR"/>
        </w:rPr>
        <w:t xml:space="preserve"> (26)</w:t>
      </w:r>
      <w:r w:rsidR="008A5585" w:rsidRPr="0057328B">
        <w:rPr>
          <w:rFonts w:ascii="Times New Roman" w:eastAsia="Malgun Gothic" w:hAnsi="Times New Roman" w:cs="Times New Roman"/>
          <w:sz w:val="24"/>
          <w:szCs w:val="24"/>
          <w:lang w:eastAsia="ko-KR"/>
        </w:rPr>
        <w:t xml:space="preserve">; red 2-9 and 230-256, orange 10-38, yellow 39-51, and green 52-128.  The proportion of different colored collagen fibers were calculated by dividing the number of pixels within each hue range by the total number of pixels in all five different hue ranges and expressed as a percentage by multiplying 100.  The collagen content was quantified by dividing the total number of pixels in all five different hue ranges by total pixels of the image and calculated to percentages.  </w:t>
      </w:r>
    </w:p>
    <w:p w14:paraId="1FD72226" w14:textId="77777777" w:rsidR="008D7358" w:rsidRDefault="003F59E1" w:rsidP="00BE1CA1">
      <w:pPr>
        <w:spacing w:line="480" w:lineRule="auto"/>
        <w:jc w:val="both"/>
        <w:rPr>
          <w:rFonts w:ascii="Times New Roman" w:hAnsi="Times New Roman" w:cs="Times New Roman"/>
          <w:sz w:val="24"/>
          <w:szCs w:val="24"/>
          <w:lang w:eastAsia="ko-KR"/>
        </w:rPr>
      </w:pPr>
      <w:proofErr w:type="spellStart"/>
      <w:r w:rsidRPr="0057328B">
        <w:rPr>
          <w:rFonts w:ascii="Times New Roman" w:hAnsi="Times New Roman" w:cs="Times New Roman"/>
          <w:b/>
          <w:sz w:val="24"/>
          <w:szCs w:val="24"/>
          <w:lang w:eastAsia="ko-KR"/>
        </w:rPr>
        <w:t>Sircol</w:t>
      </w:r>
      <w:proofErr w:type="spellEnd"/>
      <w:r w:rsidRPr="0057328B">
        <w:rPr>
          <w:rFonts w:ascii="Times New Roman" w:hAnsi="Times New Roman" w:cs="Times New Roman"/>
          <w:b/>
          <w:sz w:val="24"/>
          <w:szCs w:val="24"/>
          <w:lang w:eastAsia="ko-KR"/>
        </w:rPr>
        <w:t xml:space="preserve"> Assay:</w:t>
      </w:r>
      <w:r w:rsidRPr="0057328B">
        <w:rPr>
          <w:rFonts w:ascii="Times New Roman" w:hAnsi="Times New Roman" w:cs="Times New Roman"/>
          <w:sz w:val="24"/>
          <w:szCs w:val="24"/>
          <w:lang w:eastAsia="ko-KR"/>
        </w:rPr>
        <w:t xml:space="preserve">  </w:t>
      </w:r>
      <w:r w:rsidR="008D7358" w:rsidRPr="0057328B">
        <w:rPr>
          <w:rFonts w:ascii="Times New Roman" w:hAnsi="Times New Roman" w:cs="Times New Roman"/>
          <w:sz w:val="24"/>
          <w:szCs w:val="24"/>
          <w:lang w:eastAsia="ko-KR"/>
        </w:rPr>
        <w:t xml:space="preserve">Frozen tumors </w:t>
      </w:r>
      <w:r w:rsidR="0089353B" w:rsidRPr="00F110DB">
        <w:rPr>
          <w:rFonts w:ascii="Times New Roman" w:hAnsi="Times New Roman" w:cs="Times New Roman"/>
          <w:sz w:val="24"/>
          <w:szCs w:val="24"/>
          <w:lang w:eastAsia="ko-KR"/>
        </w:rPr>
        <w:t>(n=6 per group</w:t>
      </w:r>
      <w:r w:rsidR="0089353B">
        <w:rPr>
          <w:rFonts w:ascii="Times New Roman" w:hAnsi="Times New Roman" w:cs="Times New Roman"/>
          <w:sz w:val="24"/>
          <w:szCs w:val="24"/>
          <w:lang w:eastAsia="ko-KR"/>
        </w:rPr>
        <w:t xml:space="preserve">) </w:t>
      </w:r>
      <w:r w:rsidR="008D7358" w:rsidRPr="0057328B">
        <w:rPr>
          <w:rFonts w:ascii="Times New Roman" w:hAnsi="Times New Roman" w:cs="Times New Roman"/>
          <w:sz w:val="24"/>
          <w:szCs w:val="24"/>
          <w:lang w:eastAsia="ko-KR"/>
        </w:rPr>
        <w:t>were homogenized on ice in an extraction buffer containing 50</w:t>
      </w:r>
      <w:r w:rsidR="009F260A" w:rsidRPr="0057328B">
        <w:rPr>
          <w:rFonts w:ascii="Times New Roman" w:hAnsi="Times New Roman" w:cs="Times New Roman"/>
          <w:sz w:val="24"/>
          <w:szCs w:val="24"/>
          <w:lang w:eastAsia="ko-KR"/>
        </w:rPr>
        <w:t xml:space="preserve"> </w:t>
      </w:r>
      <w:proofErr w:type="spellStart"/>
      <w:r w:rsidR="008D7358" w:rsidRPr="0057328B">
        <w:rPr>
          <w:rFonts w:ascii="Times New Roman" w:hAnsi="Times New Roman" w:cs="Times New Roman"/>
          <w:sz w:val="24"/>
          <w:szCs w:val="24"/>
          <w:lang w:eastAsia="ko-KR"/>
        </w:rPr>
        <w:t>mM</w:t>
      </w:r>
      <w:proofErr w:type="spellEnd"/>
      <w:r w:rsidR="008D7358" w:rsidRPr="0057328B">
        <w:rPr>
          <w:rFonts w:ascii="Times New Roman" w:hAnsi="Times New Roman" w:cs="Times New Roman"/>
          <w:sz w:val="24"/>
          <w:szCs w:val="24"/>
          <w:lang w:eastAsia="ko-KR"/>
        </w:rPr>
        <w:t xml:space="preserve"> </w:t>
      </w:r>
      <w:proofErr w:type="spellStart"/>
      <w:r w:rsidR="008D7358" w:rsidRPr="0057328B">
        <w:rPr>
          <w:rFonts w:ascii="Times New Roman" w:hAnsi="Times New Roman" w:cs="Times New Roman"/>
          <w:sz w:val="24"/>
          <w:szCs w:val="24"/>
          <w:lang w:eastAsia="ko-KR"/>
        </w:rPr>
        <w:t>Tris-HCl</w:t>
      </w:r>
      <w:proofErr w:type="spellEnd"/>
      <w:r w:rsidR="008D7358" w:rsidRPr="0057328B">
        <w:rPr>
          <w:rFonts w:ascii="Times New Roman" w:hAnsi="Times New Roman" w:cs="Times New Roman"/>
          <w:sz w:val="24"/>
          <w:szCs w:val="24"/>
          <w:lang w:eastAsia="ko-KR"/>
        </w:rPr>
        <w:t xml:space="preserve"> (pH7.4), 150</w:t>
      </w:r>
      <w:r w:rsidR="009F260A" w:rsidRPr="0057328B">
        <w:rPr>
          <w:rFonts w:ascii="Times New Roman" w:hAnsi="Times New Roman" w:cs="Times New Roman"/>
          <w:sz w:val="24"/>
          <w:szCs w:val="24"/>
          <w:lang w:eastAsia="ko-KR"/>
        </w:rPr>
        <w:t xml:space="preserve"> </w:t>
      </w:r>
      <w:proofErr w:type="spellStart"/>
      <w:r w:rsidR="008D7358" w:rsidRPr="0057328B">
        <w:rPr>
          <w:rFonts w:ascii="Times New Roman" w:hAnsi="Times New Roman" w:cs="Times New Roman"/>
          <w:sz w:val="24"/>
          <w:szCs w:val="24"/>
          <w:lang w:eastAsia="ko-KR"/>
        </w:rPr>
        <w:t>mM</w:t>
      </w:r>
      <w:proofErr w:type="spellEnd"/>
      <w:r w:rsidR="008D7358" w:rsidRPr="0057328B">
        <w:rPr>
          <w:rFonts w:ascii="Times New Roman" w:hAnsi="Times New Roman" w:cs="Times New Roman"/>
          <w:sz w:val="24"/>
          <w:szCs w:val="24"/>
          <w:lang w:eastAsia="ko-KR"/>
        </w:rPr>
        <w:t xml:space="preserve"> </w:t>
      </w:r>
      <w:proofErr w:type="spellStart"/>
      <w:r w:rsidR="008D7358" w:rsidRPr="0057328B">
        <w:rPr>
          <w:rFonts w:ascii="Times New Roman" w:hAnsi="Times New Roman" w:cs="Times New Roman"/>
          <w:sz w:val="24"/>
          <w:szCs w:val="24"/>
          <w:lang w:eastAsia="ko-KR"/>
        </w:rPr>
        <w:t>NaCl</w:t>
      </w:r>
      <w:proofErr w:type="spellEnd"/>
      <w:r w:rsidR="008D7358" w:rsidRPr="0057328B">
        <w:rPr>
          <w:rFonts w:ascii="Times New Roman" w:hAnsi="Times New Roman" w:cs="Times New Roman"/>
          <w:sz w:val="24"/>
          <w:szCs w:val="24"/>
          <w:lang w:eastAsia="ko-KR"/>
        </w:rPr>
        <w:t>, and 0.5% NP40.  The homogenates were mixed by rotation for 2 h</w:t>
      </w:r>
      <w:r w:rsidR="009F260A" w:rsidRPr="0057328B">
        <w:rPr>
          <w:rFonts w:ascii="Times New Roman" w:hAnsi="Times New Roman" w:cs="Times New Roman"/>
          <w:sz w:val="24"/>
          <w:szCs w:val="24"/>
          <w:lang w:eastAsia="ko-KR"/>
        </w:rPr>
        <w:t>ou</w:t>
      </w:r>
      <w:r w:rsidR="008D7358" w:rsidRPr="0057328B">
        <w:rPr>
          <w:rFonts w:ascii="Times New Roman" w:hAnsi="Times New Roman" w:cs="Times New Roman"/>
          <w:sz w:val="24"/>
          <w:szCs w:val="24"/>
          <w:lang w:eastAsia="ko-KR"/>
        </w:rPr>
        <w:t>r</w:t>
      </w:r>
      <w:r w:rsidR="001C68EA" w:rsidRPr="0057328B">
        <w:rPr>
          <w:rFonts w:ascii="Times New Roman" w:hAnsi="Times New Roman" w:cs="Times New Roman"/>
          <w:sz w:val="24"/>
          <w:szCs w:val="24"/>
          <w:lang w:eastAsia="ko-KR"/>
        </w:rPr>
        <w:t>s</w:t>
      </w:r>
      <w:r w:rsidR="008D7358" w:rsidRPr="0057328B">
        <w:rPr>
          <w:rFonts w:ascii="Times New Roman" w:hAnsi="Times New Roman" w:cs="Times New Roman"/>
          <w:sz w:val="24"/>
          <w:szCs w:val="24"/>
          <w:lang w:eastAsia="ko-KR"/>
        </w:rPr>
        <w:t xml:space="preserve"> at 4°C, followed by sonication on ice followed by 15 min of centrifugation.  Protein concentration was measured by Bradford assay, and 500 μg of total protein diluted into PBS were loaded into 96-well plates and dried overnight at 37°C.  150</w:t>
      </w:r>
      <w:r w:rsidR="00E911A9">
        <w:rPr>
          <w:rFonts w:ascii="Times New Roman" w:hAnsi="Times New Roman" w:cs="Times New Roman"/>
          <w:sz w:val="24"/>
          <w:szCs w:val="24"/>
          <w:lang w:eastAsia="ko-KR"/>
        </w:rPr>
        <w:t xml:space="preserve"> </w:t>
      </w:r>
      <w:proofErr w:type="spellStart"/>
      <w:r w:rsidR="008D7358" w:rsidRPr="00E911A9">
        <w:rPr>
          <w:rFonts w:ascii="Times New Roman" w:hAnsi="Times New Roman" w:cs="Times New Roman"/>
          <w:sz w:val="24"/>
          <w:szCs w:val="24"/>
          <w:lang w:eastAsia="ko-KR"/>
        </w:rPr>
        <w:t>μl</w:t>
      </w:r>
      <w:proofErr w:type="spellEnd"/>
      <w:r w:rsidR="008D7358" w:rsidRPr="00E911A9">
        <w:rPr>
          <w:rFonts w:ascii="Times New Roman" w:hAnsi="Times New Roman" w:cs="Times New Roman"/>
          <w:sz w:val="24"/>
          <w:szCs w:val="24"/>
          <w:lang w:eastAsia="ko-KR"/>
        </w:rPr>
        <w:t xml:space="preserve"> of </w:t>
      </w:r>
      <w:proofErr w:type="spellStart"/>
      <w:r w:rsidR="008D7358" w:rsidRPr="00E911A9">
        <w:rPr>
          <w:rFonts w:ascii="Times New Roman" w:hAnsi="Times New Roman" w:cs="Times New Roman"/>
          <w:sz w:val="24"/>
          <w:szCs w:val="24"/>
          <w:lang w:eastAsia="ko-KR"/>
        </w:rPr>
        <w:t>Sircol</w:t>
      </w:r>
      <w:proofErr w:type="spellEnd"/>
      <w:r w:rsidR="008D7358" w:rsidRPr="00E911A9">
        <w:rPr>
          <w:rFonts w:ascii="Times New Roman" w:hAnsi="Times New Roman" w:cs="Times New Roman"/>
          <w:sz w:val="24"/>
          <w:szCs w:val="24"/>
          <w:lang w:eastAsia="ko-KR"/>
        </w:rPr>
        <w:t xml:space="preserve"> dye reagent was added into each well and incubated for 1</w:t>
      </w:r>
      <w:r w:rsidR="008D7358" w:rsidRPr="0057328B">
        <w:rPr>
          <w:rFonts w:ascii="Times New Roman" w:hAnsi="Times New Roman" w:cs="Times New Roman"/>
          <w:sz w:val="24"/>
          <w:szCs w:val="24"/>
          <w:lang w:eastAsia="ko-KR"/>
        </w:rPr>
        <w:t>.5 h</w:t>
      </w:r>
      <w:r w:rsidR="001C68EA" w:rsidRPr="0057328B">
        <w:rPr>
          <w:rFonts w:ascii="Times New Roman" w:hAnsi="Times New Roman" w:cs="Times New Roman"/>
          <w:sz w:val="24"/>
          <w:szCs w:val="24"/>
          <w:lang w:eastAsia="ko-KR"/>
        </w:rPr>
        <w:t>ou</w:t>
      </w:r>
      <w:r w:rsidR="008D7358" w:rsidRPr="0057328B">
        <w:rPr>
          <w:rFonts w:ascii="Times New Roman" w:hAnsi="Times New Roman" w:cs="Times New Roman"/>
          <w:sz w:val="24"/>
          <w:szCs w:val="24"/>
          <w:lang w:eastAsia="ko-KR"/>
        </w:rPr>
        <w:t xml:space="preserve">r at room temperature. </w:t>
      </w:r>
      <w:r w:rsidR="004B503C">
        <w:rPr>
          <w:rFonts w:ascii="Times New Roman" w:hAnsi="Times New Roman" w:cs="Times New Roman"/>
          <w:sz w:val="24"/>
          <w:szCs w:val="24"/>
          <w:lang w:eastAsia="ko-KR"/>
        </w:rPr>
        <w:t xml:space="preserve"> </w:t>
      </w:r>
      <w:r w:rsidR="0089353B">
        <w:rPr>
          <w:rFonts w:ascii="Times New Roman" w:hAnsi="Times New Roman" w:cs="Times New Roman"/>
          <w:sz w:val="24"/>
          <w:szCs w:val="24"/>
          <w:lang w:eastAsia="ko-KR"/>
        </w:rPr>
        <w:t>Excess</w:t>
      </w:r>
      <w:r w:rsidR="008D7358" w:rsidRPr="0057328B">
        <w:rPr>
          <w:rFonts w:ascii="Times New Roman" w:hAnsi="Times New Roman" w:cs="Times New Roman"/>
          <w:sz w:val="24"/>
          <w:szCs w:val="24"/>
          <w:lang w:eastAsia="ko-KR"/>
        </w:rPr>
        <w:t xml:space="preserve"> dye was removed, and the plate was washed with 5% acidified water before </w:t>
      </w:r>
      <w:proofErr w:type="spellStart"/>
      <w:r w:rsidR="008D7358" w:rsidRPr="0057328B">
        <w:rPr>
          <w:rFonts w:ascii="Times New Roman" w:hAnsi="Times New Roman" w:cs="Times New Roman"/>
          <w:sz w:val="24"/>
          <w:szCs w:val="24"/>
          <w:lang w:eastAsia="ko-KR"/>
        </w:rPr>
        <w:t>solubilization</w:t>
      </w:r>
      <w:proofErr w:type="spellEnd"/>
      <w:r w:rsidR="008D7358" w:rsidRPr="0057328B">
        <w:rPr>
          <w:rFonts w:ascii="Times New Roman" w:hAnsi="Times New Roman" w:cs="Times New Roman"/>
          <w:sz w:val="24"/>
          <w:szCs w:val="24"/>
          <w:lang w:eastAsia="ko-KR"/>
        </w:rPr>
        <w:t xml:space="preserve"> in 150</w:t>
      </w:r>
      <w:r w:rsidR="001C68EA" w:rsidRPr="0057328B">
        <w:rPr>
          <w:rFonts w:ascii="Times New Roman" w:hAnsi="Times New Roman" w:cs="Times New Roman"/>
          <w:sz w:val="24"/>
          <w:szCs w:val="24"/>
          <w:lang w:eastAsia="ko-KR"/>
        </w:rPr>
        <w:t xml:space="preserve"> </w:t>
      </w:r>
      <w:proofErr w:type="spellStart"/>
      <w:r w:rsidR="008D7358" w:rsidRPr="0057328B">
        <w:rPr>
          <w:rFonts w:ascii="Times New Roman" w:hAnsi="Times New Roman" w:cs="Times New Roman"/>
          <w:sz w:val="24"/>
          <w:szCs w:val="24"/>
          <w:lang w:eastAsia="ko-KR"/>
        </w:rPr>
        <w:t>μl</w:t>
      </w:r>
      <w:proofErr w:type="spellEnd"/>
      <w:r w:rsidR="008D7358" w:rsidRPr="0057328B">
        <w:rPr>
          <w:rFonts w:ascii="Times New Roman" w:hAnsi="Times New Roman" w:cs="Times New Roman"/>
          <w:sz w:val="24"/>
          <w:szCs w:val="24"/>
          <w:lang w:eastAsia="ko-KR"/>
        </w:rPr>
        <w:t xml:space="preserve"> of 0.1</w:t>
      </w:r>
      <w:r w:rsidR="00E911A9">
        <w:rPr>
          <w:rFonts w:ascii="Times New Roman" w:hAnsi="Times New Roman" w:cs="Times New Roman"/>
          <w:sz w:val="24"/>
          <w:szCs w:val="24"/>
          <w:lang w:eastAsia="ko-KR"/>
        </w:rPr>
        <w:t xml:space="preserve"> </w:t>
      </w:r>
      <w:r w:rsidR="008D7358" w:rsidRPr="00E911A9">
        <w:rPr>
          <w:rFonts w:ascii="Times New Roman" w:hAnsi="Times New Roman" w:cs="Times New Roman"/>
          <w:sz w:val="24"/>
          <w:szCs w:val="24"/>
          <w:lang w:eastAsia="ko-KR"/>
        </w:rPr>
        <w:t xml:space="preserve">M </w:t>
      </w:r>
      <w:proofErr w:type="spellStart"/>
      <w:r w:rsidR="008D7358" w:rsidRPr="00E911A9">
        <w:rPr>
          <w:rFonts w:ascii="Times New Roman" w:hAnsi="Times New Roman" w:cs="Times New Roman"/>
          <w:sz w:val="24"/>
          <w:szCs w:val="24"/>
          <w:lang w:eastAsia="ko-KR"/>
        </w:rPr>
        <w:t>NaOH</w:t>
      </w:r>
      <w:proofErr w:type="spellEnd"/>
      <w:r w:rsidR="008D7358" w:rsidRPr="0057328B">
        <w:rPr>
          <w:rFonts w:ascii="Times New Roman" w:hAnsi="Times New Roman" w:cs="Times New Roman"/>
          <w:sz w:val="24"/>
          <w:szCs w:val="24"/>
          <w:lang w:eastAsia="ko-KR"/>
        </w:rPr>
        <w:t xml:space="preserve">. </w:t>
      </w:r>
      <w:r w:rsidR="001C68EA" w:rsidRPr="0057328B">
        <w:rPr>
          <w:rFonts w:ascii="Times New Roman" w:hAnsi="Times New Roman" w:cs="Times New Roman"/>
          <w:sz w:val="24"/>
          <w:szCs w:val="24"/>
          <w:lang w:eastAsia="ko-KR"/>
        </w:rPr>
        <w:t xml:space="preserve"> </w:t>
      </w:r>
      <w:r w:rsidR="008D7358" w:rsidRPr="0057328B">
        <w:rPr>
          <w:rFonts w:ascii="Times New Roman" w:hAnsi="Times New Roman" w:cs="Times New Roman"/>
          <w:sz w:val="24"/>
          <w:szCs w:val="24"/>
          <w:lang w:eastAsia="ko-KR"/>
        </w:rPr>
        <w:t xml:space="preserve">Absorbance was measured by </w:t>
      </w:r>
      <w:proofErr w:type="spellStart"/>
      <w:r w:rsidR="008D7358" w:rsidRPr="0057328B">
        <w:rPr>
          <w:rFonts w:ascii="Times New Roman" w:hAnsi="Times New Roman" w:cs="Times New Roman"/>
          <w:sz w:val="24"/>
          <w:szCs w:val="24"/>
          <w:lang w:eastAsia="ko-KR"/>
        </w:rPr>
        <w:t>BioPhotometer</w:t>
      </w:r>
      <w:proofErr w:type="spellEnd"/>
      <w:r w:rsidR="008D7358" w:rsidRPr="0057328B">
        <w:rPr>
          <w:rFonts w:ascii="Times New Roman" w:hAnsi="Times New Roman" w:cs="Times New Roman"/>
          <w:sz w:val="24"/>
          <w:szCs w:val="24"/>
          <w:lang w:eastAsia="ko-KR"/>
        </w:rPr>
        <w:t xml:space="preserve"> plus (Eppendorf, Hamburg, Germany) at a wavelength of 550 nm.</w:t>
      </w:r>
    </w:p>
    <w:p w14:paraId="6FD92579" w14:textId="333B8A20" w:rsidR="008A5585" w:rsidRPr="0057328B" w:rsidRDefault="009D0D7F" w:rsidP="00FF0BCC">
      <w:pPr>
        <w:spacing w:line="480" w:lineRule="auto"/>
        <w:jc w:val="both"/>
      </w:pPr>
      <w:proofErr w:type="spellStart"/>
      <w:r w:rsidRPr="004C4F5A">
        <w:rPr>
          <w:rFonts w:ascii="Times New Roman" w:hAnsi="Times New Roman" w:cs="Times New Roman"/>
          <w:b/>
          <w:sz w:val="24"/>
          <w:szCs w:val="24"/>
          <w:lang w:eastAsia="ko-KR"/>
        </w:rPr>
        <w:t>Hyd</w:t>
      </w:r>
      <w:r w:rsidR="003B6509">
        <w:rPr>
          <w:rFonts w:ascii="Times New Roman" w:hAnsi="Times New Roman" w:cs="Times New Roman"/>
          <w:b/>
          <w:sz w:val="24"/>
          <w:szCs w:val="24"/>
          <w:lang w:eastAsia="ko-KR"/>
        </w:rPr>
        <w:t>r</w:t>
      </w:r>
      <w:r w:rsidRPr="004C4F5A">
        <w:rPr>
          <w:rFonts w:ascii="Times New Roman" w:hAnsi="Times New Roman" w:cs="Times New Roman"/>
          <w:b/>
          <w:sz w:val="24"/>
          <w:szCs w:val="24"/>
          <w:lang w:eastAsia="ko-KR"/>
        </w:rPr>
        <w:t>oxyproline</w:t>
      </w:r>
      <w:proofErr w:type="spellEnd"/>
      <w:r w:rsidRPr="004C4F5A">
        <w:rPr>
          <w:rFonts w:ascii="Times New Roman" w:hAnsi="Times New Roman" w:cs="Times New Roman"/>
          <w:b/>
          <w:sz w:val="24"/>
          <w:szCs w:val="24"/>
          <w:lang w:eastAsia="ko-KR"/>
        </w:rPr>
        <w:t xml:space="preserve"> Assay:</w:t>
      </w:r>
      <w:r>
        <w:rPr>
          <w:rFonts w:ascii="Times New Roman" w:hAnsi="Times New Roman" w:cs="Times New Roman"/>
          <w:sz w:val="24"/>
          <w:szCs w:val="24"/>
          <w:lang w:eastAsia="ko-KR"/>
        </w:rPr>
        <w:t xml:space="preserve">  </w:t>
      </w:r>
      <w:proofErr w:type="spellStart"/>
      <w:r w:rsidR="00C52FCE">
        <w:rPr>
          <w:rFonts w:ascii="Times New Roman" w:hAnsi="Times New Roman" w:cs="Times New Roman"/>
          <w:sz w:val="24"/>
          <w:szCs w:val="24"/>
          <w:lang w:eastAsia="ko-KR"/>
        </w:rPr>
        <w:t>Hydroxyproline</w:t>
      </w:r>
      <w:proofErr w:type="spellEnd"/>
      <w:r w:rsidR="00C52FCE">
        <w:rPr>
          <w:rFonts w:ascii="Times New Roman" w:hAnsi="Times New Roman" w:cs="Times New Roman"/>
          <w:sz w:val="24"/>
          <w:szCs w:val="24"/>
          <w:lang w:eastAsia="ko-KR"/>
        </w:rPr>
        <w:t xml:space="preserve"> colorimetric assay kit </w:t>
      </w:r>
      <w:r w:rsidR="00B72CA3">
        <w:rPr>
          <w:rFonts w:ascii="Times New Roman" w:hAnsi="Times New Roman" w:cs="Times New Roman"/>
          <w:sz w:val="24"/>
          <w:szCs w:val="24"/>
          <w:lang w:eastAsia="ko-KR"/>
        </w:rPr>
        <w:t xml:space="preserve">was </w:t>
      </w:r>
      <w:r w:rsidR="00C52FCE">
        <w:rPr>
          <w:rFonts w:ascii="Times New Roman" w:hAnsi="Times New Roman" w:cs="Times New Roman"/>
          <w:sz w:val="24"/>
          <w:szCs w:val="24"/>
          <w:lang w:eastAsia="ko-KR"/>
        </w:rPr>
        <w:t xml:space="preserve">purchased from </w:t>
      </w:r>
      <w:proofErr w:type="spellStart"/>
      <w:r w:rsidR="00C52FCE">
        <w:rPr>
          <w:rFonts w:ascii="Times New Roman" w:hAnsi="Times New Roman" w:cs="Times New Roman"/>
          <w:sz w:val="24"/>
          <w:szCs w:val="24"/>
          <w:lang w:eastAsia="ko-KR"/>
        </w:rPr>
        <w:t>BioVison</w:t>
      </w:r>
      <w:proofErr w:type="spellEnd"/>
      <w:r w:rsidR="00C52FCE">
        <w:rPr>
          <w:rFonts w:ascii="Times New Roman" w:hAnsi="Times New Roman" w:cs="Times New Roman"/>
          <w:sz w:val="24"/>
          <w:szCs w:val="24"/>
          <w:lang w:eastAsia="ko-KR"/>
        </w:rPr>
        <w:t xml:space="preserve"> (Zurich, Switzerland).  </w:t>
      </w:r>
      <w:r w:rsidR="00B72CA3">
        <w:rPr>
          <w:rFonts w:ascii="Times New Roman" w:hAnsi="Times New Roman" w:cs="Times New Roman"/>
          <w:sz w:val="24"/>
          <w:szCs w:val="24"/>
          <w:lang w:eastAsia="ko-KR"/>
        </w:rPr>
        <w:t>F</w:t>
      </w:r>
      <w:r>
        <w:rPr>
          <w:rFonts w:ascii="Times New Roman" w:hAnsi="Times New Roman" w:cs="Times New Roman"/>
          <w:sz w:val="24"/>
          <w:szCs w:val="24"/>
          <w:lang w:eastAsia="ko-KR"/>
        </w:rPr>
        <w:t xml:space="preserve">rozen tumors (n=6 per group) were homogenized in </w:t>
      </w:r>
      <w:r w:rsidR="00B72CA3">
        <w:rPr>
          <w:rFonts w:ascii="Times New Roman" w:hAnsi="Times New Roman" w:cs="Times New Roman"/>
          <w:sz w:val="24"/>
          <w:szCs w:val="24"/>
          <w:lang w:eastAsia="ko-KR"/>
        </w:rPr>
        <w:t>dH</w:t>
      </w:r>
      <w:r w:rsidR="00B72CA3" w:rsidRPr="00B02268">
        <w:rPr>
          <w:rFonts w:ascii="Times New Roman" w:hAnsi="Times New Roman" w:cs="Times New Roman"/>
          <w:sz w:val="24"/>
          <w:szCs w:val="24"/>
          <w:vertAlign w:val="subscript"/>
          <w:lang w:eastAsia="ko-KR"/>
        </w:rPr>
        <w:t>2</w:t>
      </w:r>
      <w:r w:rsidR="00B72CA3">
        <w:rPr>
          <w:rFonts w:ascii="Times New Roman" w:hAnsi="Times New Roman" w:cs="Times New Roman"/>
          <w:sz w:val="24"/>
          <w:szCs w:val="24"/>
          <w:lang w:eastAsia="ko-KR"/>
        </w:rPr>
        <w:t>O (</w:t>
      </w:r>
      <w:r>
        <w:rPr>
          <w:rFonts w:ascii="Times New Roman" w:hAnsi="Times New Roman" w:cs="Times New Roman"/>
          <w:sz w:val="24"/>
          <w:szCs w:val="24"/>
          <w:lang w:eastAsia="ko-KR"/>
        </w:rPr>
        <w:t>10 mg of tissue</w:t>
      </w:r>
      <w:r w:rsidR="00B72CA3">
        <w:rPr>
          <w:rFonts w:ascii="Times New Roman" w:hAnsi="Times New Roman" w:cs="Times New Roman"/>
          <w:sz w:val="24"/>
          <w:szCs w:val="24"/>
          <w:lang w:eastAsia="ko-KR"/>
        </w:rPr>
        <w:t xml:space="preserve">/per 100 </w:t>
      </w:r>
      <w:proofErr w:type="spellStart"/>
      <w:r w:rsidR="00B72CA3">
        <w:rPr>
          <w:rFonts w:ascii="Times New Roman" w:hAnsi="Times New Roman" w:cs="Times New Roman"/>
          <w:sz w:val="24"/>
          <w:szCs w:val="24"/>
          <w:lang w:eastAsia="ko-KR"/>
        </w:rPr>
        <w:t>μl</w:t>
      </w:r>
      <w:proofErr w:type="spellEnd"/>
      <w:r w:rsidR="00B72CA3">
        <w:rPr>
          <w:rFonts w:ascii="Times New Roman" w:hAnsi="Times New Roman" w:cs="Times New Roman"/>
          <w:sz w:val="24"/>
          <w:szCs w:val="24"/>
          <w:lang w:eastAsia="ko-KR"/>
        </w:rPr>
        <w:t xml:space="preserve"> of dH</w:t>
      </w:r>
      <w:r w:rsidR="00B72CA3" w:rsidRPr="009D0D7F">
        <w:rPr>
          <w:rFonts w:ascii="Times New Roman" w:hAnsi="Times New Roman" w:cs="Times New Roman"/>
          <w:sz w:val="24"/>
          <w:szCs w:val="24"/>
          <w:vertAlign w:val="subscript"/>
          <w:lang w:eastAsia="ko-KR"/>
        </w:rPr>
        <w:t>2</w:t>
      </w:r>
      <w:r w:rsidR="00B72CA3">
        <w:rPr>
          <w:rFonts w:ascii="Times New Roman" w:hAnsi="Times New Roman" w:cs="Times New Roman"/>
          <w:sz w:val="24"/>
          <w:szCs w:val="24"/>
          <w:lang w:eastAsia="ko-KR"/>
        </w:rPr>
        <w:t xml:space="preserve">O), </w:t>
      </w:r>
      <w:r w:rsidR="00356361">
        <w:rPr>
          <w:rFonts w:ascii="Times New Roman" w:hAnsi="Times New Roman" w:cs="Times New Roman"/>
          <w:sz w:val="24"/>
          <w:szCs w:val="24"/>
          <w:lang w:eastAsia="ko-KR"/>
        </w:rPr>
        <w:t>according to</w:t>
      </w:r>
      <w:r w:rsidR="00630BD2">
        <w:rPr>
          <w:rFonts w:ascii="Times New Roman" w:hAnsi="Times New Roman" w:cs="Times New Roman"/>
          <w:sz w:val="24"/>
          <w:szCs w:val="24"/>
          <w:lang w:eastAsia="ko-KR"/>
        </w:rPr>
        <w:t xml:space="preserve"> </w:t>
      </w:r>
      <w:r w:rsidR="00B72CA3">
        <w:rPr>
          <w:rFonts w:ascii="Times New Roman" w:hAnsi="Times New Roman" w:cs="Times New Roman"/>
          <w:sz w:val="24"/>
          <w:szCs w:val="24"/>
          <w:lang w:eastAsia="ko-KR"/>
        </w:rPr>
        <w:t>manufacturer’s protocol</w:t>
      </w:r>
      <w:r>
        <w:rPr>
          <w:rFonts w:ascii="Times New Roman" w:hAnsi="Times New Roman" w:cs="Times New Roman"/>
          <w:sz w:val="24"/>
          <w:szCs w:val="24"/>
          <w:lang w:eastAsia="ko-KR"/>
        </w:rPr>
        <w:t xml:space="preserve">.  </w:t>
      </w:r>
      <w:r w:rsidR="00C52FCE" w:rsidRPr="0057328B">
        <w:rPr>
          <w:rFonts w:ascii="Times New Roman" w:hAnsi="Times New Roman" w:cs="Times New Roman"/>
          <w:sz w:val="24"/>
          <w:szCs w:val="24"/>
          <w:lang w:eastAsia="ko-KR"/>
        </w:rPr>
        <w:t xml:space="preserve">Absorbance was measured by </w:t>
      </w:r>
      <w:proofErr w:type="spellStart"/>
      <w:r w:rsidR="00C52FCE" w:rsidRPr="002868C5">
        <w:rPr>
          <w:rFonts w:ascii="Times New Roman" w:hAnsi="Times New Roman" w:cs="Times New Roman"/>
          <w:sz w:val="24"/>
          <w:szCs w:val="24"/>
          <w:lang w:eastAsia="ko-KR"/>
        </w:rPr>
        <w:t>SPECTRAmax</w:t>
      </w:r>
      <w:proofErr w:type="spellEnd"/>
      <w:r w:rsidR="00C52FCE" w:rsidRPr="002868C5">
        <w:rPr>
          <w:rFonts w:ascii="Times New Roman" w:hAnsi="Times New Roman" w:cs="Times New Roman"/>
          <w:sz w:val="24"/>
          <w:szCs w:val="24"/>
          <w:vertAlign w:val="superscript"/>
          <w:lang w:eastAsia="ko-KR"/>
        </w:rPr>
        <w:t>®</w:t>
      </w:r>
      <w:r w:rsidR="00C52FCE" w:rsidRPr="002868C5">
        <w:rPr>
          <w:rFonts w:ascii="Times New Roman" w:hAnsi="Times New Roman" w:cs="Times New Roman"/>
          <w:sz w:val="24"/>
          <w:szCs w:val="24"/>
          <w:lang w:eastAsia="ko-KR"/>
        </w:rPr>
        <w:t xml:space="preserve"> Plus 384 microplate spectrophotometer (Molecular Devices)</w:t>
      </w:r>
      <w:r w:rsidR="00C52FCE" w:rsidRPr="0057328B">
        <w:rPr>
          <w:rFonts w:ascii="Times New Roman" w:hAnsi="Times New Roman" w:cs="Times New Roman"/>
          <w:sz w:val="24"/>
          <w:szCs w:val="24"/>
          <w:lang w:eastAsia="ko-KR"/>
        </w:rPr>
        <w:t xml:space="preserve"> at a wavelength of 5</w:t>
      </w:r>
      <w:r w:rsidR="00C52FCE">
        <w:rPr>
          <w:rFonts w:ascii="Times New Roman" w:hAnsi="Times New Roman" w:cs="Times New Roman"/>
          <w:sz w:val="24"/>
          <w:szCs w:val="24"/>
          <w:lang w:eastAsia="ko-KR"/>
        </w:rPr>
        <w:t>6</w:t>
      </w:r>
      <w:r w:rsidR="00C52FCE" w:rsidRPr="0057328B">
        <w:rPr>
          <w:rFonts w:ascii="Times New Roman" w:hAnsi="Times New Roman" w:cs="Times New Roman"/>
          <w:sz w:val="24"/>
          <w:szCs w:val="24"/>
          <w:lang w:eastAsia="ko-KR"/>
        </w:rPr>
        <w:t>0 nm.</w:t>
      </w:r>
      <w:bookmarkStart w:id="0" w:name="_GoBack"/>
      <w:bookmarkEnd w:id="0"/>
    </w:p>
    <w:sectPr w:rsidR="008A5585" w:rsidRPr="0057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1B70"/>
    <w:multiLevelType w:val="hybridMultilevel"/>
    <w:tmpl w:val="9A02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85"/>
    <w:rsid w:val="000600B4"/>
    <w:rsid w:val="00071E1A"/>
    <w:rsid w:val="00081744"/>
    <w:rsid w:val="000E5C15"/>
    <w:rsid w:val="000F278E"/>
    <w:rsid w:val="001350F4"/>
    <w:rsid w:val="00146CEF"/>
    <w:rsid w:val="00175967"/>
    <w:rsid w:val="001804C3"/>
    <w:rsid w:val="001C68EA"/>
    <w:rsid w:val="001E1356"/>
    <w:rsid w:val="00210FD7"/>
    <w:rsid w:val="0022114F"/>
    <w:rsid w:val="002868C5"/>
    <w:rsid w:val="002A3773"/>
    <w:rsid w:val="002C125C"/>
    <w:rsid w:val="00356361"/>
    <w:rsid w:val="003637EE"/>
    <w:rsid w:val="0038191F"/>
    <w:rsid w:val="00397A26"/>
    <w:rsid w:val="003A3CA1"/>
    <w:rsid w:val="003B061A"/>
    <w:rsid w:val="003B2CB0"/>
    <w:rsid w:val="003B6509"/>
    <w:rsid w:val="003F59E1"/>
    <w:rsid w:val="00414998"/>
    <w:rsid w:val="00463AA0"/>
    <w:rsid w:val="00473A09"/>
    <w:rsid w:val="004B4374"/>
    <w:rsid w:val="004B503C"/>
    <w:rsid w:val="004C4F5A"/>
    <w:rsid w:val="00535249"/>
    <w:rsid w:val="00561A83"/>
    <w:rsid w:val="005726A8"/>
    <w:rsid w:val="0057328B"/>
    <w:rsid w:val="005A0A25"/>
    <w:rsid w:val="005F4263"/>
    <w:rsid w:val="00603211"/>
    <w:rsid w:val="00630BD2"/>
    <w:rsid w:val="006600C8"/>
    <w:rsid w:val="007136B3"/>
    <w:rsid w:val="00812FBC"/>
    <w:rsid w:val="008749C3"/>
    <w:rsid w:val="00881289"/>
    <w:rsid w:val="0089353B"/>
    <w:rsid w:val="008A5585"/>
    <w:rsid w:val="008B7980"/>
    <w:rsid w:val="008C66E1"/>
    <w:rsid w:val="008C7324"/>
    <w:rsid w:val="008D222C"/>
    <w:rsid w:val="008D7358"/>
    <w:rsid w:val="008E0EEE"/>
    <w:rsid w:val="008F4FA9"/>
    <w:rsid w:val="00904249"/>
    <w:rsid w:val="009C0123"/>
    <w:rsid w:val="009D0D7F"/>
    <w:rsid w:val="009E1D68"/>
    <w:rsid w:val="009F260A"/>
    <w:rsid w:val="009F7AEE"/>
    <w:rsid w:val="00A2780E"/>
    <w:rsid w:val="00A500A3"/>
    <w:rsid w:val="00A5101F"/>
    <w:rsid w:val="00B02268"/>
    <w:rsid w:val="00B72CA3"/>
    <w:rsid w:val="00BE1CA1"/>
    <w:rsid w:val="00BE7861"/>
    <w:rsid w:val="00BF205D"/>
    <w:rsid w:val="00C001D5"/>
    <w:rsid w:val="00C1550E"/>
    <w:rsid w:val="00C52FCE"/>
    <w:rsid w:val="00C75CA5"/>
    <w:rsid w:val="00CD1F23"/>
    <w:rsid w:val="00CE749A"/>
    <w:rsid w:val="00D34416"/>
    <w:rsid w:val="00DA1AD3"/>
    <w:rsid w:val="00DA4AB9"/>
    <w:rsid w:val="00DD4ABD"/>
    <w:rsid w:val="00DE1237"/>
    <w:rsid w:val="00E0610F"/>
    <w:rsid w:val="00E736AC"/>
    <w:rsid w:val="00E911A9"/>
    <w:rsid w:val="00F110DB"/>
    <w:rsid w:val="00F566C9"/>
    <w:rsid w:val="00FE5B11"/>
    <w:rsid w:val="00FF0B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8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0F"/>
    <w:pPr>
      <w:ind w:left="720"/>
      <w:contextualSpacing/>
    </w:pPr>
  </w:style>
  <w:style w:type="paragraph" w:customStyle="1" w:styleId="Normal1">
    <w:name w:val="Normal1"/>
    <w:basedOn w:val="Normal"/>
    <w:rsid w:val="00E0610F"/>
    <w:pPr>
      <w:spacing w:line="260" w:lineRule="atLeast"/>
      <w:jc w:val="both"/>
    </w:pPr>
    <w:rPr>
      <w:rFonts w:ascii="Malgun Gothic" w:eastAsia="Malgun Gothic" w:hAnsi="Malgun Gothic" w:cs="Times New Roman"/>
      <w:sz w:val="20"/>
      <w:szCs w:val="20"/>
    </w:rPr>
  </w:style>
  <w:style w:type="character" w:customStyle="1" w:styleId="normalchar1">
    <w:name w:val="normal__char1"/>
    <w:basedOn w:val="DefaultParagraphFont"/>
    <w:rsid w:val="00E0610F"/>
    <w:rPr>
      <w:rFonts w:ascii="Malgun Gothic" w:eastAsia="Malgun Gothic" w:hAnsi="Malgun Gothic" w:hint="eastAsia"/>
      <w:sz w:val="20"/>
      <w:szCs w:val="20"/>
    </w:rPr>
  </w:style>
  <w:style w:type="paragraph" w:styleId="BalloonText">
    <w:name w:val="Balloon Text"/>
    <w:basedOn w:val="Normal"/>
    <w:link w:val="BalloonTextChar"/>
    <w:uiPriority w:val="99"/>
    <w:semiHidden/>
    <w:unhideWhenUsed/>
    <w:rsid w:val="00C75CA5"/>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75CA5"/>
    <w:rPr>
      <w:rFonts w:asciiTheme="majorHAnsi" w:eastAsiaTheme="majorEastAsia" w:hAnsiTheme="majorHAnsi" w:cstheme="majorBidi"/>
      <w:sz w:val="16"/>
      <w:szCs w:val="16"/>
    </w:rPr>
  </w:style>
  <w:style w:type="table" w:styleId="TableGrid">
    <w:name w:val="Table Grid"/>
    <w:basedOn w:val="TableNormal"/>
    <w:uiPriority w:val="59"/>
    <w:rsid w:val="0087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01D5"/>
    <w:rPr>
      <w:sz w:val="16"/>
      <w:szCs w:val="16"/>
    </w:rPr>
  </w:style>
  <w:style w:type="paragraph" w:styleId="CommentText">
    <w:name w:val="annotation text"/>
    <w:basedOn w:val="Normal"/>
    <w:link w:val="CommentTextChar"/>
    <w:uiPriority w:val="99"/>
    <w:semiHidden/>
    <w:unhideWhenUsed/>
    <w:rsid w:val="00C001D5"/>
    <w:pPr>
      <w:spacing w:line="240" w:lineRule="auto"/>
    </w:pPr>
    <w:rPr>
      <w:sz w:val="20"/>
      <w:szCs w:val="20"/>
    </w:rPr>
  </w:style>
  <w:style w:type="character" w:customStyle="1" w:styleId="CommentTextChar">
    <w:name w:val="Comment Text Char"/>
    <w:basedOn w:val="DefaultParagraphFont"/>
    <w:link w:val="CommentText"/>
    <w:uiPriority w:val="99"/>
    <w:semiHidden/>
    <w:rsid w:val="00C001D5"/>
    <w:rPr>
      <w:sz w:val="20"/>
      <w:szCs w:val="20"/>
    </w:rPr>
  </w:style>
  <w:style w:type="paragraph" w:styleId="CommentSubject">
    <w:name w:val="annotation subject"/>
    <w:basedOn w:val="CommentText"/>
    <w:next w:val="CommentText"/>
    <w:link w:val="CommentSubjectChar"/>
    <w:uiPriority w:val="99"/>
    <w:semiHidden/>
    <w:unhideWhenUsed/>
    <w:rsid w:val="00C001D5"/>
    <w:rPr>
      <w:b/>
      <w:bCs/>
    </w:rPr>
  </w:style>
  <w:style w:type="character" w:customStyle="1" w:styleId="CommentSubjectChar">
    <w:name w:val="Comment Subject Char"/>
    <w:basedOn w:val="CommentTextChar"/>
    <w:link w:val="CommentSubject"/>
    <w:uiPriority w:val="99"/>
    <w:semiHidden/>
    <w:rsid w:val="00C001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0F"/>
    <w:pPr>
      <w:ind w:left="720"/>
      <w:contextualSpacing/>
    </w:pPr>
  </w:style>
  <w:style w:type="paragraph" w:customStyle="1" w:styleId="Normal1">
    <w:name w:val="Normal1"/>
    <w:basedOn w:val="Normal"/>
    <w:rsid w:val="00E0610F"/>
    <w:pPr>
      <w:spacing w:line="260" w:lineRule="atLeast"/>
      <w:jc w:val="both"/>
    </w:pPr>
    <w:rPr>
      <w:rFonts w:ascii="Malgun Gothic" w:eastAsia="Malgun Gothic" w:hAnsi="Malgun Gothic" w:cs="Times New Roman"/>
      <w:sz w:val="20"/>
      <w:szCs w:val="20"/>
    </w:rPr>
  </w:style>
  <w:style w:type="character" w:customStyle="1" w:styleId="normalchar1">
    <w:name w:val="normal__char1"/>
    <w:basedOn w:val="DefaultParagraphFont"/>
    <w:rsid w:val="00E0610F"/>
    <w:rPr>
      <w:rFonts w:ascii="Malgun Gothic" w:eastAsia="Malgun Gothic" w:hAnsi="Malgun Gothic" w:hint="eastAsia"/>
      <w:sz w:val="20"/>
      <w:szCs w:val="20"/>
    </w:rPr>
  </w:style>
  <w:style w:type="paragraph" w:styleId="BalloonText">
    <w:name w:val="Balloon Text"/>
    <w:basedOn w:val="Normal"/>
    <w:link w:val="BalloonTextChar"/>
    <w:uiPriority w:val="99"/>
    <w:semiHidden/>
    <w:unhideWhenUsed/>
    <w:rsid w:val="00C75CA5"/>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75CA5"/>
    <w:rPr>
      <w:rFonts w:asciiTheme="majorHAnsi" w:eastAsiaTheme="majorEastAsia" w:hAnsiTheme="majorHAnsi" w:cstheme="majorBidi"/>
      <w:sz w:val="16"/>
      <w:szCs w:val="16"/>
    </w:rPr>
  </w:style>
  <w:style w:type="table" w:styleId="TableGrid">
    <w:name w:val="Table Grid"/>
    <w:basedOn w:val="TableNormal"/>
    <w:uiPriority w:val="59"/>
    <w:rsid w:val="0087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01D5"/>
    <w:rPr>
      <w:sz w:val="16"/>
      <w:szCs w:val="16"/>
    </w:rPr>
  </w:style>
  <w:style w:type="paragraph" w:styleId="CommentText">
    <w:name w:val="annotation text"/>
    <w:basedOn w:val="Normal"/>
    <w:link w:val="CommentTextChar"/>
    <w:uiPriority w:val="99"/>
    <w:semiHidden/>
    <w:unhideWhenUsed/>
    <w:rsid w:val="00C001D5"/>
    <w:pPr>
      <w:spacing w:line="240" w:lineRule="auto"/>
    </w:pPr>
    <w:rPr>
      <w:sz w:val="20"/>
      <w:szCs w:val="20"/>
    </w:rPr>
  </w:style>
  <w:style w:type="character" w:customStyle="1" w:styleId="CommentTextChar">
    <w:name w:val="Comment Text Char"/>
    <w:basedOn w:val="DefaultParagraphFont"/>
    <w:link w:val="CommentText"/>
    <w:uiPriority w:val="99"/>
    <w:semiHidden/>
    <w:rsid w:val="00C001D5"/>
    <w:rPr>
      <w:sz w:val="20"/>
      <w:szCs w:val="20"/>
    </w:rPr>
  </w:style>
  <w:style w:type="paragraph" w:styleId="CommentSubject">
    <w:name w:val="annotation subject"/>
    <w:basedOn w:val="CommentText"/>
    <w:next w:val="CommentText"/>
    <w:link w:val="CommentSubjectChar"/>
    <w:uiPriority w:val="99"/>
    <w:semiHidden/>
    <w:unhideWhenUsed/>
    <w:rsid w:val="00C001D5"/>
    <w:rPr>
      <w:b/>
      <w:bCs/>
    </w:rPr>
  </w:style>
  <w:style w:type="character" w:customStyle="1" w:styleId="CommentSubjectChar">
    <w:name w:val="Comment Subject Char"/>
    <w:basedOn w:val="CommentTextChar"/>
    <w:link w:val="CommentSubject"/>
    <w:uiPriority w:val="99"/>
    <w:semiHidden/>
    <w:rsid w:val="00C00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421">
      <w:bodyDiv w:val="1"/>
      <w:marLeft w:val="1440"/>
      <w:marRight w:val="1440"/>
      <w:marTop w:val="170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Matei, Daniela Elena</dc:creator>
  <cp:lastModifiedBy>Jiyoon Lee</cp:lastModifiedBy>
  <cp:revision>2</cp:revision>
  <dcterms:created xsi:type="dcterms:W3CDTF">2015-05-07T03:34:00Z</dcterms:created>
  <dcterms:modified xsi:type="dcterms:W3CDTF">2015-05-07T03:34:00Z</dcterms:modified>
</cp:coreProperties>
</file>