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B276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  <w:r w:rsidRPr="0046221D">
        <w:rPr>
          <w:b/>
          <w:sz w:val="22"/>
          <w:szCs w:val="22"/>
          <w:lang w:val="en-US"/>
        </w:rPr>
        <w:t>Supplemental Material</w:t>
      </w:r>
    </w:p>
    <w:p w14:paraId="02F10DB2" w14:textId="77777777" w:rsidR="00CE53BC" w:rsidRPr="0046221D" w:rsidRDefault="00CE53BC" w:rsidP="00CE53BC">
      <w:pPr>
        <w:spacing w:line="480" w:lineRule="auto"/>
        <w:jc w:val="both"/>
        <w:rPr>
          <w:b/>
          <w:sz w:val="22"/>
          <w:szCs w:val="22"/>
          <w:lang w:val="en-US"/>
        </w:rPr>
      </w:pPr>
    </w:p>
    <w:p w14:paraId="74A71B4F" w14:textId="77777777" w:rsidR="00CE53BC" w:rsidRPr="0046221D" w:rsidRDefault="00CE53BC" w:rsidP="00CE53BC">
      <w:pPr>
        <w:spacing w:line="480" w:lineRule="auto"/>
        <w:jc w:val="both"/>
        <w:rPr>
          <w:sz w:val="22"/>
          <w:szCs w:val="22"/>
          <w:lang w:val="en-US"/>
        </w:rPr>
      </w:pPr>
      <w:proofErr w:type="gramStart"/>
      <w:r w:rsidRPr="0046221D">
        <w:rPr>
          <w:b/>
          <w:sz w:val="22"/>
          <w:szCs w:val="22"/>
          <w:lang w:val="en-US"/>
        </w:rPr>
        <w:t>Supplementary Table S1.</w:t>
      </w:r>
      <w:proofErr w:type="gramEnd"/>
      <w:r w:rsidRPr="0046221D">
        <w:rPr>
          <w:sz w:val="22"/>
          <w:szCs w:val="22"/>
          <w:lang w:val="en-US"/>
        </w:rPr>
        <w:t xml:space="preserve"> Antibodies and antibody dilution used for immunohistochemical analyses.</w:t>
      </w:r>
    </w:p>
    <w:p w14:paraId="49CFA800" w14:textId="77777777" w:rsidR="00CE53BC" w:rsidRPr="0046221D" w:rsidRDefault="00CE53BC" w:rsidP="00CE53BC">
      <w:pPr>
        <w:rPr>
          <w:rFonts w:asciiTheme="majorHAnsi" w:hAnsiTheme="majorHAnsi"/>
          <w:sz w:val="22"/>
          <w:szCs w:val="22"/>
          <w:lang w:val="en-US"/>
        </w:rPr>
      </w:pPr>
    </w:p>
    <w:tbl>
      <w:tblPr>
        <w:tblW w:w="685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1236"/>
        <w:gridCol w:w="1271"/>
        <w:gridCol w:w="1354"/>
      </w:tblGrid>
      <w:tr w:rsidR="00CE53BC" w:rsidRPr="0046221D" w14:paraId="14169673" w14:textId="77777777" w:rsidTr="00DF0E93">
        <w:trPr>
          <w:trHeight w:val="41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CF3F9" w14:textId="77777777" w:rsidR="00CE53BC" w:rsidRPr="0046221D" w:rsidRDefault="00CE53BC" w:rsidP="005550B2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  <w:t>Antibody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8677A" w14:textId="77777777" w:rsidR="00CE53BC" w:rsidRPr="0046221D" w:rsidRDefault="00CE53BC" w:rsidP="005550B2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B339" w14:textId="77777777" w:rsidR="00CE53BC" w:rsidRPr="0046221D" w:rsidRDefault="00CE53BC" w:rsidP="005550B2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  <w:t>Clone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6DF1" w14:textId="77777777" w:rsidR="00CE53BC" w:rsidRPr="0046221D" w:rsidRDefault="00CE53BC" w:rsidP="005550B2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  <w:t>Species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4A764" w14:textId="77777777" w:rsidR="00CE53BC" w:rsidRPr="0046221D" w:rsidRDefault="00CE53BC" w:rsidP="005550B2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  <w:t>Dilution</w:t>
            </w:r>
          </w:p>
        </w:tc>
      </w:tr>
      <w:tr w:rsidR="00CE53BC" w:rsidRPr="0046221D" w14:paraId="1DBB0438" w14:textId="77777777" w:rsidTr="00DF0E93">
        <w:trPr>
          <w:trHeight w:val="3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967BA4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Ki-67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20F74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GeneTex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7BCEA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SP6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74CCD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A2E9D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1:100</w:t>
            </w:r>
          </w:p>
        </w:tc>
      </w:tr>
      <w:tr w:rsidR="00CE53BC" w:rsidRPr="0046221D" w14:paraId="2F25C78E" w14:textId="77777777" w:rsidTr="00DF0E93">
        <w:trPr>
          <w:trHeight w:val="3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A14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CD31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E3F8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Abcam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AB7D" w14:textId="4BE884B7" w:rsidR="00CE53BC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</w:t>
            </w:r>
            <w:r w:rsidR="00CE53BC"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olyclonal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4A0C6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86E8C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1:75</w:t>
            </w:r>
          </w:p>
        </w:tc>
      </w:tr>
      <w:tr w:rsidR="00CE53BC" w:rsidRPr="0046221D" w14:paraId="3CCCBD3D" w14:textId="77777777" w:rsidTr="00DF0E93">
        <w:trPr>
          <w:trHeight w:val="3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54C21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CD3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267B02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DCS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9E095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SP7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97A56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716A7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1:100</w:t>
            </w:r>
          </w:p>
        </w:tc>
      </w:tr>
      <w:tr w:rsidR="005F3469" w:rsidRPr="0046221D" w14:paraId="46E991BE" w14:textId="77777777" w:rsidTr="00DF0E93">
        <w:trPr>
          <w:trHeight w:val="3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351C" w14:textId="0988F381" w:rsidR="005F3469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CD45RA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7146" w14:textId="2CB63176" w:rsidR="005F3469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Serotec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7F2C" w14:textId="1ACC5A70" w:rsidR="005F3469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OX-33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6E4F" w14:textId="64944D3D" w:rsidR="005F3469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Mouse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B6CC" w14:textId="2864010B" w:rsidR="005F3469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1:75</w:t>
            </w:r>
          </w:p>
        </w:tc>
      </w:tr>
      <w:tr w:rsidR="00CE53BC" w:rsidRPr="0046221D" w14:paraId="4A2B1E83" w14:textId="77777777" w:rsidTr="00DF0E93">
        <w:trPr>
          <w:trHeight w:val="3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84AC52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CD163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3937E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Serotec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CE0A1C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ED2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6BCFE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Mouse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D60E5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1:500</w:t>
            </w:r>
          </w:p>
        </w:tc>
      </w:tr>
      <w:tr w:rsidR="00CE53BC" w:rsidRPr="005F3469" w14:paraId="02851464" w14:textId="77777777" w:rsidTr="00DF0E93">
        <w:trPr>
          <w:trHeight w:val="3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E61F3" w14:textId="2A82B125" w:rsidR="00CE53BC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Act. </w:t>
            </w:r>
            <w:r w:rsidR="00CE53BC"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Caspase-3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0A9BA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Cell Signaling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C278D" w14:textId="32384902" w:rsidR="00CE53BC" w:rsidRPr="0046221D" w:rsidRDefault="005F3469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P</w:t>
            </w:r>
            <w:r w:rsidR="00CE53BC"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olyclonal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62409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Rabbit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168FA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1:200</w:t>
            </w:r>
          </w:p>
        </w:tc>
      </w:tr>
      <w:tr w:rsidR="00CE53BC" w:rsidRPr="005F3469" w14:paraId="178E2633" w14:textId="77777777" w:rsidTr="00DF0E93">
        <w:trPr>
          <w:trHeight w:val="3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C047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Hep</w:t>
            </w:r>
            <w:proofErr w:type="spellEnd"/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 xml:space="preserve"> Par-1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F31ACD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DAKO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57FA58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OCH1E5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2BF3F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Mouse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9FC3B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1:50</w:t>
            </w:r>
          </w:p>
        </w:tc>
      </w:tr>
    </w:tbl>
    <w:p w14:paraId="435C1FEF" w14:textId="77777777" w:rsidR="00CE53BC" w:rsidRPr="0046221D" w:rsidRDefault="00CE53BC" w:rsidP="00CE53BC">
      <w:pPr>
        <w:rPr>
          <w:sz w:val="22"/>
          <w:szCs w:val="22"/>
          <w:lang w:val="en-US"/>
        </w:rPr>
      </w:pPr>
    </w:p>
    <w:p w14:paraId="4041F083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</w:p>
    <w:p w14:paraId="3CB49F84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sz w:val="22"/>
          <w:szCs w:val="22"/>
          <w:lang w:val="en-US"/>
        </w:rPr>
      </w:pPr>
      <w:proofErr w:type="gramStart"/>
      <w:r w:rsidRPr="0046221D">
        <w:rPr>
          <w:b/>
          <w:sz w:val="22"/>
          <w:szCs w:val="22"/>
          <w:lang w:val="en-US"/>
        </w:rPr>
        <w:t>Supplementary Table S2.</w:t>
      </w:r>
      <w:proofErr w:type="gramEnd"/>
      <w:r w:rsidRPr="0046221D">
        <w:rPr>
          <w:b/>
          <w:sz w:val="22"/>
          <w:szCs w:val="22"/>
          <w:lang w:val="en-US"/>
        </w:rPr>
        <w:t xml:space="preserve"> </w:t>
      </w:r>
      <w:proofErr w:type="gramStart"/>
      <w:r w:rsidRPr="0046221D">
        <w:rPr>
          <w:sz w:val="22"/>
          <w:szCs w:val="22"/>
          <w:lang w:val="en-US"/>
        </w:rPr>
        <w:t>Characterization of human HCC.</w:t>
      </w:r>
      <w:proofErr w:type="gramEnd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1762"/>
        <w:gridCol w:w="992"/>
      </w:tblGrid>
      <w:tr w:rsidR="00CE53BC" w:rsidRPr="0046221D" w14:paraId="37AD81A6" w14:textId="77777777" w:rsidTr="005550B2">
        <w:tc>
          <w:tcPr>
            <w:tcW w:w="648" w:type="dxa"/>
          </w:tcPr>
          <w:p w14:paraId="78586131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762" w:type="dxa"/>
          </w:tcPr>
          <w:p w14:paraId="7195979F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b/>
                <w:sz w:val="22"/>
                <w:szCs w:val="22"/>
                <w:lang w:val="en-US"/>
              </w:rPr>
              <w:t>Tumor size (cm)</w:t>
            </w:r>
          </w:p>
        </w:tc>
        <w:tc>
          <w:tcPr>
            <w:tcW w:w="992" w:type="dxa"/>
          </w:tcPr>
          <w:p w14:paraId="12E6B4A9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b/>
                <w:sz w:val="22"/>
                <w:szCs w:val="22"/>
                <w:lang w:val="en-US"/>
              </w:rPr>
              <w:t>Grading</w:t>
            </w:r>
          </w:p>
        </w:tc>
      </w:tr>
      <w:tr w:rsidR="00CE53BC" w:rsidRPr="0046221D" w14:paraId="6D4807EE" w14:textId="77777777" w:rsidTr="005550B2">
        <w:tc>
          <w:tcPr>
            <w:tcW w:w="648" w:type="dxa"/>
            <w:shd w:val="clear" w:color="auto" w:fill="D9D9D9" w:themeFill="background1" w:themeFillShade="D9"/>
          </w:tcPr>
          <w:p w14:paraId="1653975F" w14:textId="77777777" w:rsidR="00CE53BC" w:rsidRPr="00F91824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1824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1FE2D7BA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4.5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7AC798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G3</w:t>
            </w:r>
          </w:p>
        </w:tc>
      </w:tr>
      <w:tr w:rsidR="00CE53BC" w:rsidRPr="0046221D" w14:paraId="37AEB8DD" w14:textId="77777777" w:rsidTr="005550B2">
        <w:tc>
          <w:tcPr>
            <w:tcW w:w="648" w:type="dxa"/>
          </w:tcPr>
          <w:p w14:paraId="7F651D02" w14:textId="77777777" w:rsidR="00CE53BC" w:rsidRPr="00F91824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1824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762" w:type="dxa"/>
          </w:tcPr>
          <w:p w14:paraId="6516D720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4.2</w:t>
            </w:r>
          </w:p>
        </w:tc>
        <w:tc>
          <w:tcPr>
            <w:tcW w:w="992" w:type="dxa"/>
          </w:tcPr>
          <w:p w14:paraId="3847DB24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G3</w:t>
            </w:r>
          </w:p>
        </w:tc>
      </w:tr>
      <w:tr w:rsidR="00CE53BC" w:rsidRPr="0046221D" w14:paraId="5F3791DD" w14:textId="77777777" w:rsidTr="005550B2">
        <w:tc>
          <w:tcPr>
            <w:tcW w:w="648" w:type="dxa"/>
            <w:shd w:val="clear" w:color="auto" w:fill="D9D9D9" w:themeFill="background1" w:themeFillShade="D9"/>
          </w:tcPr>
          <w:p w14:paraId="44F6C662" w14:textId="77777777" w:rsidR="00CE53BC" w:rsidRPr="00F91824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1824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4A257E1C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63D037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G2</w:t>
            </w:r>
          </w:p>
        </w:tc>
      </w:tr>
      <w:tr w:rsidR="00CE53BC" w:rsidRPr="0046221D" w14:paraId="3E735007" w14:textId="77777777" w:rsidTr="005550B2">
        <w:tc>
          <w:tcPr>
            <w:tcW w:w="648" w:type="dxa"/>
          </w:tcPr>
          <w:p w14:paraId="71E3BADA" w14:textId="77777777" w:rsidR="00CE53BC" w:rsidRPr="00F91824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1824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762" w:type="dxa"/>
          </w:tcPr>
          <w:p w14:paraId="488428CB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</w:tcPr>
          <w:p w14:paraId="111DC74B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G2</w:t>
            </w:r>
          </w:p>
        </w:tc>
      </w:tr>
      <w:tr w:rsidR="00CE53BC" w:rsidRPr="0046221D" w14:paraId="29537CBC" w14:textId="77777777" w:rsidTr="005550B2">
        <w:tc>
          <w:tcPr>
            <w:tcW w:w="648" w:type="dxa"/>
            <w:shd w:val="clear" w:color="auto" w:fill="D9D9D9" w:themeFill="background1" w:themeFillShade="D9"/>
          </w:tcPr>
          <w:p w14:paraId="68D1F6D4" w14:textId="77777777" w:rsidR="00CE53BC" w:rsidRPr="00F91824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1824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59F71E7F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59D529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G3</w:t>
            </w:r>
          </w:p>
        </w:tc>
      </w:tr>
      <w:tr w:rsidR="00CE53BC" w:rsidRPr="0046221D" w14:paraId="6A286664" w14:textId="77777777" w:rsidTr="005550B2">
        <w:tc>
          <w:tcPr>
            <w:tcW w:w="648" w:type="dxa"/>
          </w:tcPr>
          <w:p w14:paraId="02E4EF13" w14:textId="77777777" w:rsidR="00CE53BC" w:rsidRPr="00F91824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1824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762" w:type="dxa"/>
          </w:tcPr>
          <w:p w14:paraId="23B456EA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11.5</w:t>
            </w:r>
          </w:p>
        </w:tc>
        <w:tc>
          <w:tcPr>
            <w:tcW w:w="992" w:type="dxa"/>
          </w:tcPr>
          <w:p w14:paraId="58770C86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G3</w:t>
            </w:r>
          </w:p>
        </w:tc>
      </w:tr>
      <w:tr w:rsidR="00CE53BC" w:rsidRPr="0046221D" w14:paraId="2E0D9D8C" w14:textId="77777777" w:rsidTr="005550B2">
        <w:tc>
          <w:tcPr>
            <w:tcW w:w="648" w:type="dxa"/>
            <w:shd w:val="clear" w:color="auto" w:fill="D9D9D9" w:themeFill="background1" w:themeFillShade="D9"/>
          </w:tcPr>
          <w:p w14:paraId="2AECF1E1" w14:textId="77777777" w:rsidR="00CE53BC" w:rsidRPr="00F91824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91824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14:paraId="5F081FA0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2.5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B223A0" w14:textId="77777777" w:rsidR="00CE53BC" w:rsidRPr="00796167" w:rsidRDefault="00CE53BC" w:rsidP="005550B2">
            <w:pPr>
              <w:tabs>
                <w:tab w:val="left" w:pos="1530"/>
              </w:tabs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796167">
              <w:rPr>
                <w:rFonts w:ascii="Calibri" w:hAnsi="Calibri"/>
                <w:sz w:val="22"/>
                <w:szCs w:val="22"/>
                <w:lang w:val="en-US"/>
              </w:rPr>
              <w:t>G3</w:t>
            </w:r>
          </w:p>
        </w:tc>
      </w:tr>
    </w:tbl>
    <w:p w14:paraId="5B61D754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</w:p>
    <w:p w14:paraId="538E98B1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46221D">
        <w:rPr>
          <w:b/>
          <w:sz w:val="22"/>
          <w:szCs w:val="22"/>
          <w:lang w:val="en-US"/>
        </w:rPr>
        <w:t xml:space="preserve">Supplementary </w:t>
      </w:r>
      <w:proofErr w:type="gramStart"/>
      <w:r w:rsidRPr="0046221D">
        <w:rPr>
          <w:b/>
          <w:sz w:val="22"/>
          <w:szCs w:val="22"/>
          <w:lang w:val="en-US"/>
        </w:rPr>
        <w:t>Table  S3</w:t>
      </w:r>
      <w:proofErr w:type="gramEnd"/>
      <w:r w:rsidRPr="0046221D">
        <w:rPr>
          <w:b/>
          <w:sz w:val="22"/>
          <w:szCs w:val="22"/>
          <w:lang w:val="en-US"/>
        </w:rPr>
        <w:t xml:space="preserve">. </w:t>
      </w:r>
      <w:r w:rsidRPr="0046221D">
        <w:rPr>
          <w:sz w:val="22"/>
          <w:szCs w:val="22"/>
          <w:lang w:val="en-US"/>
        </w:rPr>
        <w:t xml:space="preserve">Number of tumors per analyzed animal of DEN and </w:t>
      </w:r>
      <w:proofErr w:type="spellStart"/>
      <w:r w:rsidRPr="0046221D">
        <w:rPr>
          <w:sz w:val="22"/>
          <w:szCs w:val="22"/>
          <w:lang w:val="en-US"/>
        </w:rPr>
        <w:t>McA</w:t>
      </w:r>
      <w:proofErr w:type="spellEnd"/>
      <w:r w:rsidRPr="0046221D">
        <w:rPr>
          <w:sz w:val="22"/>
          <w:szCs w:val="22"/>
          <w:lang w:val="en-US"/>
        </w:rPr>
        <w:t xml:space="preserve"> model.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00"/>
        <w:gridCol w:w="1300"/>
        <w:gridCol w:w="1220"/>
      </w:tblGrid>
      <w:tr w:rsidR="00CE53BC" w:rsidRPr="0046221D" w14:paraId="3FE5D078" w14:textId="77777777" w:rsidTr="005550B2">
        <w:trPr>
          <w:trHeight w:val="426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9CB6" w14:textId="77777777" w:rsidR="00CE53BC" w:rsidRPr="0046221D" w:rsidRDefault="00CE53BC" w:rsidP="005550B2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  <w:t>DEN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C6DD" w14:textId="77777777" w:rsidR="00CE53BC" w:rsidRPr="0046221D" w:rsidRDefault="00CE53BC" w:rsidP="005550B2">
            <w:pPr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46221D">
              <w:rPr>
                <w:rFonts w:ascii="Calibri" w:eastAsia="Times New Roman" w:hAnsi="Calibri"/>
                <w:b/>
                <w:bCs/>
                <w:sz w:val="22"/>
                <w:szCs w:val="22"/>
                <w:lang w:val="en-US"/>
              </w:rPr>
              <w:t>McA</w:t>
            </w:r>
            <w:proofErr w:type="spellEnd"/>
          </w:p>
        </w:tc>
      </w:tr>
      <w:tr w:rsidR="00CE53BC" w:rsidRPr="0046221D" w14:paraId="287FF8AC" w14:textId="77777777" w:rsidTr="005550B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B70AB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rat ID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E519A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#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D2FA1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rat ID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8ED2F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#</w:t>
            </w:r>
          </w:p>
        </w:tc>
      </w:tr>
      <w:tr w:rsidR="00CE53BC" w:rsidRPr="0046221D" w14:paraId="0D6D5302" w14:textId="77777777" w:rsidTr="005550B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94BB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DB74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12F9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DD1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CE53BC" w:rsidRPr="0046221D" w14:paraId="7B2128FF" w14:textId="77777777" w:rsidTr="005550B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161CF1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11049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A85FA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2B045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17</w:t>
            </w:r>
          </w:p>
        </w:tc>
      </w:tr>
      <w:tr w:rsidR="00CE53BC" w:rsidRPr="0046221D" w14:paraId="09F32D55" w14:textId="77777777" w:rsidTr="005550B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A81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372C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B3FCA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1A0D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CE53BC" w:rsidRPr="0046221D" w14:paraId="3F7E83E9" w14:textId="77777777" w:rsidTr="005550B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EC9BB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747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DD916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EDE5C6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4D364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CE53BC" w:rsidRPr="0046221D" w14:paraId="69D55948" w14:textId="77777777" w:rsidTr="005550B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760A7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CCCC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77C4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62E1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14</w:t>
            </w:r>
          </w:p>
        </w:tc>
      </w:tr>
      <w:tr w:rsidR="00CE53BC" w:rsidRPr="0046221D" w14:paraId="209D2131" w14:textId="77777777" w:rsidTr="005550B2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38CF0FA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7A973940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167C3B12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809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</w:tcPr>
          <w:p w14:paraId="36F2EDE4" w14:textId="77777777" w:rsidR="00CE53BC" w:rsidRPr="0046221D" w:rsidRDefault="00CE53BC" w:rsidP="005550B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46221D"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  <w:t>13</w:t>
            </w:r>
          </w:p>
        </w:tc>
      </w:tr>
    </w:tbl>
    <w:p w14:paraId="470F14B7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</w:p>
    <w:p w14:paraId="289A8800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</w:p>
    <w:p w14:paraId="4B602178" w14:textId="44AF7CF2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  <w:r w:rsidRPr="0046221D">
        <w:rPr>
          <w:b/>
          <w:sz w:val="22"/>
          <w:szCs w:val="22"/>
          <w:lang w:val="en-US"/>
        </w:rPr>
        <w:t xml:space="preserve">Supplementary Fig. S1. </w:t>
      </w:r>
      <w:proofErr w:type="gramStart"/>
      <w:r w:rsidRPr="0046221D">
        <w:rPr>
          <w:b/>
          <w:sz w:val="22"/>
          <w:szCs w:val="22"/>
          <w:lang w:val="en-US"/>
        </w:rPr>
        <w:t>Schematic of study design</w:t>
      </w:r>
      <w:r w:rsidRPr="0046221D">
        <w:rPr>
          <w:sz w:val="22"/>
          <w:szCs w:val="22"/>
          <w:lang w:val="en-US"/>
        </w:rPr>
        <w:t>.</w:t>
      </w:r>
      <w:proofErr w:type="gramEnd"/>
      <w:r w:rsidRPr="0046221D">
        <w:rPr>
          <w:sz w:val="22"/>
          <w:szCs w:val="22"/>
          <w:lang w:val="en-US"/>
        </w:rPr>
        <w:t xml:space="preserve"> (A) </w:t>
      </w:r>
      <w:proofErr w:type="spellStart"/>
      <w:r w:rsidRPr="0046221D">
        <w:rPr>
          <w:sz w:val="22"/>
          <w:szCs w:val="22"/>
          <w:lang w:val="en-US"/>
        </w:rPr>
        <w:t>Orthotopic</w:t>
      </w:r>
      <w:proofErr w:type="spellEnd"/>
      <w:r w:rsidRPr="0046221D">
        <w:rPr>
          <w:sz w:val="22"/>
          <w:szCs w:val="22"/>
          <w:lang w:val="en-US"/>
        </w:rPr>
        <w:t xml:space="preserve"> HCC was induced by 8 weeks of oral DEN feeding (top) or by portal vein infusion of </w:t>
      </w:r>
      <w:proofErr w:type="spellStart"/>
      <w:r w:rsidRPr="0046221D">
        <w:rPr>
          <w:sz w:val="22"/>
          <w:szCs w:val="22"/>
          <w:lang w:val="en-US"/>
        </w:rPr>
        <w:t>McA</w:t>
      </w:r>
      <w:proofErr w:type="spellEnd"/>
      <w:r w:rsidRPr="0046221D">
        <w:rPr>
          <w:sz w:val="22"/>
          <w:szCs w:val="22"/>
          <w:lang w:val="en-US"/>
        </w:rPr>
        <w:t>-RH 7777 cells (bottom). Animals were imaged weekly (DEN) or every 4 days (</w:t>
      </w:r>
      <w:proofErr w:type="spellStart"/>
      <w:r w:rsidRPr="0046221D">
        <w:rPr>
          <w:sz w:val="22"/>
          <w:szCs w:val="22"/>
          <w:lang w:val="en-US"/>
        </w:rPr>
        <w:t>McA</w:t>
      </w:r>
      <w:proofErr w:type="spellEnd"/>
      <w:r w:rsidRPr="0046221D">
        <w:rPr>
          <w:sz w:val="22"/>
          <w:szCs w:val="22"/>
          <w:lang w:val="en-US"/>
        </w:rPr>
        <w:t xml:space="preserve">) by </w:t>
      </w:r>
      <w:proofErr w:type="spellStart"/>
      <w:r w:rsidRPr="0046221D">
        <w:rPr>
          <w:sz w:val="22"/>
          <w:szCs w:val="22"/>
          <w:lang w:val="en-US"/>
        </w:rPr>
        <w:t>multiparametric</w:t>
      </w:r>
      <w:proofErr w:type="spellEnd"/>
      <w:r w:rsidRPr="0046221D">
        <w:rPr>
          <w:sz w:val="22"/>
          <w:szCs w:val="22"/>
          <w:lang w:val="en-US"/>
        </w:rPr>
        <w:t xml:space="preserve"> MRI as indicated (black arrows) and </w:t>
      </w:r>
      <w:r w:rsidRPr="0046221D">
        <w:rPr>
          <w:sz w:val="22"/>
          <w:szCs w:val="22"/>
          <w:lang w:val="en-US"/>
        </w:rPr>
        <w:lastRenderedPageBreak/>
        <w:t xml:space="preserve">received PET scans (asterisk) before euthanasia. (B) </w:t>
      </w:r>
      <w:proofErr w:type="spellStart"/>
      <w:r w:rsidRPr="0046221D">
        <w:rPr>
          <w:sz w:val="22"/>
          <w:szCs w:val="22"/>
          <w:lang w:val="en-US"/>
        </w:rPr>
        <w:t>Sorafenib</w:t>
      </w:r>
      <w:proofErr w:type="spellEnd"/>
      <w:r w:rsidRPr="0046221D">
        <w:rPr>
          <w:sz w:val="22"/>
          <w:szCs w:val="22"/>
          <w:lang w:val="en-US"/>
        </w:rPr>
        <w:t xml:space="preserve"> treatment was </w:t>
      </w:r>
      <w:r>
        <w:rPr>
          <w:sz w:val="22"/>
          <w:szCs w:val="22"/>
          <w:lang w:val="en-US"/>
        </w:rPr>
        <w:t>administered</w:t>
      </w:r>
      <w:r w:rsidRPr="0046221D">
        <w:rPr>
          <w:sz w:val="22"/>
          <w:szCs w:val="22"/>
          <w:lang w:val="en-US"/>
        </w:rPr>
        <w:t xml:space="preserve"> in tumor bearing animals for 14 (DEN) or 7 (</w:t>
      </w:r>
      <w:proofErr w:type="spellStart"/>
      <w:r w:rsidRPr="0046221D">
        <w:rPr>
          <w:sz w:val="22"/>
          <w:szCs w:val="22"/>
          <w:lang w:val="en-US"/>
        </w:rPr>
        <w:t>McA</w:t>
      </w:r>
      <w:proofErr w:type="spellEnd"/>
      <w:r w:rsidRPr="0046221D">
        <w:rPr>
          <w:sz w:val="22"/>
          <w:szCs w:val="22"/>
          <w:lang w:val="en-US"/>
        </w:rPr>
        <w:t xml:space="preserve">) days and </w:t>
      </w:r>
      <w:proofErr w:type="spellStart"/>
      <w:r w:rsidRPr="0046221D">
        <w:rPr>
          <w:sz w:val="22"/>
          <w:szCs w:val="22"/>
          <w:lang w:val="en-US"/>
        </w:rPr>
        <w:t>multiparametric</w:t>
      </w:r>
      <w:proofErr w:type="spellEnd"/>
      <w:r w:rsidRPr="0046221D">
        <w:rPr>
          <w:sz w:val="22"/>
          <w:szCs w:val="22"/>
          <w:lang w:val="en-US"/>
        </w:rPr>
        <w:t xml:space="preserve"> MRI was applied on days -1, 0, 1, 7 and 14</w:t>
      </w:r>
      <w:r w:rsidR="00164873">
        <w:rPr>
          <w:sz w:val="22"/>
          <w:szCs w:val="22"/>
          <w:lang w:val="en-US"/>
        </w:rPr>
        <w:t>, respectively</w:t>
      </w:r>
      <w:r w:rsidRPr="0046221D">
        <w:rPr>
          <w:sz w:val="22"/>
          <w:szCs w:val="22"/>
          <w:lang w:val="en-US"/>
        </w:rPr>
        <w:t xml:space="preserve"> (black arrows).</w:t>
      </w:r>
    </w:p>
    <w:p w14:paraId="41F0DEA5" w14:textId="77777777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sz w:val="22"/>
          <w:szCs w:val="22"/>
          <w:lang w:val="en-US"/>
        </w:rPr>
      </w:pPr>
    </w:p>
    <w:p w14:paraId="509A48EA" w14:textId="1BCFB75B" w:rsidR="00CE53BC" w:rsidRPr="0046221D" w:rsidRDefault="00CE53BC" w:rsidP="00CE53BC">
      <w:pPr>
        <w:spacing w:line="480" w:lineRule="auto"/>
        <w:jc w:val="both"/>
        <w:rPr>
          <w:b/>
          <w:sz w:val="22"/>
          <w:szCs w:val="22"/>
          <w:lang w:val="en-US"/>
        </w:rPr>
      </w:pPr>
      <w:r w:rsidRPr="0046221D">
        <w:rPr>
          <w:b/>
          <w:sz w:val="22"/>
          <w:szCs w:val="22"/>
          <w:lang w:val="en-US"/>
        </w:rPr>
        <w:t>Supplementary Fig. S</w:t>
      </w:r>
      <w:r>
        <w:rPr>
          <w:b/>
          <w:sz w:val="22"/>
          <w:szCs w:val="22"/>
          <w:lang w:val="en-US"/>
        </w:rPr>
        <w:t>2</w:t>
      </w:r>
      <w:r w:rsidRPr="0046221D">
        <w:rPr>
          <w:b/>
          <w:sz w:val="22"/>
          <w:szCs w:val="22"/>
          <w:lang w:val="en-US"/>
        </w:rPr>
        <w:t xml:space="preserve">. </w:t>
      </w:r>
      <w:proofErr w:type="gramStart"/>
      <w:r w:rsidRPr="0046221D">
        <w:rPr>
          <w:b/>
          <w:sz w:val="22"/>
          <w:szCs w:val="22"/>
          <w:lang w:val="en-US"/>
        </w:rPr>
        <w:t xml:space="preserve">Macrophage and T-lymphocyte infiltration in DEN and </w:t>
      </w:r>
      <w:proofErr w:type="spellStart"/>
      <w:r w:rsidRPr="0046221D">
        <w:rPr>
          <w:b/>
          <w:sz w:val="22"/>
          <w:szCs w:val="22"/>
          <w:lang w:val="en-US"/>
        </w:rPr>
        <w:t>McA</w:t>
      </w:r>
      <w:proofErr w:type="spellEnd"/>
      <w:r w:rsidRPr="0046221D">
        <w:rPr>
          <w:b/>
          <w:sz w:val="22"/>
          <w:szCs w:val="22"/>
          <w:lang w:val="en-US"/>
        </w:rPr>
        <w:t xml:space="preserve"> animals.</w:t>
      </w:r>
      <w:proofErr w:type="gramEnd"/>
      <w:r w:rsidRPr="0046221D">
        <w:rPr>
          <w:b/>
          <w:sz w:val="22"/>
          <w:szCs w:val="22"/>
          <w:lang w:val="en-US"/>
        </w:rPr>
        <w:t xml:space="preserve"> </w:t>
      </w:r>
      <w:r w:rsidRPr="0046221D">
        <w:rPr>
          <w:sz w:val="22"/>
          <w:szCs w:val="22"/>
          <w:lang w:val="en-US"/>
        </w:rPr>
        <w:t xml:space="preserve">(A) </w:t>
      </w:r>
      <w:r>
        <w:rPr>
          <w:sz w:val="22"/>
          <w:szCs w:val="22"/>
          <w:lang w:val="en-US"/>
        </w:rPr>
        <w:t>Significantly i</w:t>
      </w:r>
      <w:r w:rsidRPr="0046221D">
        <w:rPr>
          <w:sz w:val="22"/>
          <w:szCs w:val="22"/>
          <w:lang w:val="en-US"/>
        </w:rPr>
        <w:t xml:space="preserve">ncreased </w:t>
      </w:r>
      <w:proofErr w:type="spellStart"/>
      <w:r w:rsidRPr="0046221D">
        <w:rPr>
          <w:sz w:val="22"/>
          <w:szCs w:val="22"/>
          <w:lang w:val="en-US"/>
        </w:rPr>
        <w:t>intralobular</w:t>
      </w:r>
      <w:proofErr w:type="spellEnd"/>
      <w:r w:rsidRPr="0046221D">
        <w:rPr>
          <w:sz w:val="22"/>
          <w:szCs w:val="22"/>
          <w:lang w:val="en-US"/>
        </w:rPr>
        <w:t xml:space="preserve"> infiltration by CD163</w:t>
      </w:r>
      <w:r w:rsidRPr="0046221D">
        <w:rPr>
          <w:sz w:val="22"/>
          <w:szCs w:val="22"/>
          <w:vertAlign w:val="superscript"/>
          <w:lang w:val="en-US"/>
        </w:rPr>
        <w:t>+</w:t>
      </w:r>
      <w:r w:rsidRPr="0046221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Pr="0046221D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c</w:t>
      </w:r>
      <w:r w:rsidRPr="0046221D">
        <w:rPr>
          <w:sz w:val="22"/>
          <w:szCs w:val="22"/>
          <w:lang w:val="en-US"/>
        </w:rPr>
        <w:t xml:space="preserve">rophages </w:t>
      </w:r>
      <w:r w:rsidR="00AD0625"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US"/>
        </w:rPr>
        <w:t xml:space="preserve"> detected </w:t>
      </w:r>
      <w:r w:rsidRPr="0046221D">
        <w:rPr>
          <w:sz w:val="22"/>
          <w:szCs w:val="22"/>
          <w:lang w:val="en-US"/>
        </w:rPr>
        <w:t xml:space="preserve">in DEN fed animals. </w:t>
      </w:r>
      <w:r>
        <w:rPr>
          <w:sz w:val="22"/>
          <w:szCs w:val="22"/>
          <w:lang w:val="en-US"/>
        </w:rPr>
        <w:t xml:space="preserve">Few </w:t>
      </w:r>
      <w:proofErr w:type="spellStart"/>
      <w:r>
        <w:rPr>
          <w:sz w:val="22"/>
          <w:szCs w:val="22"/>
          <w:lang w:val="en-US"/>
        </w:rPr>
        <w:t>i</w:t>
      </w:r>
      <w:r w:rsidRPr="0046221D">
        <w:rPr>
          <w:sz w:val="22"/>
          <w:szCs w:val="22"/>
          <w:lang w:val="en-US"/>
        </w:rPr>
        <w:t>ntratumoral</w:t>
      </w:r>
      <w:proofErr w:type="spellEnd"/>
      <w:r>
        <w:rPr>
          <w:sz w:val="22"/>
          <w:szCs w:val="22"/>
          <w:lang w:val="en-US"/>
        </w:rPr>
        <w:t xml:space="preserve"> macrophages are identified in both models. </w:t>
      </w:r>
      <w:r w:rsidRPr="0046221D">
        <w:rPr>
          <w:sz w:val="22"/>
          <w:szCs w:val="22"/>
          <w:lang w:val="en-US"/>
        </w:rPr>
        <w:t>(B) Significantly increased infiltration by CD3</w:t>
      </w:r>
      <w:r w:rsidRPr="0046221D">
        <w:rPr>
          <w:sz w:val="22"/>
          <w:szCs w:val="22"/>
          <w:vertAlign w:val="superscript"/>
          <w:lang w:val="en-US"/>
        </w:rPr>
        <w:t>+</w:t>
      </w:r>
      <w:r w:rsidRPr="0046221D">
        <w:rPr>
          <w:sz w:val="22"/>
          <w:szCs w:val="22"/>
          <w:lang w:val="en-US"/>
        </w:rPr>
        <w:t xml:space="preserve"> T-</w:t>
      </w:r>
      <w:proofErr w:type="spellStart"/>
      <w:r w:rsidRPr="0046221D">
        <w:rPr>
          <w:sz w:val="22"/>
          <w:szCs w:val="22"/>
          <w:lang w:val="en-US"/>
        </w:rPr>
        <w:t>lymphcytes</w:t>
      </w:r>
      <w:proofErr w:type="spellEnd"/>
      <w:r w:rsidRPr="0046221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is seen </w:t>
      </w:r>
      <w:proofErr w:type="spellStart"/>
      <w:r>
        <w:rPr>
          <w:sz w:val="22"/>
          <w:szCs w:val="22"/>
          <w:lang w:val="en-US"/>
        </w:rPr>
        <w:t>intratumorally</w:t>
      </w:r>
      <w:proofErr w:type="spellEnd"/>
      <w:r>
        <w:rPr>
          <w:sz w:val="22"/>
          <w:szCs w:val="22"/>
          <w:lang w:val="en-US"/>
        </w:rPr>
        <w:t xml:space="preserve"> </w:t>
      </w:r>
      <w:r w:rsidRPr="0046221D">
        <w:rPr>
          <w:sz w:val="22"/>
          <w:szCs w:val="22"/>
          <w:lang w:val="en-US"/>
        </w:rPr>
        <w:t xml:space="preserve">in DEN induced </w:t>
      </w:r>
      <w:r>
        <w:rPr>
          <w:sz w:val="22"/>
          <w:szCs w:val="22"/>
          <w:lang w:val="en-US"/>
        </w:rPr>
        <w:t xml:space="preserve">and </w:t>
      </w:r>
      <w:proofErr w:type="spellStart"/>
      <w:r>
        <w:rPr>
          <w:sz w:val="22"/>
          <w:szCs w:val="22"/>
          <w:lang w:val="en-US"/>
        </w:rPr>
        <w:t>peritumorally</w:t>
      </w:r>
      <w:proofErr w:type="spellEnd"/>
      <w:r>
        <w:rPr>
          <w:sz w:val="22"/>
          <w:szCs w:val="22"/>
          <w:lang w:val="en-US"/>
        </w:rPr>
        <w:t xml:space="preserve"> in </w:t>
      </w:r>
      <w:proofErr w:type="spellStart"/>
      <w:r>
        <w:rPr>
          <w:sz w:val="22"/>
          <w:szCs w:val="22"/>
          <w:lang w:val="en-US"/>
        </w:rPr>
        <w:t>McA</w:t>
      </w:r>
      <w:proofErr w:type="spellEnd"/>
      <w:r>
        <w:rPr>
          <w:sz w:val="22"/>
          <w:szCs w:val="22"/>
          <w:lang w:val="en-US"/>
        </w:rPr>
        <w:t xml:space="preserve"> </w:t>
      </w:r>
      <w:r w:rsidRPr="0046221D">
        <w:rPr>
          <w:sz w:val="22"/>
          <w:szCs w:val="22"/>
          <w:lang w:val="en-US"/>
        </w:rPr>
        <w:t>tumors</w:t>
      </w:r>
      <w:r>
        <w:rPr>
          <w:sz w:val="22"/>
          <w:szCs w:val="22"/>
          <w:lang w:val="en-US"/>
        </w:rPr>
        <w:t>.</w:t>
      </w:r>
    </w:p>
    <w:p w14:paraId="49EC2534" w14:textId="77777777" w:rsidR="00CE53BC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</w:p>
    <w:p w14:paraId="035C20D3" w14:textId="186BAD52" w:rsidR="00CE53BC" w:rsidRPr="0046221D" w:rsidRDefault="00CE53BC" w:rsidP="00CE53BC">
      <w:pPr>
        <w:tabs>
          <w:tab w:val="left" w:pos="1530"/>
        </w:tabs>
        <w:spacing w:line="480" w:lineRule="auto"/>
        <w:jc w:val="both"/>
        <w:rPr>
          <w:b/>
          <w:sz w:val="22"/>
          <w:szCs w:val="22"/>
          <w:lang w:val="en-US"/>
        </w:rPr>
      </w:pPr>
      <w:r w:rsidRPr="0046221D">
        <w:rPr>
          <w:b/>
          <w:sz w:val="22"/>
          <w:szCs w:val="22"/>
          <w:lang w:val="en-US"/>
        </w:rPr>
        <w:t xml:space="preserve">Supplementary </w:t>
      </w:r>
      <w:r>
        <w:rPr>
          <w:b/>
          <w:sz w:val="22"/>
          <w:szCs w:val="22"/>
          <w:lang w:val="en-US"/>
        </w:rPr>
        <w:t>Fig. S3</w:t>
      </w:r>
      <w:r w:rsidRPr="0046221D">
        <w:rPr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Pr="0046221D">
        <w:rPr>
          <w:b/>
          <w:sz w:val="22"/>
          <w:szCs w:val="22"/>
          <w:lang w:val="en-US"/>
        </w:rPr>
        <w:t>aCGH</w:t>
      </w:r>
      <w:proofErr w:type="spellEnd"/>
      <w:proofErr w:type="gramEnd"/>
      <w:r w:rsidRPr="0046221D">
        <w:rPr>
          <w:b/>
          <w:sz w:val="22"/>
          <w:szCs w:val="22"/>
          <w:lang w:val="en-US"/>
        </w:rPr>
        <w:t xml:space="preserve"> analyses.</w:t>
      </w:r>
      <w:r w:rsidRPr="0046221D">
        <w:rPr>
          <w:sz w:val="22"/>
          <w:szCs w:val="22"/>
          <w:lang w:val="en-US"/>
        </w:rPr>
        <w:t xml:space="preserve"> </w:t>
      </w:r>
      <w:r w:rsidR="00883341" w:rsidRPr="00B80195">
        <w:rPr>
          <w:sz w:val="22"/>
          <w:szCs w:val="22"/>
          <w:lang w:val="en-US"/>
        </w:rPr>
        <w:t xml:space="preserve">(A) </w:t>
      </w:r>
      <w:r w:rsidR="005550B2" w:rsidRPr="00244565">
        <w:rPr>
          <w:sz w:val="22"/>
          <w:szCs w:val="22"/>
          <w:lang w:val="en-US"/>
        </w:rPr>
        <w:t xml:space="preserve">Principal component analysis (PCA) of </w:t>
      </w:r>
      <w:proofErr w:type="spellStart"/>
      <w:r w:rsidR="005550B2" w:rsidRPr="00244565">
        <w:rPr>
          <w:sz w:val="22"/>
          <w:szCs w:val="22"/>
          <w:lang w:val="en-US"/>
        </w:rPr>
        <w:t>aCGH</w:t>
      </w:r>
      <w:proofErr w:type="spellEnd"/>
      <w:r w:rsidR="005550B2" w:rsidRPr="00244565">
        <w:rPr>
          <w:sz w:val="22"/>
          <w:szCs w:val="22"/>
          <w:lang w:val="en-US"/>
        </w:rPr>
        <w:t xml:space="preserve"> data revealed that chromosomal aberration patterns are more similar within the group of </w:t>
      </w:r>
      <w:proofErr w:type="spellStart"/>
      <w:r w:rsidR="005550B2" w:rsidRPr="00244565">
        <w:rPr>
          <w:sz w:val="22"/>
          <w:szCs w:val="22"/>
          <w:lang w:val="en-US"/>
        </w:rPr>
        <w:t>McA</w:t>
      </w:r>
      <w:proofErr w:type="spellEnd"/>
      <w:r w:rsidR="005550B2" w:rsidRPr="00244565">
        <w:rPr>
          <w:sz w:val="22"/>
          <w:szCs w:val="22"/>
          <w:lang w:val="en-US"/>
        </w:rPr>
        <w:t xml:space="preserve"> </w:t>
      </w:r>
      <w:proofErr w:type="spellStart"/>
      <w:r w:rsidR="005550B2" w:rsidRPr="00244565">
        <w:rPr>
          <w:sz w:val="22"/>
          <w:szCs w:val="22"/>
          <w:lang w:val="en-US"/>
        </w:rPr>
        <w:t>tumours</w:t>
      </w:r>
      <w:proofErr w:type="spellEnd"/>
      <w:r w:rsidR="005550B2" w:rsidRPr="00244565">
        <w:rPr>
          <w:sz w:val="22"/>
          <w:szCs w:val="22"/>
          <w:lang w:val="en-US"/>
        </w:rPr>
        <w:t xml:space="preserve"> compared to the DEN induced HCCs.</w:t>
      </w:r>
      <w:r w:rsidR="00883341">
        <w:rPr>
          <w:sz w:val="22"/>
          <w:szCs w:val="22"/>
          <w:lang w:val="en-US"/>
        </w:rPr>
        <w:t xml:space="preserve"> </w:t>
      </w:r>
      <w:r w:rsidR="00883341" w:rsidRPr="00B80195">
        <w:rPr>
          <w:sz w:val="22"/>
          <w:szCs w:val="22"/>
          <w:lang w:val="en-US"/>
        </w:rPr>
        <w:t>(B</w:t>
      </w:r>
      <w:r w:rsidR="00B80195">
        <w:rPr>
          <w:sz w:val="22"/>
          <w:szCs w:val="22"/>
          <w:lang w:val="en-US"/>
        </w:rPr>
        <w:t>-</w:t>
      </w:r>
      <w:r w:rsidR="00883341" w:rsidRPr="00B80195">
        <w:rPr>
          <w:sz w:val="22"/>
          <w:szCs w:val="22"/>
          <w:lang w:val="en-US"/>
        </w:rPr>
        <w:t xml:space="preserve">E) </w:t>
      </w:r>
      <w:proofErr w:type="spellStart"/>
      <w:r w:rsidR="00883341" w:rsidRPr="00B80195">
        <w:rPr>
          <w:sz w:val="22"/>
          <w:szCs w:val="22"/>
          <w:lang w:val="en-US"/>
        </w:rPr>
        <w:t>Synteny</w:t>
      </w:r>
      <w:proofErr w:type="spellEnd"/>
      <w:r w:rsidR="00883341" w:rsidRPr="00B80195">
        <w:rPr>
          <w:sz w:val="22"/>
          <w:szCs w:val="22"/>
          <w:lang w:val="en-US"/>
        </w:rPr>
        <w:t xml:space="preserve"> analysis of genomic</w:t>
      </w:r>
      <w:r w:rsidR="000A1477" w:rsidRPr="00B80195">
        <w:rPr>
          <w:sz w:val="22"/>
          <w:szCs w:val="22"/>
          <w:lang w:val="en-US"/>
        </w:rPr>
        <w:t xml:space="preserve"> copy number alterations identified in the DEN untreated (B), DEN treated (C), </w:t>
      </w:r>
      <w:proofErr w:type="spellStart"/>
      <w:r w:rsidR="000A1477" w:rsidRPr="00B80195">
        <w:rPr>
          <w:sz w:val="22"/>
          <w:szCs w:val="22"/>
          <w:lang w:val="en-US"/>
        </w:rPr>
        <w:t>McA</w:t>
      </w:r>
      <w:proofErr w:type="spellEnd"/>
      <w:r w:rsidR="000A1477" w:rsidRPr="00B80195">
        <w:rPr>
          <w:sz w:val="22"/>
          <w:szCs w:val="22"/>
          <w:lang w:val="en-US"/>
        </w:rPr>
        <w:t xml:space="preserve"> untreated (D) and </w:t>
      </w:r>
      <w:proofErr w:type="spellStart"/>
      <w:r w:rsidR="000A1477" w:rsidRPr="00B80195">
        <w:rPr>
          <w:sz w:val="22"/>
          <w:szCs w:val="22"/>
          <w:lang w:val="en-US"/>
        </w:rPr>
        <w:t>McA</w:t>
      </w:r>
      <w:proofErr w:type="spellEnd"/>
      <w:r w:rsidR="000A1477" w:rsidRPr="00B80195">
        <w:rPr>
          <w:sz w:val="22"/>
          <w:szCs w:val="22"/>
          <w:lang w:val="en-US"/>
        </w:rPr>
        <w:t xml:space="preserve"> treated (E) rats (right </w:t>
      </w:r>
      <w:proofErr w:type="spellStart"/>
      <w:r w:rsidR="000A1477" w:rsidRPr="00B80195">
        <w:rPr>
          <w:sz w:val="22"/>
          <w:szCs w:val="22"/>
          <w:lang w:val="en-US"/>
        </w:rPr>
        <w:t>halfs</w:t>
      </w:r>
      <w:proofErr w:type="spellEnd"/>
      <w:r w:rsidR="000A1477" w:rsidRPr="00B80195">
        <w:rPr>
          <w:sz w:val="22"/>
          <w:szCs w:val="22"/>
          <w:lang w:val="en-US"/>
        </w:rPr>
        <w:t xml:space="preserve"> of circles) with genomic copy number profiles from cryptogenic 13 HCCs (</w:t>
      </w:r>
      <w:bookmarkStart w:id="0" w:name="_GoBack"/>
      <w:bookmarkEnd w:id="0"/>
      <w:r w:rsidR="000A1477" w:rsidRPr="00B80195">
        <w:rPr>
          <w:sz w:val="22"/>
          <w:szCs w:val="22"/>
          <w:lang w:val="en-US"/>
        </w:rPr>
        <w:t xml:space="preserve">left </w:t>
      </w:r>
      <w:proofErr w:type="spellStart"/>
      <w:r w:rsidR="000A1477" w:rsidRPr="00B80195">
        <w:rPr>
          <w:sz w:val="22"/>
          <w:szCs w:val="22"/>
          <w:lang w:val="en-US"/>
        </w:rPr>
        <w:t>halfs</w:t>
      </w:r>
      <w:proofErr w:type="spellEnd"/>
      <w:r w:rsidR="000A1477" w:rsidRPr="00B80195">
        <w:rPr>
          <w:sz w:val="22"/>
          <w:szCs w:val="22"/>
          <w:lang w:val="en-US"/>
        </w:rPr>
        <w:t xml:space="preserve"> of circles). </w:t>
      </w:r>
      <w:proofErr w:type="gramStart"/>
      <w:r w:rsidR="000A1477" w:rsidRPr="00B80195">
        <w:rPr>
          <w:sz w:val="22"/>
          <w:szCs w:val="22"/>
          <w:lang w:val="en-US"/>
        </w:rPr>
        <w:t>Proportions of copy number gains in the rat model and human data group</w:t>
      </w:r>
      <w:r w:rsidR="00E305CE" w:rsidRPr="00B80195">
        <w:rPr>
          <w:sz w:val="22"/>
          <w:szCs w:val="22"/>
          <w:lang w:val="en-US"/>
        </w:rPr>
        <w:t>, respectively,</w:t>
      </w:r>
      <w:r w:rsidR="000A1477" w:rsidRPr="00B80195">
        <w:rPr>
          <w:sz w:val="22"/>
          <w:szCs w:val="22"/>
          <w:lang w:val="en-US"/>
        </w:rPr>
        <w:t xml:space="preserve"> are indicated by blue bars and copy losses</w:t>
      </w:r>
      <w:proofErr w:type="gramEnd"/>
      <w:r w:rsidR="000A1477" w:rsidRPr="00B80195">
        <w:rPr>
          <w:sz w:val="22"/>
          <w:szCs w:val="22"/>
          <w:lang w:val="en-US"/>
        </w:rPr>
        <w:t xml:space="preserve"> by red bars. Copy number regions detected in the r</w:t>
      </w:r>
      <w:r w:rsidR="00E305CE" w:rsidRPr="00B80195">
        <w:rPr>
          <w:sz w:val="22"/>
          <w:szCs w:val="22"/>
          <w:lang w:val="en-US"/>
        </w:rPr>
        <w:t>at</w:t>
      </w:r>
      <w:r w:rsidR="000A1477" w:rsidRPr="00B80195">
        <w:rPr>
          <w:sz w:val="22"/>
          <w:szCs w:val="22"/>
          <w:lang w:val="en-US"/>
        </w:rPr>
        <w:t xml:space="preserve"> model </w:t>
      </w:r>
      <w:r w:rsidR="00E305CE" w:rsidRPr="00B80195">
        <w:rPr>
          <w:sz w:val="22"/>
          <w:szCs w:val="22"/>
          <w:lang w:val="en-US"/>
        </w:rPr>
        <w:t xml:space="preserve">are connected to the appropriate </w:t>
      </w:r>
      <w:proofErr w:type="spellStart"/>
      <w:r w:rsidR="00E305CE" w:rsidRPr="00B80195">
        <w:rPr>
          <w:sz w:val="22"/>
          <w:szCs w:val="22"/>
          <w:lang w:val="en-US"/>
        </w:rPr>
        <w:t>syntenic</w:t>
      </w:r>
      <w:proofErr w:type="spellEnd"/>
      <w:r w:rsidR="00E305CE" w:rsidRPr="00B80195">
        <w:rPr>
          <w:sz w:val="22"/>
          <w:szCs w:val="22"/>
          <w:lang w:val="en-US"/>
        </w:rPr>
        <w:t xml:space="preserve"> regions of the human genome by randomly colored lines.</w:t>
      </w:r>
      <w:r w:rsidR="00E305CE">
        <w:rPr>
          <w:b/>
          <w:sz w:val="22"/>
          <w:szCs w:val="22"/>
          <w:lang w:val="en-US"/>
        </w:rPr>
        <w:t xml:space="preserve"> </w:t>
      </w:r>
    </w:p>
    <w:p w14:paraId="0063E578" w14:textId="77777777" w:rsidR="00CE53BC" w:rsidRPr="0046221D" w:rsidRDefault="00CE53BC" w:rsidP="00CE53BC">
      <w:pPr>
        <w:spacing w:line="360" w:lineRule="auto"/>
        <w:jc w:val="both"/>
        <w:rPr>
          <w:b/>
          <w:sz w:val="22"/>
          <w:szCs w:val="22"/>
          <w:lang w:val="en-US"/>
        </w:rPr>
      </w:pPr>
    </w:p>
    <w:p w14:paraId="1366E385" w14:textId="77777777" w:rsidR="00CE53BC" w:rsidRPr="0046221D" w:rsidRDefault="00CE53BC" w:rsidP="00CE53BC">
      <w:pPr>
        <w:spacing w:line="360" w:lineRule="auto"/>
        <w:jc w:val="both"/>
        <w:rPr>
          <w:b/>
          <w:sz w:val="22"/>
          <w:szCs w:val="22"/>
          <w:lang w:val="en-US"/>
        </w:rPr>
      </w:pPr>
    </w:p>
    <w:p w14:paraId="6D331E43" w14:textId="77777777" w:rsidR="00CE53BC" w:rsidRPr="0046221D" w:rsidRDefault="00CE53BC" w:rsidP="00CE53BC">
      <w:pPr>
        <w:spacing w:line="480" w:lineRule="auto"/>
        <w:jc w:val="both"/>
        <w:rPr>
          <w:sz w:val="22"/>
          <w:szCs w:val="22"/>
          <w:lang w:val="en-US"/>
        </w:rPr>
      </w:pPr>
      <w:r w:rsidRPr="0046221D">
        <w:rPr>
          <w:b/>
          <w:sz w:val="22"/>
          <w:szCs w:val="22"/>
          <w:lang w:val="en-US"/>
        </w:rPr>
        <w:t xml:space="preserve">Supplementary Fig. S4. </w:t>
      </w:r>
      <w:proofErr w:type="gramStart"/>
      <w:r w:rsidRPr="0046221D">
        <w:rPr>
          <w:b/>
          <w:sz w:val="22"/>
          <w:szCs w:val="22"/>
          <w:lang w:val="en-US"/>
        </w:rPr>
        <w:t>Tumor vascularization and necrosis in human HCC.</w:t>
      </w:r>
      <w:proofErr w:type="gramEnd"/>
      <w:r w:rsidRPr="0046221D">
        <w:rPr>
          <w:b/>
          <w:sz w:val="22"/>
          <w:szCs w:val="22"/>
          <w:lang w:val="en-US"/>
        </w:rPr>
        <w:t xml:space="preserve"> </w:t>
      </w:r>
      <w:r w:rsidRPr="0046221D">
        <w:rPr>
          <w:sz w:val="22"/>
          <w:szCs w:val="22"/>
          <w:lang w:val="en-US"/>
        </w:rPr>
        <w:t>(A)</w:t>
      </w:r>
      <w:r w:rsidRPr="0046221D">
        <w:rPr>
          <w:b/>
          <w:sz w:val="22"/>
          <w:szCs w:val="22"/>
          <w:lang w:val="en-US"/>
        </w:rPr>
        <w:t xml:space="preserve"> </w:t>
      </w:r>
      <w:proofErr w:type="spellStart"/>
      <w:r w:rsidRPr="0046221D">
        <w:rPr>
          <w:sz w:val="22"/>
          <w:szCs w:val="22"/>
          <w:lang w:val="en-US"/>
        </w:rPr>
        <w:t>Semiquantitative</w:t>
      </w:r>
      <w:proofErr w:type="spellEnd"/>
      <w:r w:rsidRPr="0046221D">
        <w:rPr>
          <w:sz w:val="22"/>
          <w:szCs w:val="22"/>
          <w:lang w:val="en-US"/>
        </w:rPr>
        <w:t xml:space="preserve"> analysis of</w:t>
      </w:r>
      <w:r w:rsidRPr="0046221D">
        <w:rPr>
          <w:b/>
          <w:sz w:val="22"/>
          <w:szCs w:val="22"/>
          <w:lang w:val="en-US"/>
        </w:rPr>
        <w:t xml:space="preserve"> </w:t>
      </w:r>
      <w:r w:rsidRPr="0046221D">
        <w:rPr>
          <w:sz w:val="22"/>
          <w:szCs w:val="22"/>
          <w:lang w:val="en-US"/>
        </w:rPr>
        <w:t xml:space="preserve">vessel lumen area in human HCC reveals a larger vessel lumen area than in </w:t>
      </w:r>
      <w:proofErr w:type="spellStart"/>
      <w:r w:rsidRPr="0046221D">
        <w:rPr>
          <w:sz w:val="22"/>
          <w:szCs w:val="22"/>
          <w:lang w:val="en-US"/>
        </w:rPr>
        <w:t>McA</w:t>
      </w:r>
      <w:proofErr w:type="spellEnd"/>
      <w:r w:rsidRPr="0046221D">
        <w:rPr>
          <w:sz w:val="22"/>
          <w:szCs w:val="22"/>
          <w:lang w:val="en-US"/>
        </w:rPr>
        <w:t xml:space="preserve"> tumors. (B) </w:t>
      </w:r>
      <w:proofErr w:type="spellStart"/>
      <w:r w:rsidRPr="0046221D">
        <w:rPr>
          <w:sz w:val="22"/>
          <w:szCs w:val="22"/>
          <w:lang w:val="en-US"/>
        </w:rPr>
        <w:t>Semiquantitative</w:t>
      </w:r>
      <w:proofErr w:type="spellEnd"/>
      <w:r w:rsidRPr="0046221D">
        <w:rPr>
          <w:sz w:val="22"/>
          <w:szCs w:val="22"/>
          <w:lang w:val="en-US"/>
        </w:rPr>
        <w:t xml:space="preserve"> analysis of the relative necrosis area in human tumors reveals less necrosis compared to </w:t>
      </w:r>
      <w:proofErr w:type="spellStart"/>
      <w:r w:rsidRPr="0046221D">
        <w:rPr>
          <w:sz w:val="22"/>
          <w:szCs w:val="22"/>
          <w:lang w:val="en-US"/>
        </w:rPr>
        <w:t>McA</w:t>
      </w:r>
      <w:proofErr w:type="spellEnd"/>
      <w:r w:rsidRPr="0046221D">
        <w:rPr>
          <w:sz w:val="22"/>
          <w:szCs w:val="22"/>
          <w:lang w:val="en-US"/>
        </w:rPr>
        <w:t xml:space="preserve"> tumors. Mean ± SEM and </w:t>
      </w:r>
      <w:r w:rsidRPr="0046221D">
        <w:rPr>
          <w:i/>
          <w:sz w:val="22"/>
          <w:szCs w:val="22"/>
          <w:lang w:val="en-US"/>
        </w:rPr>
        <w:t>p</w:t>
      </w:r>
      <w:r w:rsidRPr="0046221D">
        <w:rPr>
          <w:sz w:val="22"/>
          <w:szCs w:val="22"/>
          <w:lang w:val="en-US"/>
        </w:rPr>
        <w:t xml:space="preserve"> values are displayed. (C) Representative photomicrograph and mask of CD34 antibody staining. Scale bar 100 µm.</w:t>
      </w:r>
    </w:p>
    <w:p w14:paraId="5D1CDA58" w14:textId="77777777" w:rsidR="00DE434A" w:rsidRDefault="00DE434A"/>
    <w:sectPr w:rsidR="00DE434A" w:rsidSect="005550B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8027F" w14:textId="77777777" w:rsidR="000C32A0" w:rsidRDefault="000C32A0">
      <w:r>
        <w:separator/>
      </w:r>
    </w:p>
  </w:endnote>
  <w:endnote w:type="continuationSeparator" w:id="0">
    <w:p w14:paraId="55EC2160" w14:textId="77777777" w:rsidR="000C32A0" w:rsidRDefault="000C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61FEF" w14:textId="77777777" w:rsidR="000C32A0" w:rsidRDefault="000C32A0" w:rsidP="005550B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3A23D84F" w14:textId="77777777" w:rsidR="000C32A0" w:rsidRDefault="000C32A0" w:rsidP="005550B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DD83" w14:textId="77777777" w:rsidR="000C32A0" w:rsidRDefault="000C32A0" w:rsidP="005550B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14480" w14:textId="77777777" w:rsidR="000C32A0" w:rsidRDefault="000C32A0">
      <w:r>
        <w:separator/>
      </w:r>
    </w:p>
  </w:footnote>
  <w:footnote w:type="continuationSeparator" w:id="0">
    <w:p w14:paraId="34BD50B8" w14:textId="77777777" w:rsidR="000C32A0" w:rsidRDefault="000C3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2A27" w14:textId="77777777" w:rsidR="000C32A0" w:rsidRDefault="000C32A0" w:rsidP="005550B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2917E7" w14:textId="77777777" w:rsidR="000C32A0" w:rsidRDefault="000C32A0" w:rsidP="005550B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57DD0" w14:textId="77777777" w:rsidR="000C32A0" w:rsidRDefault="000C32A0" w:rsidP="005550B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1DB7">
      <w:rPr>
        <w:rStyle w:val="Seitenzahl"/>
        <w:noProof/>
      </w:rPr>
      <w:t>1</w:t>
    </w:r>
    <w:r>
      <w:rPr>
        <w:rStyle w:val="Seitenzahl"/>
      </w:rPr>
      <w:fldChar w:fldCharType="end"/>
    </w:r>
  </w:p>
  <w:p w14:paraId="1898800D" w14:textId="77777777" w:rsidR="000C32A0" w:rsidRDefault="000C32A0" w:rsidP="005550B2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BC"/>
    <w:rsid w:val="000A1477"/>
    <w:rsid w:val="000B44B0"/>
    <w:rsid w:val="000C32A0"/>
    <w:rsid w:val="00164873"/>
    <w:rsid w:val="004E7147"/>
    <w:rsid w:val="005550B2"/>
    <w:rsid w:val="005F3469"/>
    <w:rsid w:val="00883341"/>
    <w:rsid w:val="008B349E"/>
    <w:rsid w:val="00904654"/>
    <w:rsid w:val="009735DD"/>
    <w:rsid w:val="00981DB7"/>
    <w:rsid w:val="00A93F07"/>
    <w:rsid w:val="00AD0625"/>
    <w:rsid w:val="00B80195"/>
    <w:rsid w:val="00CE53BC"/>
    <w:rsid w:val="00DE434A"/>
    <w:rsid w:val="00DF0E93"/>
    <w:rsid w:val="00E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89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3BC"/>
    <w:rPr>
      <w:rFonts w:ascii="Times New Roman" w:eastAsia="MS Minngs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CE53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53BC"/>
    <w:rPr>
      <w:rFonts w:ascii="Times New Roman" w:eastAsia="MS Minngs" w:hAnsi="Times New Roman" w:cs="Times New Roman"/>
    </w:rPr>
  </w:style>
  <w:style w:type="character" w:styleId="Seitenzahl">
    <w:name w:val="page number"/>
    <w:basedOn w:val="Absatzstandardschriftart"/>
    <w:uiPriority w:val="99"/>
    <w:rsid w:val="00CE53BC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CE53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53BC"/>
    <w:rPr>
      <w:rFonts w:ascii="Times New Roman" w:eastAsia="MS Minngs" w:hAnsi="Times New Roman" w:cs="Times New Roman"/>
    </w:rPr>
  </w:style>
  <w:style w:type="table" w:styleId="Tabellenraster">
    <w:name w:val="Table Grid"/>
    <w:basedOn w:val="NormaleTabelle"/>
    <w:uiPriority w:val="59"/>
    <w:rsid w:val="00CE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550B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5550B2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550B2"/>
    <w:rPr>
      <w:rFonts w:ascii="Times New Roman" w:eastAsia="MS Minngs" w:hAnsi="Times New Roman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50B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50B2"/>
    <w:rPr>
      <w:rFonts w:ascii="Lucida Grande" w:eastAsia="MS Minng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3BC"/>
    <w:rPr>
      <w:rFonts w:ascii="Times New Roman" w:eastAsia="MS Minngs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rsid w:val="00CE53B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53BC"/>
    <w:rPr>
      <w:rFonts w:ascii="Times New Roman" w:eastAsia="MS Minngs" w:hAnsi="Times New Roman" w:cs="Times New Roman"/>
    </w:rPr>
  </w:style>
  <w:style w:type="character" w:styleId="Seitenzahl">
    <w:name w:val="page number"/>
    <w:basedOn w:val="Absatzstandardschriftart"/>
    <w:uiPriority w:val="99"/>
    <w:rsid w:val="00CE53BC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CE53B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53BC"/>
    <w:rPr>
      <w:rFonts w:ascii="Times New Roman" w:eastAsia="MS Minngs" w:hAnsi="Times New Roman" w:cs="Times New Roman"/>
    </w:rPr>
  </w:style>
  <w:style w:type="table" w:styleId="Tabellenraster">
    <w:name w:val="Table Grid"/>
    <w:basedOn w:val="NormaleTabelle"/>
    <w:uiPriority w:val="59"/>
    <w:rsid w:val="00CE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550B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unhideWhenUsed/>
    <w:rsid w:val="005550B2"/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550B2"/>
    <w:rPr>
      <w:rFonts w:ascii="Times New Roman" w:eastAsia="MS Minngs" w:hAnsi="Times New Roman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50B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50B2"/>
    <w:rPr>
      <w:rFonts w:ascii="Lucida Grande" w:eastAsia="MS Minng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Rickmer Braren</dc:creator>
  <cp:lastModifiedBy>Rickmer Braren</cp:lastModifiedBy>
  <cp:revision>4</cp:revision>
  <dcterms:created xsi:type="dcterms:W3CDTF">2015-03-25T20:34:00Z</dcterms:created>
  <dcterms:modified xsi:type="dcterms:W3CDTF">2015-03-25T21:36:00Z</dcterms:modified>
</cp:coreProperties>
</file>