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B" w:rsidRPr="00D70FD6" w:rsidRDefault="009371DD" w:rsidP="00613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61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A3">
        <w:rPr>
          <w:rFonts w:ascii="Times New Roman" w:hAnsi="Times New Roman" w:cs="Times New Roman"/>
          <w:b/>
          <w:sz w:val="24"/>
          <w:szCs w:val="24"/>
        </w:rPr>
        <w:t>S</w:t>
      </w:r>
      <w:r w:rsidR="006135DB">
        <w:rPr>
          <w:rFonts w:ascii="Times New Roman" w:hAnsi="Times New Roman" w:cs="Times New Roman"/>
          <w:b/>
          <w:sz w:val="24"/>
          <w:szCs w:val="24"/>
        </w:rPr>
        <w:t>1</w:t>
      </w:r>
      <w:r w:rsidR="006135DB" w:rsidRPr="00312A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1EB">
        <w:rPr>
          <w:rFonts w:ascii="Times New Roman" w:hAnsi="Times New Roman" w:cs="Times New Roman"/>
          <w:b/>
          <w:sz w:val="24"/>
          <w:szCs w:val="24"/>
        </w:rPr>
        <w:t>G</w:t>
      </w:r>
      <w:r w:rsidR="006135DB" w:rsidRPr="00312ACE">
        <w:rPr>
          <w:rFonts w:ascii="Times New Roman" w:hAnsi="Times New Roman" w:cs="Times New Roman"/>
          <w:b/>
          <w:sz w:val="24"/>
          <w:szCs w:val="24"/>
        </w:rPr>
        <w:t>enes selected</w:t>
      </w:r>
      <w:r w:rsidR="00ED7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5DB" w:rsidRPr="00312ACE">
        <w:rPr>
          <w:rFonts w:ascii="Times New Roman" w:hAnsi="Times New Roman" w:cs="Times New Roman"/>
          <w:b/>
          <w:sz w:val="24"/>
          <w:szCs w:val="24"/>
        </w:rPr>
        <w:t>for multiplex qRT-PCR</w:t>
      </w:r>
      <w:r w:rsidR="007411EB">
        <w:rPr>
          <w:rFonts w:ascii="Times New Roman" w:hAnsi="Times New Roman" w:cs="Times New Roman"/>
          <w:b/>
          <w:sz w:val="24"/>
          <w:szCs w:val="24"/>
        </w:rPr>
        <w:t xml:space="preserve"> array</w:t>
      </w:r>
      <w:r w:rsidR="006135DB" w:rsidRPr="00312ACE">
        <w:rPr>
          <w:rFonts w:ascii="Times New Roman" w:hAnsi="Times New Roman" w:cs="Times New Roman"/>
          <w:sz w:val="24"/>
          <w:szCs w:val="24"/>
        </w:rPr>
        <w:t xml:space="preserve"> </w:t>
      </w:r>
      <w:r w:rsidR="006135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3870"/>
        <w:gridCol w:w="2340"/>
      </w:tblGrid>
      <w:tr w:rsidR="000E22DA" w:rsidRPr="002F4A8D" w:rsidTr="00C60E00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Symbol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 RefSeq</w:t>
            </w:r>
          </w:p>
        </w:tc>
      </w:tr>
      <w:tr w:rsidR="00AA107A" w:rsidRPr="002F4A8D" w:rsidTr="00C60E00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07A" w:rsidRPr="00AA107A" w:rsidRDefault="00AA107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ARG1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07A" w:rsidRPr="00AA107A" w:rsidRDefault="00AA107A" w:rsidP="00AA1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arginase 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07A" w:rsidRPr="00AA107A" w:rsidRDefault="00AA107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NM_000045.3</w:t>
            </w:r>
          </w:p>
        </w:tc>
      </w:tr>
      <w:tr w:rsidR="00B45A54" w:rsidRPr="002F4A8D" w:rsidTr="00C60E00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A54" w:rsidRPr="002F4A8D" w:rsidRDefault="00B45A54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CCL5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A54" w:rsidRPr="002F4A8D" w:rsidRDefault="00B45A54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chemokine (C-C motif) ligand 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A54" w:rsidRPr="002F4A8D" w:rsidRDefault="00B45A54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NM_002985.2</w:t>
            </w:r>
          </w:p>
        </w:tc>
      </w:tr>
      <w:tr w:rsidR="00F94DF8" w:rsidRPr="002F4A8D" w:rsidTr="00C60E00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DF8" w:rsidRPr="002F4A8D" w:rsidRDefault="00F94DF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CD1A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DF8" w:rsidRPr="002F4A8D" w:rsidRDefault="00F94DF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CD1a molecule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DF8" w:rsidRPr="002F4A8D" w:rsidRDefault="00F94DF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NM_001763.2</w:t>
            </w:r>
          </w:p>
        </w:tc>
      </w:tr>
      <w:tr w:rsidR="000E22DA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 molecule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NM_000616.4</w:t>
            </w:r>
          </w:p>
        </w:tc>
      </w:tr>
      <w:tr w:rsidR="002A28E7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E7" w:rsidRPr="002F4A8D" w:rsidRDefault="002A28E7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E7" w:rsidRPr="002F4A8D" w:rsidRDefault="002A28E7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CD8a molecule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E7" w:rsidRPr="002F4A8D" w:rsidRDefault="002A28E7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NM_001768.6</w:t>
            </w:r>
          </w:p>
        </w:tc>
      </w:tr>
      <w:tr w:rsidR="000E22DA" w:rsidRPr="002F4A8D" w:rsidTr="00C60E00">
        <w:trPr>
          <w:trHeight w:val="1492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CD74 molecule, major histocompatibility complex, class II invariant chain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NM_004355.3</w:t>
            </w:r>
          </w:p>
        </w:tc>
      </w:tr>
      <w:tr w:rsidR="000E22DA" w:rsidRPr="002F4A8D" w:rsidTr="00C60E00">
        <w:trPr>
          <w:trHeight w:val="115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CD79A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CD79a molecule, immunoglobulin-associated alpha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NM_001783.3</w:t>
            </w:r>
          </w:p>
        </w:tc>
      </w:tr>
      <w:tr w:rsidR="000E22DA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CD83 molecule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NM_001251901.1</w:t>
            </w:r>
          </w:p>
        </w:tc>
      </w:tr>
      <w:tr w:rsidR="00DB0E8D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E8D" w:rsidRPr="002F4A8D" w:rsidRDefault="00DB0E8D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E8D" w:rsidRPr="002F4A8D" w:rsidRDefault="00DB0E8D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CD84 molecule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E8D" w:rsidRPr="002F4A8D" w:rsidRDefault="00DB0E8D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NM_003874.3</w:t>
            </w:r>
          </w:p>
        </w:tc>
      </w:tr>
      <w:tr w:rsidR="002B043E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CD163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CD163 molecule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NM_203416.2</w:t>
            </w:r>
          </w:p>
        </w:tc>
      </w:tr>
      <w:tr w:rsidR="002B043E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CD274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CD274 molecule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(PD-L1)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2F4A8D" w:rsidRDefault="002B043E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NM_014143.3</w:t>
            </w:r>
          </w:p>
        </w:tc>
      </w:tr>
      <w:tr w:rsidR="000E22DA" w:rsidRPr="002F4A8D" w:rsidTr="00C60E00">
        <w:trPr>
          <w:trHeight w:val="133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CXCL1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chemokine (C-X-C motif) ligand 1 (melanoma growth stimulating activity, alpha)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NM_001511.2</w:t>
            </w:r>
          </w:p>
        </w:tc>
      </w:tr>
      <w:tr w:rsidR="000E22DA" w:rsidRPr="002F4A8D" w:rsidTr="00C60E00">
        <w:trPr>
          <w:trHeight w:val="127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CXCR4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chemokine (C-X-C motif) receptor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NM_001008540.1</w:t>
            </w:r>
          </w:p>
        </w:tc>
      </w:tr>
      <w:tr w:rsidR="000E22DA" w:rsidRPr="002F4A8D" w:rsidTr="00C60E00">
        <w:trPr>
          <w:trHeight w:val="96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EGR2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growth response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NM_000399.3</w:t>
            </w:r>
          </w:p>
        </w:tc>
      </w:tr>
      <w:tr w:rsidR="000E22DA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FOXP3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forkhead box P3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NM_014009.3</w:t>
            </w:r>
          </w:p>
        </w:tc>
      </w:tr>
      <w:tr w:rsidR="000E22DA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GNLY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granulysin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NM_006433.3</w:t>
            </w:r>
          </w:p>
        </w:tc>
      </w:tr>
      <w:tr w:rsidR="000E22DA" w:rsidRPr="002F4A8D" w:rsidTr="00C60E00">
        <w:trPr>
          <w:trHeight w:val="1348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GZMB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granzyme B (granzyme 2, cytotoxic T-lymphocyte-associated serine esterase 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DA" w:rsidRPr="002F4A8D" w:rsidRDefault="000E22DA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NM_004131.4</w:t>
            </w:r>
          </w:p>
        </w:tc>
      </w:tr>
      <w:tr w:rsidR="002F3078" w:rsidRPr="002F4A8D" w:rsidTr="00C60E00">
        <w:trPr>
          <w:trHeight w:val="1348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HLA-DRA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major histocompatibility complex, class II, DR alpha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NM_019111.4</w:t>
            </w:r>
          </w:p>
        </w:tc>
      </w:tr>
      <w:tr w:rsidR="003809C1" w:rsidRPr="002F4A8D" w:rsidTr="00C60E00">
        <w:trPr>
          <w:trHeight w:val="96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ICOS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inducible T-cell co-stimulator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NM_012092.3</w:t>
            </w:r>
          </w:p>
        </w:tc>
      </w:tr>
      <w:tr w:rsidR="002F3078" w:rsidRPr="002F4A8D" w:rsidTr="00C60E00">
        <w:trPr>
          <w:trHeight w:val="88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ICOSLG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inducible T-cell co-stimulator ligand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NM_015259.4</w:t>
            </w:r>
          </w:p>
        </w:tc>
      </w:tr>
      <w:tr w:rsidR="003809C1" w:rsidRPr="002F4A8D" w:rsidTr="00C60E00">
        <w:trPr>
          <w:trHeight w:val="79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IDO1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indoleamine 2,3-dioxygenase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NM_002164.5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IFNA1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interferon, alpha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NM_024013.1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interferon, gamma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NM_000619.2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1, alpha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NM_000575.3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1, beta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NM_000576.2</w:t>
            </w:r>
          </w:p>
        </w:tc>
      </w:tr>
      <w:tr w:rsidR="00B24D3C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NM_000586.3</w:t>
            </w:r>
          </w:p>
        </w:tc>
      </w:tr>
      <w:tr w:rsidR="00B24D3C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NM_000589.3</w:t>
            </w:r>
          </w:p>
        </w:tc>
      </w:tr>
      <w:tr w:rsidR="00B24D3C" w:rsidRPr="002F4A8D" w:rsidTr="00C60E00">
        <w:trPr>
          <w:trHeight w:val="91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6 (interferon, beta 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NM_000600.3</w:t>
            </w:r>
          </w:p>
        </w:tc>
      </w:tr>
      <w:tr w:rsidR="00B24D3C" w:rsidRPr="002F4A8D" w:rsidTr="00C60E00">
        <w:trPr>
          <w:trHeight w:val="91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IL6R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6 receptor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3C" w:rsidRPr="002F4A8D" w:rsidRDefault="00B24D3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NM_000565.3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NM_000572.2</w:t>
            </w:r>
          </w:p>
        </w:tc>
      </w:tr>
      <w:tr w:rsidR="00AE383B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83B" w:rsidRPr="002F4A8D" w:rsidRDefault="00AE383B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83B" w:rsidRPr="002F4A8D" w:rsidRDefault="00AE383B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10 receptor, beta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83B" w:rsidRPr="002F4A8D" w:rsidRDefault="00AE383B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NM_000628.3</w:t>
            </w:r>
          </w:p>
        </w:tc>
      </w:tr>
      <w:tr w:rsidR="002F3078" w:rsidRPr="002F4A8D" w:rsidTr="00C60E00">
        <w:trPr>
          <w:trHeight w:val="1042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IL12A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12A (natural killer cell stimulatory factor 1, p35)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NM_000882.3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NM_002188.2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IL15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interleukin 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NM_172175.2</w:t>
            </w:r>
          </w:p>
        </w:tc>
      </w:tr>
      <w:tr w:rsidR="00BA6AFC" w:rsidRPr="002F4A8D" w:rsidTr="00C60E00">
        <w:trPr>
          <w:trHeight w:val="83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17A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NM_002190.2</w:t>
            </w:r>
          </w:p>
        </w:tc>
      </w:tr>
      <w:tr w:rsidR="002F3078" w:rsidRPr="002F4A8D" w:rsidTr="00C60E00">
        <w:trPr>
          <w:trHeight w:val="87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IL17RC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17 receptor 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NM_032732.5</w:t>
            </w:r>
          </w:p>
        </w:tc>
      </w:tr>
      <w:tr w:rsidR="002F3078" w:rsidRPr="002F4A8D" w:rsidTr="00C60E00">
        <w:trPr>
          <w:trHeight w:val="106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18 (interferon-gamma-inducing factor)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NM_001562.3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NM_021803.3</w:t>
            </w:r>
          </w:p>
        </w:tc>
      </w:tr>
      <w:tr w:rsidR="00BA6AFC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NM_020525.4</w:t>
            </w:r>
          </w:p>
        </w:tc>
      </w:tr>
      <w:tr w:rsidR="002F3078" w:rsidRPr="002F4A8D" w:rsidTr="00C60E00">
        <w:trPr>
          <w:trHeight w:val="898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IL22RA2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22 receptor, alpha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NM_181309.1</w:t>
            </w:r>
          </w:p>
        </w:tc>
      </w:tr>
      <w:tr w:rsidR="00BA6AFC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IL23A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23, alpha subunit p19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NM_016584.2</w:t>
            </w:r>
          </w:p>
        </w:tc>
      </w:tr>
      <w:tr w:rsidR="002F3078" w:rsidRPr="002F4A8D" w:rsidTr="00C60E00">
        <w:trPr>
          <w:trHeight w:val="84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IL23R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interleukin 23 receptor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NM_144701.2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IL32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interleukin 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NM_004221.4</w:t>
            </w:r>
          </w:p>
        </w:tc>
      </w:tr>
      <w:tr w:rsidR="003809C1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ITGAL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integrin, alpha L, antigen CD11A (p180)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9C1" w:rsidRPr="002F4A8D" w:rsidRDefault="003809C1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NM_002209.2</w:t>
            </w:r>
          </w:p>
        </w:tc>
      </w:tr>
      <w:tr w:rsidR="002F3078" w:rsidRPr="002F4A8D" w:rsidTr="00C60E00">
        <w:trPr>
          <w:trHeight w:val="862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LAG3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lymphocyte-activation gene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NM_002286.5</w:t>
            </w:r>
          </w:p>
        </w:tc>
      </w:tr>
      <w:tr w:rsidR="002F3078" w:rsidRPr="002F4A8D" w:rsidTr="00C60E00">
        <w:trPr>
          <w:trHeight w:val="61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LYZ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lysozyme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NM_000239.2</w:t>
            </w:r>
          </w:p>
        </w:tc>
      </w:tr>
      <w:tr w:rsidR="00BA6AFC" w:rsidRPr="002F4A8D" w:rsidTr="00C60E00">
        <w:trPr>
          <w:trHeight w:val="61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P2RX1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purinergic receptor P2X, ligand-gated ion channel,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NM_002558.2</w:t>
            </w:r>
          </w:p>
        </w:tc>
      </w:tr>
      <w:tr w:rsidR="00BA6AFC" w:rsidRPr="002F4A8D" w:rsidTr="00C60E00">
        <w:trPr>
          <w:trHeight w:val="124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programmed cell death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(PD-1)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NM_005018.2</w:t>
            </w:r>
          </w:p>
        </w:tc>
      </w:tr>
      <w:tr w:rsidR="002F3078" w:rsidRPr="002F4A8D" w:rsidTr="00C60E00">
        <w:trPr>
          <w:trHeight w:val="96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PRF1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perforin 1 (pore forming protein)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NM_005041.4</w:t>
            </w:r>
          </w:p>
        </w:tc>
      </w:tr>
      <w:tr w:rsidR="002F3078" w:rsidRPr="002F4A8D" w:rsidTr="00C60E00">
        <w:trPr>
          <w:trHeight w:val="16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PTGS2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prostaglandin-endoperoxide synthase 2 (prostaglandin G/H synthase and cyclooxygenase)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NM_000963.2</w:t>
            </w:r>
          </w:p>
        </w:tc>
      </w:tr>
      <w:tr w:rsidR="002F3078" w:rsidRPr="002F4A8D" w:rsidTr="00C60E00">
        <w:trPr>
          <w:trHeight w:val="151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tyrosine phosphatase, receptor type, C, CD45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NM_002838.4</w:t>
            </w:r>
          </w:p>
        </w:tc>
      </w:tr>
      <w:tr w:rsidR="002F3078" w:rsidRPr="002F4A8D" w:rsidTr="00C60E00">
        <w:trPr>
          <w:trHeight w:val="160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PTPRCAP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protein tyrosine phosphatase, receptor type, C-associated protein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NM_005608.2</w:t>
            </w:r>
          </w:p>
        </w:tc>
      </w:tr>
      <w:tr w:rsidR="002F3078" w:rsidRPr="002F4A8D" w:rsidTr="00C60E00">
        <w:trPr>
          <w:trHeight w:val="133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S100A9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S100 calcium binding protein A9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NM_002965.3</w:t>
            </w:r>
          </w:p>
        </w:tc>
      </w:tr>
      <w:tr w:rsidR="002F3078" w:rsidRPr="002F4A8D" w:rsidTr="00C60E00">
        <w:trPr>
          <w:trHeight w:val="96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SOCS1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suppressor of cytokine signaling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NM_003745.1</w:t>
            </w:r>
          </w:p>
        </w:tc>
      </w:tr>
      <w:tr w:rsidR="002F3078" w:rsidRPr="002F4A8D" w:rsidTr="00C60E00">
        <w:trPr>
          <w:trHeight w:val="81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SOCS3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suppressor of cytokine signaling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NM_003955.3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TBX21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T-box 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NM_013351.1</w:t>
            </w:r>
          </w:p>
        </w:tc>
      </w:tr>
      <w:tr w:rsidR="00BA6AFC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AFC" w:rsidRPr="002F4A8D" w:rsidRDefault="00BA6AFC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NM_000660.4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TLR3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toll-like receptor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NM_003265.2</w:t>
            </w:r>
          </w:p>
        </w:tc>
      </w:tr>
      <w:tr w:rsidR="002F3078" w:rsidRPr="002F4A8D" w:rsidTr="00C60E00">
        <w:trPr>
          <w:trHeight w:val="6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TLR4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toll-like receptor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NM_138554.3</w:t>
            </w:r>
          </w:p>
        </w:tc>
      </w:tr>
      <w:tr w:rsidR="002F3078" w:rsidRPr="002F4A8D" w:rsidTr="00C60E00">
        <w:trPr>
          <w:trHeight w:val="79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tumor necrosis factor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NM_000594.2</w:t>
            </w:r>
          </w:p>
        </w:tc>
      </w:tr>
      <w:tr w:rsidR="002F3078" w:rsidRPr="002F4A8D" w:rsidTr="00C60E00">
        <w:trPr>
          <w:trHeight w:val="127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vascular endothelial growth factor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078" w:rsidRPr="002F4A8D" w:rsidRDefault="002F3078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NM_001025366.2</w:t>
            </w:r>
          </w:p>
        </w:tc>
      </w:tr>
    </w:tbl>
    <w:p w:rsidR="007411EB" w:rsidRDefault="007411EB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DB" w:rsidRDefault="007411EB" w:rsidP="00FD3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1EB">
        <w:rPr>
          <w:rFonts w:ascii="Times New Roman" w:hAnsi="Times New Roman" w:cs="Times New Roman"/>
          <w:sz w:val="24"/>
          <w:szCs w:val="24"/>
        </w:rPr>
        <w:t xml:space="preserve">Genes in </w:t>
      </w:r>
      <w:r w:rsidR="00AB3D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COLOR</w:t>
      </w:r>
      <w:r w:rsidRPr="007411EB">
        <w:rPr>
          <w:rFonts w:ascii="Times New Roman" w:hAnsi="Times New Roman" w:cs="Times New Roman"/>
          <w:sz w:val="24"/>
          <w:szCs w:val="24"/>
        </w:rPr>
        <w:t xml:space="preserve"> were chosen based on wh</w:t>
      </w:r>
      <w:r>
        <w:rPr>
          <w:rFonts w:ascii="Times New Roman" w:hAnsi="Times New Roman" w:cs="Times New Roman"/>
          <w:sz w:val="24"/>
          <w:szCs w:val="24"/>
        </w:rPr>
        <w:t xml:space="preserve">ole genome microarray results. Others were selected as candidate genes from the literature.  </w:t>
      </w:r>
      <w:r w:rsidR="002F4A8D" w:rsidRPr="007411EB">
        <w:rPr>
          <w:rFonts w:ascii="Times New Roman" w:hAnsi="Times New Roman" w:cs="Times New Roman"/>
          <w:sz w:val="24"/>
          <w:szCs w:val="24"/>
        </w:rPr>
        <w:t xml:space="preserve">Public RefSeq and </w:t>
      </w:r>
      <w:r w:rsidR="002F4A8D">
        <w:rPr>
          <w:rFonts w:ascii="Times New Roman" w:hAnsi="Times New Roman" w:cs="Times New Roman"/>
          <w:sz w:val="24"/>
          <w:szCs w:val="24"/>
        </w:rPr>
        <w:t xml:space="preserve">approved gene symbols were obtained from HUGO Gene Nomenclature Committee website: </w:t>
      </w:r>
      <w:hyperlink r:id="rId8" w:history="1">
        <w:r w:rsidR="002F4A8D" w:rsidRPr="00FD0946">
          <w:rPr>
            <w:rStyle w:val="Hyperlink"/>
            <w:rFonts w:ascii="Times New Roman" w:hAnsi="Times New Roman" w:cs="Times New Roman"/>
            <w:sz w:val="24"/>
            <w:szCs w:val="24"/>
          </w:rPr>
          <w:t>http://www.genenames.org/</w:t>
        </w:r>
      </w:hyperlink>
      <w:r w:rsidR="002F4A8D">
        <w:rPr>
          <w:rFonts w:ascii="Times New Roman" w:hAnsi="Times New Roman" w:cs="Times New Roman"/>
          <w:sz w:val="24"/>
          <w:szCs w:val="24"/>
        </w:rPr>
        <w:t xml:space="preserve">. </w:t>
      </w:r>
      <w:r w:rsidR="002B6FE5">
        <w:rPr>
          <w:rFonts w:ascii="Times New Roman" w:hAnsi="Times New Roman" w:cs="Times New Roman"/>
          <w:sz w:val="24"/>
          <w:szCs w:val="24"/>
        </w:rPr>
        <w:t>G</w:t>
      </w:r>
      <w:r w:rsidRPr="007411EB">
        <w:rPr>
          <w:rFonts w:ascii="Times New Roman" w:hAnsi="Times New Roman" w:cs="Times New Roman"/>
          <w:sz w:val="24"/>
          <w:szCs w:val="24"/>
        </w:rPr>
        <w:t>enes</w:t>
      </w:r>
      <w:r w:rsidR="00DB740E">
        <w:rPr>
          <w:rFonts w:ascii="Times New Roman" w:hAnsi="Times New Roman" w:cs="Times New Roman"/>
          <w:sz w:val="24"/>
          <w:szCs w:val="24"/>
        </w:rPr>
        <w:t xml:space="preserve"> used as expression controls</w:t>
      </w:r>
      <w:r w:rsidRPr="007411EB">
        <w:rPr>
          <w:rFonts w:ascii="Times New Roman" w:hAnsi="Times New Roman" w:cs="Times New Roman"/>
          <w:sz w:val="24"/>
          <w:szCs w:val="24"/>
        </w:rPr>
        <w:t xml:space="preserve"> (not listed) </w:t>
      </w:r>
      <w:r w:rsidR="00DB740E">
        <w:rPr>
          <w:rFonts w:ascii="Times New Roman" w:hAnsi="Times New Roman" w:cs="Times New Roman"/>
          <w:sz w:val="24"/>
          <w:szCs w:val="24"/>
        </w:rPr>
        <w:t>included</w:t>
      </w:r>
      <w:r w:rsidR="00CF04B5">
        <w:rPr>
          <w:rFonts w:ascii="Times New Roman" w:hAnsi="Times New Roman" w:cs="Times New Roman"/>
          <w:sz w:val="24"/>
          <w:szCs w:val="24"/>
        </w:rPr>
        <w:t xml:space="preserve"> </w:t>
      </w:r>
      <w:r w:rsidRPr="007411EB">
        <w:rPr>
          <w:rFonts w:ascii="Times New Roman" w:hAnsi="Times New Roman" w:cs="Times New Roman"/>
          <w:sz w:val="24"/>
          <w:szCs w:val="24"/>
        </w:rPr>
        <w:t xml:space="preserve">GUSB, </w:t>
      </w:r>
      <w:r w:rsidR="000C66B1">
        <w:rPr>
          <w:rFonts w:ascii="Times New Roman" w:hAnsi="Times New Roman" w:cs="Times New Roman"/>
          <w:sz w:val="24"/>
          <w:szCs w:val="24"/>
        </w:rPr>
        <w:t>18S</w:t>
      </w:r>
      <w:r w:rsidR="000C66B1" w:rsidRPr="007411EB">
        <w:rPr>
          <w:rFonts w:ascii="Times New Roman" w:hAnsi="Times New Roman" w:cs="Times New Roman"/>
          <w:sz w:val="24"/>
          <w:szCs w:val="24"/>
        </w:rPr>
        <w:t>,</w:t>
      </w:r>
      <w:r w:rsidR="000C66B1">
        <w:rPr>
          <w:rFonts w:ascii="Times New Roman" w:hAnsi="Times New Roman" w:cs="Times New Roman"/>
          <w:sz w:val="24"/>
          <w:szCs w:val="24"/>
        </w:rPr>
        <w:t xml:space="preserve"> </w:t>
      </w:r>
      <w:r w:rsidR="00AB5048">
        <w:rPr>
          <w:rFonts w:ascii="Times New Roman" w:hAnsi="Times New Roman" w:cs="Times New Roman"/>
          <w:sz w:val="24"/>
          <w:szCs w:val="24"/>
        </w:rPr>
        <w:t xml:space="preserve">and </w:t>
      </w:r>
      <w:r w:rsidR="00CF04B5">
        <w:rPr>
          <w:rFonts w:ascii="Times New Roman" w:hAnsi="Times New Roman" w:cs="Times New Roman"/>
          <w:sz w:val="24"/>
          <w:szCs w:val="24"/>
        </w:rPr>
        <w:t>ACTB</w:t>
      </w:r>
      <w:r w:rsidR="00AB5048">
        <w:rPr>
          <w:rFonts w:ascii="Times New Roman" w:hAnsi="Times New Roman" w:cs="Times New Roman"/>
          <w:sz w:val="24"/>
          <w:szCs w:val="24"/>
        </w:rPr>
        <w:t>.</w:t>
      </w: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B1" w:rsidRDefault="000C66B1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FC" w:rsidRDefault="00BA6AFC" w:rsidP="0061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B2" w:rsidRDefault="00172C37" w:rsidP="00FD3E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</w:t>
      </w:r>
      <w:r w:rsidR="00CA2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ementa</w:t>
      </w:r>
      <w:r w:rsidR="00741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</w:t>
      </w:r>
      <w:r w:rsidR="00673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6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741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8F3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D3EB2" w:rsidRPr="0007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D3EB2" w:rsidRPr="0007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3EB2" w:rsidRPr="00075248">
        <w:rPr>
          <w:rFonts w:ascii="Times New Roman" w:hAnsi="Times New Roman" w:cs="Times New Roman"/>
          <w:b/>
          <w:sz w:val="24"/>
          <w:szCs w:val="24"/>
        </w:rPr>
        <w:t xml:space="preserve">Functionally annotated gene categories from DAVID analysis of </w:t>
      </w:r>
      <w:r w:rsidR="000012D4">
        <w:rPr>
          <w:rFonts w:ascii="Times New Roman" w:hAnsi="Times New Roman" w:cs="Times New Roman"/>
          <w:b/>
          <w:sz w:val="24"/>
          <w:szCs w:val="24"/>
        </w:rPr>
        <w:t>whole genome</w:t>
      </w:r>
      <w:r w:rsidR="000012D4" w:rsidRPr="0007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EB2" w:rsidRPr="00075248">
        <w:rPr>
          <w:rFonts w:ascii="Times New Roman" w:hAnsi="Times New Roman" w:cs="Times New Roman"/>
          <w:b/>
          <w:sz w:val="24"/>
          <w:szCs w:val="24"/>
        </w:rPr>
        <w:t>microarray results comparing PD-L1+ to PD-L1</w:t>
      </w:r>
      <w:r w:rsidR="000012D4">
        <w:rPr>
          <w:rFonts w:ascii="Times New Roman" w:hAnsi="Times New Roman" w:cs="Times New Roman"/>
          <w:b/>
          <w:sz w:val="24"/>
          <w:szCs w:val="24"/>
        </w:rPr>
        <w:t>(-)</w:t>
      </w:r>
      <w:r w:rsidR="00FD3EB2" w:rsidRPr="00075248">
        <w:rPr>
          <w:rFonts w:ascii="Times New Roman" w:hAnsi="Times New Roman" w:cs="Times New Roman"/>
          <w:b/>
          <w:sz w:val="24"/>
          <w:szCs w:val="24"/>
        </w:rPr>
        <w:t xml:space="preserve"> melanomas.</w:t>
      </w:r>
      <w:r w:rsidR="00FD3EB2" w:rsidRPr="00075248">
        <w:rPr>
          <w:rFonts w:ascii="Times New Roman" w:hAnsi="Times New Roman" w:cs="Times New Roman"/>
          <w:sz w:val="24"/>
          <w:szCs w:val="24"/>
        </w:rPr>
        <w:t xml:space="preserve"> Shown are functional categories with </w:t>
      </w:r>
      <w:r w:rsidR="000425D1">
        <w:rPr>
          <w:rFonts w:ascii="Times New Roman" w:hAnsi="Times New Roman" w:cs="Times New Roman"/>
          <w:sz w:val="24"/>
          <w:szCs w:val="24"/>
        </w:rPr>
        <w:t>at least</w:t>
      </w:r>
      <w:r w:rsidR="007361AC">
        <w:rPr>
          <w:rFonts w:ascii="Times New Roman" w:hAnsi="Times New Roman" w:cs="Times New Roman"/>
          <w:sz w:val="24"/>
          <w:szCs w:val="24"/>
        </w:rPr>
        <w:t xml:space="preserve"> 10 </w:t>
      </w:r>
      <w:r w:rsidR="000425D1">
        <w:rPr>
          <w:rFonts w:ascii="Times New Roman" w:hAnsi="Times New Roman" w:cs="Times New Roman"/>
          <w:sz w:val="24"/>
          <w:szCs w:val="24"/>
        </w:rPr>
        <w:t xml:space="preserve">distinct member genes recognized from microarray results, </w:t>
      </w:r>
      <w:r w:rsidR="007361AC">
        <w:rPr>
          <w:rFonts w:ascii="Times New Roman" w:hAnsi="Times New Roman" w:cs="Times New Roman"/>
          <w:sz w:val="24"/>
          <w:szCs w:val="24"/>
        </w:rPr>
        <w:t>and a B</w:t>
      </w:r>
      <w:r w:rsidR="00FD3EB2" w:rsidRPr="00075248">
        <w:rPr>
          <w:rFonts w:ascii="Times New Roman" w:hAnsi="Times New Roman" w:cs="Times New Roman"/>
          <w:sz w:val="24"/>
          <w:szCs w:val="24"/>
        </w:rPr>
        <w:t>enjamini</w:t>
      </w:r>
      <w:r w:rsidR="00D1063D">
        <w:rPr>
          <w:rFonts w:ascii="Times New Roman" w:hAnsi="Times New Roman" w:cs="Times New Roman"/>
          <w:sz w:val="24"/>
          <w:szCs w:val="24"/>
        </w:rPr>
        <w:t>-Hochberg adjusted p-v</w:t>
      </w:r>
      <w:r w:rsidR="00E97F92">
        <w:rPr>
          <w:rFonts w:ascii="Times New Roman" w:hAnsi="Times New Roman" w:cs="Times New Roman"/>
          <w:sz w:val="24"/>
          <w:szCs w:val="24"/>
        </w:rPr>
        <w:t>alue (FDR)</w:t>
      </w:r>
      <w:r w:rsidR="00FD3EB2" w:rsidRPr="00075248">
        <w:rPr>
          <w:rFonts w:ascii="Times New Roman" w:hAnsi="Times New Roman" w:cs="Times New Roman"/>
          <w:sz w:val="24"/>
          <w:szCs w:val="24"/>
        </w:rPr>
        <w:t xml:space="preserve"> </w:t>
      </w:r>
      <w:r w:rsidR="00FD3EB2" w:rsidRPr="002B525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343522">
        <w:rPr>
          <w:rFonts w:ascii="Times New Roman" w:hAnsi="Times New Roman" w:cs="Times New Roman"/>
          <w:sz w:val="24"/>
          <w:szCs w:val="24"/>
        </w:rPr>
        <w:t>0.01</w:t>
      </w:r>
      <w:r w:rsidR="00E97F92">
        <w:rPr>
          <w:rFonts w:ascii="Times New Roman" w:hAnsi="Times New Roman" w:cs="Times New Roman"/>
          <w:sz w:val="24"/>
          <w:szCs w:val="24"/>
        </w:rPr>
        <w:t>5</w:t>
      </w:r>
      <w:r w:rsidR="00FD3EB2" w:rsidRPr="0007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2D4" w:rsidRDefault="000012D4" w:rsidP="00FD3E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785"/>
        <w:gridCol w:w="2070"/>
        <w:gridCol w:w="1170"/>
        <w:gridCol w:w="1350"/>
      </w:tblGrid>
      <w:tr w:rsidR="00FD3EB2" w:rsidRPr="00075248" w:rsidTr="000C754F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B2" w:rsidRPr="00B34E92" w:rsidRDefault="00B34E92" w:rsidP="007411E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unctionally-</w:t>
            </w:r>
            <w:r w:rsidRPr="00B3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gene c</w:t>
            </w:r>
            <w:r w:rsidR="00FD3EB2" w:rsidRPr="00B3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ategory</w:t>
            </w:r>
            <w:r w:rsidR="007411EB" w:rsidRPr="00FD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7" w:rsidRDefault="007411EB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r w:rsidR="00230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genes in submitted list</w:t>
            </w:r>
            <w:r w:rsidR="0017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/total genes</w:t>
            </w:r>
          </w:p>
          <w:p w:rsidR="00FD3EB2" w:rsidRPr="00075248" w:rsidRDefault="00172C37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category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B2" w:rsidRPr="00075248" w:rsidRDefault="00FD3EB2" w:rsidP="009350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  <w:r w:rsidR="0066632D" w:rsidRPr="0067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B2" w:rsidRDefault="00FD3EB2" w:rsidP="009350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Benjamini</w:t>
            </w:r>
            <w:r w:rsidR="000C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adjusted</w:t>
            </w:r>
          </w:p>
          <w:p w:rsidR="00172C37" w:rsidRPr="00075248" w:rsidRDefault="00172C37" w:rsidP="009350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Heterodimer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075248" w:rsidRDefault="00BA17A9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28/103 (27.2</w:t>
            </w:r>
            <w:r w:rsidR="00935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8.95E-09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1.91E-06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Antigen processing and presentation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075248" w:rsidRDefault="00BA17A9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24/83 (28.9</w:t>
            </w:r>
            <w:r w:rsidR="00935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2.63E-04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regulation of immune system process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075248" w:rsidRDefault="00BA17A9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35009">
              <w:rPr>
                <w:rFonts w:ascii="Times New Roman" w:eastAsia="Times New Roman" w:hAnsi="Times New Roman" w:cs="Times New Roman"/>
                <w:sz w:val="24"/>
                <w:szCs w:val="24"/>
              </w:rPr>
              <w:t>/238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  <w:r w:rsidR="00935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2.96E-04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Defense response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9/615 (14.5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3.63E-07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4.27E-04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regulation of immune response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/145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(22.1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9.33E-07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8.21E-04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Type I diabetes mellitus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/42 (33.3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.71E-03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Allograft rejection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/36</w:t>
            </w:r>
            <w:r w:rsidR="00935009" w:rsidRPr="0088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(36.1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.12E-03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Inflammatory response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35009" w:rsidRPr="00886F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935009" w:rsidRPr="0088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(15.7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.30E-03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Hemopoietic or lymphoid organ development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35009" w:rsidRPr="002E3D5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="0093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(16.5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.85E-03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Hemopoiesis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/236</w:t>
            </w:r>
            <w:r w:rsidR="00935009" w:rsidRPr="002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(16.9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.25E-03</w:t>
            </w:r>
          </w:p>
        </w:tc>
      </w:tr>
      <w:tr w:rsidR="00935009" w:rsidRPr="00075248" w:rsidTr="000C754F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9" w:rsidRPr="00075248" w:rsidRDefault="00935009" w:rsidP="004755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>Leukocyte activation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D83597" w:rsidRDefault="00815DD4" w:rsidP="00172C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/242</w:t>
            </w:r>
            <w:r w:rsidR="00935009" w:rsidRPr="002E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A9">
              <w:rPr>
                <w:rFonts w:ascii="Times New Roman" w:eastAsia="Times New Roman" w:hAnsi="Times New Roman" w:cs="Times New Roman"/>
                <w:sz w:val="24"/>
                <w:szCs w:val="24"/>
              </w:rPr>
              <w:t>(16.5</w:t>
            </w:r>
            <w:r w:rsidR="00935009"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35009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9" w:rsidRPr="00975FE8" w:rsidRDefault="009350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.12E-02</w:t>
            </w:r>
          </w:p>
        </w:tc>
      </w:tr>
      <w:tr w:rsidR="00343522" w:rsidRPr="00075248" w:rsidTr="00975FE8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522" w:rsidRPr="00075248" w:rsidRDefault="00343522" w:rsidP="00AA0F7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Cell activation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22" w:rsidRPr="00D83597" w:rsidRDefault="00343522" w:rsidP="00AA0F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45/287</w:t>
            </w:r>
            <w:r w:rsidRPr="008C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Pr="00036174">
              <w:rPr>
                <w:rFonts w:ascii="Times New Roman" w:eastAsia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22" w:rsidRPr="00935009" w:rsidRDefault="00343522" w:rsidP="00AA0F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6.35E-05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22" w:rsidRPr="00975FE8" w:rsidRDefault="00343522" w:rsidP="00AA0F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1.23E-02</w:t>
            </w:r>
          </w:p>
        </w:tc>
      </w:tr>
    </w:tbl>
    <w:p w:rsidR="00A62BDB" w:rsidRDefault="00A62BDB" w:rsidP="001640A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6632D" w:rsidRDefault="007411EB" w:rsidP="001640AE">
      <w:pPr>
        <w:spacing w:line="360" w:lineRule="auto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D39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B6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B4B67" w:rsidRPr="007B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DAVID web tool </w:t>
      </w:r>
      <w:r w:rsidR="007B4B67" w:rsidRPr="007B4B67">
        <w:rPr>
          <w:rFonts w:ascii="Times New Roman" w:hAnsi="Times New Roman" w:cs="Times New Roman"/>
          <w:color w:val="1A1A1A"/>
          <w:sz w:val="24"/>
          <w:szCs w:val="24"/>
        </w:rPr>
        <w:t>(</w:t>
      </w:r>
      <w:hyperlink r:id="rId9" w:history="1">
        <w:r w:rsidR="007B4B67" w:rsidRPr="007B4B67">
          <w:rPr>
            <w:rFonts w:ascii="Times New Roman" w:hAnsi="Times New Roman" w:cs="Times New Roman"/>
            <w:color w:val="0C39C9"/>
            <w:sz w:val="24"/>
            <w:szCs w:val="24"/>
          </w:rPr>
          <w:t>http://david.abcc.ncifcrf.gov/</w:t>
        </w:r>
      </w:hyperlink>
      <w:r w:rsidR="001640AE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="001640AE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1C228C">
        <w:rPr>
          <w:rFonts w:ascii="Times New Roman" w:hAnsi="Times New Roman" w:cs="Times New Roman"/>
          <w:bCs/>
          <w:color w:val="1A1A1A"/>
          <w:sz w:val="24"/>
          <w:szCs w:val="24"/>
        </w:rPr>
        <w:t>(</w:t>
      </w:r>
      <w:r w:rsidR="001640AE" w:rsidRPr="00FD39DC">
        <w:rPr>
          <w:rFonts w:ascii="Times New Roman" w:hAnsi="Times New Roman" w:cs="Times New Roman"/>
          <w:bCs/>
          <w:color w:val="1A1A1A"/>
          <w:sz w:val="24"/>
          <w:szCs w:val="24"/>
        </w:rPr>
        <w:t>Huang DW, Nat Protoc 2009; Huang DW Nucleic Acids Res 2009</w:t>
      </w:r>
      <w:r w:rsidR="001C228C">
        <w:rPr>
          <w:rFonts w:ascii="Times New Roman" w:hAnsi="Times New Roman" w:cs="Times New Roman"/>
          <w:bCs/>
          <w:color w:val="1A1A1A"/>
          <w:sz w:val="24"/>
          <w:szCs w:val="24"/>
        </w:rPr>
        <w:t>)</w:t>
      </w:r>
      <w:r w:rsidR="00673C90">
        <w:rPr>
          <w:rFonts w:ascii="Times New Roman" w:hAnsi="Times New Roman" w:cs="Times New Roman"/>
          <w:bCs/>
          <w:color w:val="1A1A1A"/>
          <w:sz w:val="24"/>
          <w:szCs w:val="24"/>
        </w:rPr>
        <w:t>.</w:t>
      </w:r>
    </w:p>
    <w:p w:rsidR="008304D4" w:rsidRPr="00673C90" w:rsidRDefault="0066632D" w:rsidP="001640AE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  <w:vertAlign w:val="superscript"/>
        </w:rPr>
      </w:pPr>
      <w:r w:rsidRPr="00673C90">
        <w:rPr>
          <w:rFonts w:ascii="Times New Roman" w:hAnsi="Times New Roman" w:cs="Times New Roman"/>
          <w:bCs/>
          <w:color w:val="1A1A1A"/>
          <w:sz w:val="24"/>
          <w:szCs w:val="24"/>
          <w:vertAlign w:val="superscript"/>
        </w:rPr>
        <w:t>b</w:t>
      </w:r>
      <w:r w:rsidR="001640AE" w:rsidRPr="00673C90">
        <w:rPr>
          <w:rFonts w:ascii="Times New Roman" w:hAnsi="Times New Roman" w:cs="Times New Roman"/>
          <w:color w:val="1A1A1A"/>
          <w:sz w:val="24"/>
          <w:szCs w:val="24"/>
          <w:vertAlign w:val="superscript"/>
        </w:rPr>
        <w:t>  </w:t>
      </w:r>
      <w:r w:rsidRPr="00673C90">
        <w:rPr>
          <w:rFonts w:ascii="Times New Roman" w:eastAsia="Times New Roman" w:hAnsi="Times New Roman" w:cs="Times New Roman"/>
          <w:bCs/>
          <w:sz w:val="24"/>
          <w:szCs w:val="24"/>
        </w:rPr>
        <w:t>DAVID adjustment of the Fisher exact test (hypergeometric distribution) p-value</w:t>
      </w:r>
      <w:r w:rsidR="00A62B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40AE" w:rsidRPr="00673C90">
        <w:rPr>
          <w:rFonts w:ascii="Times New Roman" w:hAnsi="Times New Roman" w:cs="Times New Roman"/>
          <w:color w:val="1A1A1A"/>
          <w:sz w:val="24"/>
          <w:szCs w:val="24"/>
          <w:vertAlign w:val="superscript"/>
        </w:rPr>
        <w:t> </w:t>
      </w:r>
      <w:r w:rsidR="00673C90">
        <w:rPr>
          <w:rFonts w:ascii="Times New Roman" w:hAnsi="Times New Roman" w:cs="Times New Roman"/>
          <w:color w:val="1A1A1A"/>
          <w:sz w:val="24"/>
          <w:szCs w:val="24"/>
          <w:vertAlign w:val="superscript"/>
        </w:rPr>
        <w:t>.</w:t>
      </w:r>
      <w:r w:rsidR="001640AE" w:rsidRPr="00673C90">
        <w:rPr>
          <w:rFonts w:ascii="Times New Roman" w:hAnsi="Times New Roman" w:cs="Times New Roman"/>
          <w:color w:val="1A1A1A"/>
          <w:sz w:val="24"/>
          <w:szCs w:val="24"/>
          <w:vertAlign w:val="superscript"/>
        </w:rPr>
        <w:t> </w:t>
      </w:r>
      <w:r w:rsidR="008304D4" w:rsidRPr="00673C90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8304D4" w:rsidRPr="007A3338" w:rsidRDefault="00CA27BF" w:rsidP="008304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A070D">
        <w:rPr>
          <w:rFonts w:ascii="Times New Roman" w:hAnsi="Times New Roman" w:cs="Times New Roman"/>
          <w:b/>
          <w:sz w:val="24"/>
          <w:szCs w:val="24"/>
        </w:rPr>
        <w:t>ry</w:t>
      </w:r>
      <w:r w:rsidR="00DB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1A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A070D">
        <w:rPr>
          <w:rFonts w:ascii="Times New Roman" w:hAnsi="Times New Roman" w:cs="Times New Roman"/>
          <w:b/>
          <w:sz w:val="24"/>
          <w:szCs w:val="24"/>
        </w:rPr>
        <w:t>S</w:t>
      </w:r>
      <w:r w:rsidR="00E86B55">
        <w:rPr>
          <w:rFonts w:ascii="Times New Roman" w:hAnsi="Times New Roman" w:cs="Times New Roman"/>
          <w:b/>
          <w:sz w:val="24"/>
          <w:szCs w:val="24"/>
        </w:rPr>
        <w:t>5</w:t>
      </w:r>
      <w:r w:rsidR="008304D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B41E6">
        <w:rPr>
          <w:rFonts w:ascii="Times New Roman" w:hAnsi="Times New Roman" w:cs="Times New Roman"/>
          <w:b/>
          <w:sz w:val="24"/>
          <w:szCs w:val="24"/>
        </w:rPr>
        <w:t>Genes over</w:t>
      </w:r>
      <w:r w:rsidR="00B76F7C">
        <w:rPr>
          <w:rFonts w:ascii="Times New Roman" w:hAnsi="Times New Roman" w:cs="Times New Roman"/>
          <w:b/>
          <w:sz w:val="24"/>
          <w:szCs w:val="24"/>
        </w:rPr>
        <w:t>-</w:t>
      </w:r>
      <w:r w:rsidR="00EB41E6">
        <w:rPr>
          <w:rFonts w:ascii="Times New Roman" w:hAnsi="Times New Roman" w:cs="Times New Roman"/>
          <w:b/>
          <w:sz w:val="24"/>
          <w:szCs w:val="24"/>
        </w:rPr>
        <w:t>expressed</w:t>
      </w:r>
      <w:r w:rsidR="008304D4" w:rsidRPr="007A3338">
        <w:rPr>
          <w:rFonts w:ascii="Times New Roman" w:hAnsi="Times New Roman" w:cs="Times New Roman"/>
          <w:b/>
          <w:sz w:val="24"/>
          <w:szCs w:val="24"/>
        </w:rPr>
        <w:t xml:space="preserve"> in PD-L1+ vs. PD-L1</w:t>
      </w:r>
      <w:r w:rsidR="008304D4">
        <w:rPr>
          <w:rFonts w:ascii="Times New Roman" w:hAnsi="Times New Roman" w:cs="Times New Roman"/>
          <w:b/>
          <w:sz w:val="24"/>
          <w:szCs w:val="24"/>
        </w:rPr>
        <w:t>(</w:t>
      </w:r>
      <w:r w:rsidR="008304D4" w:rsidRPr="007A3338">
        <w:rPr>
          <w:rFonts w:ascii="Times New Roman" w:hAnsi="Times New Roman" w:cs="Times New Roman"/>
          <w:b/>
          <w:sz w:val="24"/>
          <w:szCs w:val="24"/>
        </w:rPr>
        <w:t>-</w:t>
      </w:r>
      <w:r w:rsidR="008304D4">
        <w:rPr>
          <w:rFonts w:ascii="Times New Roman" w:hAnsi="Times New Roman" w:cs="Times New Roman"/>
          <w:b/>
          <w:sz w:val="24"/>
          <w:szCs w:val="24"/>
        </w:rPr>
        <w:t>)</w:t>
      </w:r>
      <w:r w:rsidR="008304D4" w:rsidRPr="007A3338">
        <w:rPr>
          <w:rFonts w:ascii="Times New Roman" w:hAnsi="Times New Roman" w:cs="Times New Roman"/>
          <w:b/>
          <w:sz w:val="24"/>
          <w:szCs w:val="24"/>
        </w:rPr>
        <w:t xml:space="preserve"> melanomas</w:t>
      </w:r>
      <w:r w:rsidR="00657A1F">
        <w:rPr>
          <w:rFonts w:ascii="Times New Roman" w:hAnsi="Times New Roman" w:cs="Times New Roman"/>
          <w:b/>
          <w:sz w:val="24"/>
          <w:szCs w:val="24"/>
        </w:rPr>
        <w:t>,</w:t>
      </w:r>
      <w:r w:rsidR="004A070D">
        <w:rPr>
          <w:rFonts w:ascii="Times New Roman" w:hAnsi="Times New Roman" w:cs="Times New Roman"/>
          <w:b/>
          <w:sz w:val="24"/>
          <w:szCs w:val="24"/>
        </w:rPr>
        <w:t xml:space="preserve"> assessed by qRT-PCR</w:t>
      </w:r>
      <w:r w:rsidR="008304D4" w:rsidRPr="007A3338">
        <w:rPr>
          <w:rFonts w:ascii="Times New Roman" w:hAnsi="Times New Roman" w:cs="Times New Roman"/>
          <w:b/>
          <w:sz w:val="24"/>
          <w:szCs w:val="24"/>
        </w:rPr>
        <w:t>.</w:t>
      </w:r>
      <w:r w:rsidR="008304D4" w:rsidRPr="007A3338">
        <w:rPr>
          <w:rFonts w:ascii="Times New Roman" w:hAnsi="Times New Roman" w:cs="Times New Roman"/>
          <w:sz w:val="24"/>
          <w:szCs w:val="24"/>
        </w:rPr>
        <w:t xml:space="preserve">  Shown are gene</w:t>
      </w:r>
      <w:r w:rsidR="004A070D">
        <w:rPr>
          <w:rFonts w:ascii="Times New Roman" w:hAnsi="Times New Roman" w:cs="Times New Roman"/>
          <w:sz w:val="24"/>
          <w:szCs w:val="24"/>
        </w:rPr>
        <w:t>s</w:t>
      </w:r>
      <w:r w:rsidR="008304D4" w:rsidRPr="007A3338">
        <w:rPr>
          <w:rFonts w:ascii="Times New Roman" w:hAnsi="Times New Roman" w:cs="Times New Roman"/>
          <w:sz w:val="24"/>
          <w:szCs w:val="24"/>
        </w:rPr>
        <w:t xml:space="preserve"> with </w:t>
      </w:r>
      <w:r w:rsidR="00E4224A">
        <w:rPr>
          <w:rFonts w:ascii="Times New Roman" w:hAnsi="Times New Roman" w:cs="Times New Roman"/>
          <w:sz w:val="24"/>
          <w:szCs w:val="24"/>
          <w:u w:val="single"/>
        </w:rPr>
        <w:t>≥</w:t>
      </w:r>
      <w:r w:rsidR="008304D4" w:rsidRPr="007A3338">
        <w:rPr>
          <w:rFonts w:ascii="Times New Roman" w:hAnsi="Times New Roman" w:cs="Times New Roman"/>
          <w:sz w:val="24"/>
          <w:szCs w:val="24"/>
        </w:rPr>
        <w:t xml:space="preserve">2 fold up-regulation in PD-L1+ specimens and p-value </w:t>
      </w:r>
      <w:r w:rsidR="00E4224A">
        <w:rPr>
          <w:rFonts w:ascii="Times New Roman" w:hAnsi="Times New Roman" w:cs="Times New Roman"/>
          <w:sz w:val="24"/>
          <w:szCs w:val="24"/>
        </w:rPr>
        <w:t>≤</w:t>
      </w:r>
      <w:r w:rsidR="008304D4" w:rsidRPr="007A3338">
        <w:rPr>
          <w:rFonts w:ascii="Times New Roman" w:hAnsi="Times New Roman" w:cs="Times New Roman"/>
          <w:sz w:val="24"/>
          <w:szCs w:val="24"/>
        </w:rPr>
        <w:t xml:space="preserve"> 0.1 when normalized to GUSB or </w:t>
      </w:r>
      <w:r w:rsidR="00EB41E6">
        <w:rPr>
          <w:rFonts w:ascii="Times New Roman" w:hAnsi="Times New Roman" w:cs="Times New Roman"/>
          <w:sz w:val="24"/>
          <w:szCs w:val="24"/>
        </w:rPr>
        <w:t>PTPRC (</w:t>
      </w:r>
      <w:r w:rsidR="008304D4" w:rsidRPr="007A3338">
        <w:rPr>
          <w:rFonts w:ascii="Times New Roman" w:hAnsi="Times New Roman" w:cs="Times New Roman"/>
          <w:sz w:val="24"/>
          <w:szCs w:val="24"/>
        </w:rPr>
        <w:t>CD45</w:t>
      </w:r>
      <w:r w:rsidR="00EB41E6">
        <w:rPr>
          <w:rFonts w:ascii="Times New Roman" w:hAnsi="Times New Roman" w:cs="Times New Roman"/>
          <w:sz w:val="24"/>
          <w:szCs w:val="24"/>
        </w:rPr>
        <w:t>)</w:t>
      </w:r>
      <w:r w:rsidR="008304D4" w:rsidRPr="007A3338">
        <w:rPr>
          <w:rFonts w:ascii="Times New Roman" w:hAnsi="Times New Roman" w:cs="Times New Roman"/>
          <w:sz w:val="24"/>
          <w:szCs w:val="24"/>
        </w:rPr>
        <w:t xml:space="preserve">. </w:t>
      </w:r>
      <w:r w:rsidR="008304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759"/>
        <w:gridCol w:w="2675"/>
        <w:gridCol w:w="1042"/>
        <w:gridCol w:w="1476"/>
        <w:gridCol w:w="1055"/>
        <w:gridCol w:w="1476"/>
      </w:tblGrid>
      <w:tr w:rsidR="008304D4" w:rsidRPr="00075248" w:rsidTr="00C60E00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D4" w:rsidRPr="00075248" w:rsidRDefault="008304D4" w:rsidP="00AB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GUSB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4D4" w:rsidRPr="007A3338" w:rsidRDefault="00EB41E6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PTPRC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D4" w:rsidRPr="007A3338" w:rsidRDefault="0083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Gene </w:t>
            </w:r>
            <w:r w:rsidR="00EB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EB41E6" w:rsidRPr="00C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4" w:rsidRPr="007A3338" w:rsidRDefault="00B76F7C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Protein </w:t>
            </w:r>
            <w:r w:rsidR="008304D4"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Fold-change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D4" w:rsidRPr="007A3338" w:rsidRDefault="0083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</w:t>
            </w:r>
            <w:r w:rsidR="00EB41E6"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r w:rsidR="00EB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Fold-change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D4" w:rsidRPr="00FD39DC" w:rsidRDefault="0083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</w:t>
            </w:r>
            <w:r w:rsidR="00EB41E6" w:rsidRPr="007A3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r w:rsidR="00EB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657A1F" w:rsidRPr="00075248" w:rsidTr="00657A1F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CCL5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4" w:rsidRPr="007A3338" w:rsidRDefault="00A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RANTES,</w:t>
            </w: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304D4"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hemotactic for T</w:t>
            </w:r>
            <w:r w:rsidR="000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4D4"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657A1F" w:rsidRPr="00075248" w:rsidTr="00C60E00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7A3338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CD8A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Default="0065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Co-receptor for TCR, predominantl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expressed on CTL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A1F" w:rsidRPr="007A3338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7A3338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7A3338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7A3338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657A1F" w:rsidRPr="00075248" w:rsidTr="00C60E00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FD0BEC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CD84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Default="00657A1F" w:rsidP="0073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Immunoglobulin receptor family that enhances </w:t>
            </w:r>
          </w:p>
          <w:p w:rsidR="00657A1F" w:rsidRPr="00FD0BEC" w:rsidRDefault="0065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IFN-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secretion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A1F" w:rsidRPr="00FD0BEC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FD0BEC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FD0BEC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F" w:rsidRPr="00FD0BEC" w:rsidRDefault="00657A1F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CD163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4" w:rsidRPr="007A3338" w:rsidRDefault="0083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Scaveng</w:t>
            </w:r>
            <w:r w:rsidR="00D4641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r receptor</w:t>
            </w:r>
            <w:r w:rsidR="000053CD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arks monocytes</w:t>
            </w:r>
            <w:r w:rsidR="000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macrophages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D4" w:rsidRPr="007A3338" w:rsidRDefault="008304D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3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CD274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PD-L1, </w:t>
            </w:r>
            <w:r w:rsidR="000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ligand for PD-1, which is expressed on inflammatory cells and some cancers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7A333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CXCL1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ligand secreted by melanoma cells and expressed by macrophages, neutrophils, and epithelial cells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IFNG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FD0BEC" w:rsidRDefault="00A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cytokine for adaptive and innate immunity</w:t>
            </w:r>
            <w:r w:rsidR="007048F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otent activator of macrophages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IL10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Anti-inflammatory cytokine that down</w:t>
            </w:r>
            <w:r w:rsidR="0034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regulates Th1 cytokines, MHC class II, and co-stimulatory molecules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IL10RB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accessory chain for the IL-10 receptor complex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FD0BEC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E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IL18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Pro-inflammatory cytokine that contributes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IFN</w:t>
            </w:r>
            <w:r w:rsidR="0034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release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IL21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Cytokine </w:t>
            </w:r>
            <w:r w:rsidR="00146CF4">
              <w:rPr>
                <w:rFonts w:ascii="Times New Roman" w:eastAsia="Times New Roman" w:hAnsi="Times New Roman" w:cs="Times New Roman"/>
                <w:sz w:val="24"/>
                <w:szCs w:val="24"/>
              </w:rPr>
              <w:t>that supports activation of T, B, and NK cells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LAG3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Immunoglobulin superfamily member involved in the regulation of T-cell tolerance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Innate immune enzyme with antimicrobial properties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EB41E6" w:rsidRPr="00075248" w:rsidTr="00C60E00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PD-1, immune checkpoint receptor that negatively regulates T cell responses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PRF</w:t>
            </w: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Cytolytic protein found in granules of CTL and NK cells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EB41E6" w:rsidRPr="00075248" w:rsidTr="00C60E00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TLR3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Toll-like receptor family of pattern recognition receptors of innate immune system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84" w:rsidRPr="00655DF8" w:rsidRDefault="00A05F84" w:rsidP="00AB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8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</w:tr>
    </w:tbl>
    <w:p w:rsidR="00DB740E" w:rsidRDefault="00DB740E" w:rsidP="00830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F7C" w:rsidRPr="00C60E00" w:rsidRDefault="00B76F7C" w:rsidP="00FD3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7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Obtained from HUGO Gene Nomenclature Committee website: </w:t>
      </w:r>
      <w:hyperlink r:id="rId10" w:history="1">
        <w:r w:rsidRPr="00FD0946">
          <w:rPr>
            <w:rStyle w:val="Hyperlink"/>
            <w:rFonts w:ascii="Times New Roman" w:hAnsi="Times New Roman" w:cs="Times New Roman"/>
            <w:sz w:val="24"/>
            <w:szCs w:val="24"/>
          </w:rPr>
          <w:t>http://www.genenames.org/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555F" w:rsidRDefault="00B76F7C" w:rsidP="00FD3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0555F" w:rsidRPr="0010555F">
        <w:rPr>
          <w:rFonts w:ascii="Times New Roman" w:hAnsi="Times New Roman" w:cs="Times New Roman"/>
          <w:sz w:val="24"/>
          <w:szCs w:val="24"/>
        </w:rPr>
        <w:t>Data were analyzed with Expression Suite Software (v. 1.0.4, Life Technologies) using the comparative Ct method (</w:t>
      </w:r>
      <w:r w:rsidR="0010555F" w:rsidRPr="0010555F">
        <w:rPr>
          <w:rFonts w:ascii="Symbol" w:hAnsi="Symbol" w:cs="Times New Roman"/>
          <w:sz w:val="24"/>
          <w:szCs w:val="24"/>
        </w:rPr>
        <w:t></w:t>
      </w:r>
      <w:r w:rsidR="0010555F" w:rsidRPr="0010555F">
        <w:rPr>
          <w:rFonts w:ascii="Symbol" w:hAnsi="Symbol" w:cs="Times New Roman"/>
          <w:sz w:val="24"/>
          <w:szCs w:val="24"/>
        </w:rPr>
        <w:t></w:t>
      </w:r>
      <w:r w:rsidR="0010555F" w:rsidRPr="0010555F">
        <w:rPr>
          <w:rFonts w:ascii="Times New Roman" w:hAnsi="Times New Roman" w:cs="Times New Roman"/>
          <w:sz w:val="24"/>
          <w:szCs w:val="24"/>
        </w:rPr>
        <w:t>Ct), normaliz</w:t>
      </w:r>
      <w:r w:rsidR="00E64194">
        <w:rPr>
          <w:rFonts w:ascii="Times New Roman" w:hAnsi="Times New Roman" w:cs="Times New Roman"/>
          <w:sz w:val="24"/>
          <w:szCs w:val="24"/>
        </w:rPr>
        <w:t>ed</w:t>
      </w:r>
      <w:r w:rsidR="0010555F" w:rsidRPr="0010555F">
        <w:rPr>
          <w:rFonts w:ascii="Times New Roman" w:hAnsi="Times New Roman" w:cs="Times New Roman"/>
          <w:sz w:val="24"/>
          <w:szCs w:val="24"/>
        </w:rPr>
        <w:t xml:space="preserve"> to either GUSB or </w:t>
      </w:r>
      <w:r w:rsidR="00EB41E6">
        <w:rPr>
          <w:rFonts w:ascii="Times New Roman" w:hAnsi="Times New Roman" w:cs="Times New Roman"/>
          <w:sz w:val="24"/>
          <w:szCs w:val="24"/>
        </w:rPr>
        <w:t>PTPRC (</w:t>
      </w:r>
      <w:r w:rsidR="0010555F" w:rsidRPr="0010555F">
        <w:rPr>
          <w:rFonts w:ascii="Times New Roman" w:hAnsi="Times New Roman" w:cs="Times New Roman"/>
          <w:sz w:val="24"/>
          <w:szCs w:val="24"/>
        </w:rPr>
        <w:t>CD45</w:t>
      </w:r>
      <w:r w:rsidR="00EB41E6">
        <w:rPr>
          <w:rFonts w:ascii="Times New Roman" w:hAnsi="Times New Roman" w:cs="Times New Roman"/>
          <w:sz w:val="24"/>
          <w:szCs w:val="24"/>
        </w:rPr>
        <w:t>)</w:t>
      </w:r>
      <w:r w:rsidR="0010555F" w:rsidRPr="0010555F">
        <w:rPr>
          <w:rFonts w:ascii="Times New Roman" w:hAnsi="Times New Roman" w:cs="Times New Roman"/>
          <w:sz w:val="24"/>
          <w:szCs w:val="24"/>
        </w:rPr>
        <w:t>.  A 2-tailed, unpaired Student’s t-test was used to determine the statistical significance of fold-change values.</w:t>
      </w:r>
    </w:p>
    <w:p w:rsidR="00DB740E" w:rsidRDefault="00DB740E" w:rsidP="00DB7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 CTL, cytotoxic T lymphocyte; NA, not applicable; NK, natural killer cell; NS, </w:t>
      </w:r>
      <w:r w:rsidRPr="007A3338">
        <w:rPr>
          <w:rFonts w:ascii="Times New Roman" w:hAnsi="Times New Roman" w:cs="Times New Roman"/>
          <w:sz w:val="24"/>
          <w:szCs w:val="24"/>
        </w:rPr>
        <w:t>not significant.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40E" w:rsidRPr="0010555F" w:rsidRDefault="00DB740E" w:rsidP="0010555F">
      <w:pPr>
        <w:rPr>
          <w:rFonts w:ascii="Times New Roman" w:hAnsi="Times New Roman" w:cs="Times New Roman"/>
          <w:sz w:val="24"/>
          <w:szCs w:val="24"/>
        </w:rPr>
      </w:pPr>
    </w:p>
    <w:p w:rsidR="00312ACE" w:rsidRDefault="00312ACE"/>
    <w:sectPr w:rsidR="00312A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E" w:rsidRDefault="00C7259E" w:rsidP="00673C90">
      <w:pPr>
        <w:spacing w:after="0" w:line="240" w:lineRule="auto"/>
      </w:pPr>
      <w:r>
        <w:separator/>
      </w:r>
    </w:p>
  </w:endnote>
  <w:endnote w:type="continuationSeparator" w:id="0">
    <w:p w:rsidR="00C7259E" w:rsidRDefault="00C7259E" w:rsidP="006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27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C90" w:rsidRDefault="00673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C90" w:rsidRDefault="0067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E" w:rsidRDefault="00C7259E" w:rsidP="00673C90">
      <w:pPr>
        <w:spacing w:after="0" w:line="240" w:lineRule="auto"/>
      </w:pPr>
      <w:r>
        <w:separator/>
      </w:r>
    </w:p>
  </w:footnote>
  <w:footnote w:type="continuationSeparator" w:id="0">
    <w:p w:rsidR="00C7259E" w:rsidRDefault="00C7259E" w:rsidP="0067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5B"/>
    <w:multiLevelType w:val="hybridMultilevel"/>
    <w:tmpl w:val="096CD7AC"/>
    <w:lvl w:ilvl="0" w:tplc="D95C2B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2356"/>
    <w:multiLevelType w:val="hybridMultilevel"/>
    <w:tmpl w:val="78B2B62A"/>
    <w:lvl w:ilvl="0" w:tplc="48B4A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B2"/>
    <w:rsid w:val="000012D4"/>
    <w:rsid w:val="000053CD"/>
    <w:rsid w:val="00015C82"/>
    <w:rsid w:val="00021843"/>
    <w:rsid w:val="00032C8E"/>
    <w:rsid w:val="00036174"/>
    <w:rsid w:val="00042527"/>
    <w:rsid w:val="000425D1"/>
    <w:rsid w:val="000611C2"/>
    <w:rsid w:val="000C5D8A"/>
    <w:rsid w:val="000C66B1"/>
    <w:rsid w:val="000C754F"/>
    <w:rsid w:val="000D3046"/>
    <w:rsid w:val="000E22DA"/>
    <w:rsid w:val="000E44A7"/>
    <w:rsid w:val="0010555F"/>
    <w:rsid w:val="001304D7"/>
    <w:rsid w:val="00146CF4"/>
    <w:rsid w:val="001640AE"/>
    <w:rsid w:val="00172C37"/>
    <w:rsid w:val="001C228C"/>
    <w:rsid w:val="001F5891"/>
    <w:rsid w:val="00230BE1"/>
    <w:rsid w:val="002A28E7"/>
    <w:rsid w:val="002B043E"/>
    <w:rsid w:val="002B5250"/>
    <w:rsid w:val="002B6FE5"/>
    <w:rsid w:val="002C46D5"/>
    <w:rsid w:val="002E3D54"/>
    <w:rsid w:val="002F3078"/>
    <w:rsid w:val="002F4A8D"/>
    <w:rsid w:val="00312ACE"/>
    <w:rsid w:val="00343522"/>
    <w:rsid w:val="003456B3"/>
    <w:rsid w:val="00367095"/>
    <w:rsid w:val="003809C1"/>
    <w:rsid w:val="003F5A98"/>
    <w:rsid w:val="00466D00"/>
    <w:rsid w:val="004A070D"/>
    <w:rsid w:val="004A2962"/>
    <w:rsid w:val="004F4128"/>
    <w:rsid w:val="005351C7"/>
    <w:rsid w:val="005B03BB"/>
    <w:rsid w:val="006135DB"/>
    <w:rsid w:val="00657A1F"/>
    <w:rsid w:val="0066632D"/>
    <w:rsid w:val="00673C90"/>
    <w:rsid w:val="006E0FEB"/>
    <w:rsid w:val="006E1FC2"/>
    <w:rsid w:val="007048FB"/>
    <w:rsid w:val="00727CCD"/>
    <w:rsid w:val="00732007"/>
    <w:rsid w:val="00732011"/>
    <w:rsid w:val="007361AC"/>
    <w:rsid w:val="007411EB"/>
    <w:rsid w:val="007B4B67"/>
    <w:rsid w:val="007F08AA"/>
    <w:rsid w:val="00812B3E"/>
    <w:rsid w:val="00815DD4"/>
    <w:rsid w:val="00817607"/>
    <w:rsid w:val="008304D4"/>
    <w:rsid w:val="008646AA"/>
    <w:rsid w:val="00871F5A"/>
    <w:rsid w:val="00886FE2"/>
    <w:rsid w:val="0089423B"/>
    <w:rsid w:val="008C79BD"/>
    <w:rsid w:val="008F3341"/>
    <w:rsid w:val="00926A47"/>
    <w:rsid w:val="00934F21"/>
    <w:rsid w:val="00935009"/>
    <w:rsid w:val="009371DD"/>
    <w:rsid w:val="00975FE8"/>
    <w:rsid w:val="00976CA4"/>
    <w:rsid w:val="009E5A1C"/>
    <w:rsid w:val="00A05F84"/>
    <w:rsid w:val="00A62BDB"/>
    <w:rsid w:val="00AA107A"/>
    <w:rsid w:val="00AA1172"/>
    <w:rsid w:val="00AB2B73"/>
    <w:rsid w:val="00AB3DEA"/>
    <w:rsid w:val="00AB5048"/>
    <w:rsid w:val="00AD40EA"/>
    <w:rsid w:val="00AE383B"/>
    <w:rsid w:val="00AF71E4"/>
    <w:rsid w:val="00B24D3C"/>
    <w:rsid w:val="00B34E92"/>
    <w:rsid w:val="00B45A54"/>
    <w:rsid w:val="00B51EA4"/>
    <w:rsid w:val="00B55214"/>
    <w:rsid w:val="00B601A3"/>
    <w:rsid w:val="00B74F36"/>
    <w:rsid w:val="00B76F7C"/>
    <w:rsid w:val="00BA17A9"/>
    <w:rsid w:val="00BA6AFC"/>
    <w:rsid w:val="00BD1915"/>
    <w:rsid w:val="00BF6616"/>
    <w:rsid w:val="00C60E00"/>
    <w:rsid w:val="00C70047"/>
    <w:rsid w:val="00C7259E"/>
    <w:rsid w:val="00CA27BF"/>
    <w:rsid w:val="00CB5C86"/>
    <w:rsid w:val="00CF04B5"/>
    <w:rsid w:val="00D1063D"/>
    <w:rsid w:val="00D46418"/>
    <w:rsid w:val="00D70FD6"/>
    <w:rsid w:val="00D83597"/>
    <w:rsid w:val="00DA1067"/>
    <w:rsid w:val="00DB0E8D"/>
    <w:rsid w:val="00DB740E"/>
    <w:rsid w:val="00E4224A"/>
    <w:rsid w:val="00E44813"/>
    <w:rsid w:val="00E64194"/>
    <w:rsid w:val="00E86B55"/>
    <w:rsid w:val="00E97F92"/>
    <w:rsid w:val="00EA12BA"/>
    <w:rsid w:val="00EB41E6"/>
    <w:rsid w:val="00ED769B"/>
    <w:rsid w:val="00EE67A2"/>
    <w:rsid w:val="00EF1775"/>
    <w:rsid w:val="00F53162"/>
    <w:rsid w:val="00F94DF8"/>
    <w:rsid w:val="00FD39DC"/>
    <w:rsid w:val="00FD3EB2"/>
    <w:rsid w:val="00FD58A2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1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90"/>
  </w:style>
  <w:style w:type="paragraph" w:styleId="Footer">
    <w:name w:val="footer"/>
    <w:basedOn w:val="Normal"/>
    <w:link w:val="FooterChar"/>
    <w:uiPriority w:val="99"/>
    <w:unhideWhenUsed/>
    <w:rsid w:val="006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90"/>
  </w:style>
  <w:style w:type="character" w:styleId="Hyperlink">
    <w:name w:val="Hyperlink"/>
    <w:basedOn w:val="DefaultParagraphFont"/>
    <w:uiPriority w:val="99"/>
    <w:unhideWhenUsed/>
    <w:rsid w:val="002F4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1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90"/>
  </w:style>
  <w:style w:type="paragraph" w:styleId="Footer">
    <w:name w:val="footer"/>
    <w:basedOn w:val="Normal"/>
    <w:link w:val="FooterChar"/>
    <w:uiPriority w:val="99"/>
    <w:unhideWhenUsed/>
    <w:rsid w:val="006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90"/>
  </w:style>
  <w:style w:type="character" w:styleId="Hyperlink">
    <w:name w:val="Hyperlink"/>
    <w:basedOn w:val="DefaultParagraphFont"/>
    <w:uiPriority w:val="99"/>
    <w:unhideWhenUsed/>
    <w:rsid w:val="002F4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name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nenam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.abcc.ncifcrf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Taube</dc:creator>
  <cp:lastModifiedBy>SLT</cp:lastModifiedBy>
  <cp:revision>2</cp:revision>
  <cp:lastPrinted>2015-01-19T17:01:00Z</cp:lastPrinted>
  <dcterms:created xsi:type="dcterms:W3CDTF">2015-03-31T18:32:00Z</dcterms:created>
  <dcterms:modified xsi:type="dcterms:W3CDTF">2015-03-31T18:32:00Z</dcterms:modified>
</cp:coreProperties>
</file>