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F74A1" w14:textId="77777777" w:rsidR="00700A69" w:rsidRPr="00E12B22" w:rsidRDefault="00700A69" w:rsidP="00700A69">
      <w:pPr>
        <w:spacing w:after="0" w:line="240" w:lineRule="auto"/>
        <w:jc w:val="both"/>
        <w:rPr>
          <w:b/>
          <w:lang w:val="en-GB"/>
        </w:rPr>
      </w:pPr>
      <w:r>
        <w:rPr>
          <w:b/>
          <w:lang w:val="en-GB"/>
        </w:rPr>
        <w:t>Supplementary</w:t>
      </w:r>
      <w:r w:rsidRPr="00E12B22">
        <w:rPr>
          <w:b/>
          <w:lang w:val="en-GB"/>
        </w:rPr>
        <w:t xml:space="preserve"> Figures </w:t>
      </w:r>
    </w:p>
    <w:p w14:paraId="1389FD70" w14:textId="77777777" w:rsidR="00700A69" w:rsidRPr="00E12B22" w:rsidRDefault="00700A69" w:rsidP="00700A69">
      <w:pPr>
        <w:spacing w:after="0" w:line="240" w:lineRule="auto"/>
        <w:jc w:val="both"/>
        <w:rPr>
          <w:lang w:val="en-GB"/>
        </w:rPr>
      </w:pPr>
    </w:p>
    <w:p w14:paraId="16ACDC3D" w14:textId="29365BBD" w:rsidR="00AE0107" w:rsidRDefault="00AE0107" w:rsidP="00700A69">
      <w:pPr>
        <w:spacing w:after="0" w:line="240" w:lineRule="auto"/>
        <w:jc w:val="both"/>
        <w:rPr>
          <w:b/>
          <w:lang w:val="en-GB"/>
        </w:rPr>
      </w:pPr>
      <w:r>
        <w:rPr>
          <w:b/>
          <w:lang w:val="en-GB"/>
        </w:rPr>
        <w:t xml:space="preserve">Table S1. </w:t>
      </w:r>
      <w:r w:rsidR="00CA2587">
        <w:rPr>
          <w:b/>
          <w:lang w:val="en-GB"/>
        </w:rPr>
        <w:t>Proteomics data</w:t>
      </w:r>
    </w:p>
    <w:p w14:paraId="0089D8C5" w14:textId="77777777" w:rsidR="00AE0107" w:rsidRDefault="00AE0107" w:rsidP="00700A69">
      <w:pPr>
        <w:spacing w:after="0" w:line="240" w:lineRule="auto"/>
        <w:jc w:val="both"/>
        <w:rPr>
          <w:b/>
          <w:lang w:val="en-GB"/>
        </w:rPr>
      </w:pPr>
    </w:p>
    <w:p w14:paraId="2FCC66F6" w14:textId="77777777" w:rsidR="00700A69" w:rsidRPr="00B3016E" w:rsidRDefault="00700A69" w:rsidP="00700A69">
      <w:pPr>
        <w:spacing w:after="0" w:line="240" w:lineRule="auto"/>
        <w:jc w:val="both"/>
        <w:rPr>
          <w:b/>
          <w:lang w:val="en-GB"/>
        </w:rPr>
      </w:pPr>
      <w:r w:rsidRPr="00B3016E">
        <w:rPr>
          <w:b/>
          <w:lang w:val="en-GB"/>
        </w:rPr>
        <w:t>Figure S1</w:t>
      </w:r>
    </w:p>
    <w:p w14:paraId="4F96CAD3" w14:textId="3E963C60" w:rsidR="00700A69" w:rsidRPr="00B3016E" w:rsidRDefault="00700A69" w:rsidP="00700A69">
      <w:pPr>
        <w:spacing w:after="0" w:line="240" w:lineRule="auto"/>
        <w:jc w:val="both"/>
        <w:rPr>
          <w:lang w:val="en-GB"/>
        </w:rPr>
      </w:pPr>
      <w:proofErr w:type="gramStart"/>
      <w:r w:rsidRPr="00B3016E">
        <w:rPr>
          <w:b/>
          <w:lang w:val="en-GB"/>
        </w:rPr>
        <w:t>Urine proteome analysis</w:t>
      </w:r>
      <w:r w:rsidRPr="00B3016E">
        <w:rPr>
          <w:lang w:val="en-GB"/>
        </w:rPr>
        <w:t>.</w:t>
      </w:r>
      <w:proofErr w:type="gramEnd"/>
      <w:r w:rsidRPr="00B3016E">
        <w:rPr>
          <w:lang w:val="en-GB"/>
        </w:rPr>
        <w:t xml:space="preserve"> </w:t>
      </w:r>
      <w:proofErr w:type="gramStart"/>
      <w:r w:rsidRPr="00B3016E">
        <w:rPr>
          <w:b/>
          <w:lang w:val="en-GB"/>
        </w:rPr>
        <w:t>A</w:t>
      </w:r>
      <w:r w:rsidRPr="00B3016E">
        <w:rPr>
          <w:lang w:val="en-GB"/>
        </w:rPr>
        <w:t>, schematic outline of the study</w:t>
      </w:r>
      <w:r w:rsidR="00BB4AD7">
        <w:rPr>
          <w:lang w:val="en-GB"/>
        </w:rPr>
        <w:t>.</w:t>
      </w:r>
      <w:proofErr w:type="gramEnd"/>
      <w:r w:rsidRPr="00B3016E">
        <w:rPr>
          <w:lang w:val="en-GB"/>
        </w:rPr>
        <w:t xml:space="preserve"> </w:t>
      </w:r>
      <w:proofErr w:type="gramStart"/>
      <w:r w:rsidRPr="00B3016E">
        <w:rPr>
          <w:b/>
          <w:lang w:val="en-GB"/>
        </w:rPr>
        <w:t>B</w:t>
      </w:r>
      <w:r w:rsidRPr="00B3016E">
        <w:rPr>
          <w:lang w:val="en-GB"/>
        </w:rPr>
        <w:t xml:space="preserve">, classification of total identified proteins according to sub-cellular localisation and </w:t>
      </w:r>
      <w:r w:rsidRPr="00B3016E">
        <w:rPr>
          <w:b/>
          <w:lang w:val="en-GB"/>
        </w:rPr>
        <w:t>C</w:t>
      </w:r>
      <w:r w:rsidR="00BB4AD7">
        <w:rPr>
          <w:lang w:val="en-GB"/>
        </w:rPr>
        <w:t>,</w:t>
      </w:r>
      <w:r w:rsidRPr="00B3016E">
        <w:rPr>
          <w:lang w:val="en-GB"/>
        </w:rPr>
        <w:t xml:space="preserve"> functional activity determined by Ingenuity Pathway Analysis.</w:t>
      </w:r>
      <w:proofErr w:type="gramEnd"/>
      <w:r w:rsidRPr="00B3016E">
        <w:rPr>
          <w:lang w:val="en-GB"/>
        </w:rPr>
        <w:t xml:space="preserve"> H: healthy, CP: chronic pancreatitis, PDAC: pancreatic ductal adenocarcinoma, </w:t>
      </w:r>
      <w:proofErr w:type="spellStart"/>
      <w:r w:rsidR="00ED5458">
        <w:rPr>
          <w:lang w:val="en-GB"/>
        </w:rPr>
        <w:t>GeLC</w:t>
      </w:r>
      <w:proofErr w:type="spellEnd"/>
      <w:r w:rsidR="00ED5458">
        <w:rPr>
          <w:lang w:val="en-GB"/>
        </w:rPr>
        <w:t>/</w:t>
      </w:r>
      <w:r w:rsidRPr="00B3016E">
        <w:rPr>
          <w:lang w:val="en-GB"/>
        </w:rPr>
        <w:t>MS</w:t>
      </w:r>
      <w:r w:rsidR="00A341CC">
        <w:rPr>
          <w:lang w:val="en-GB"/>
        </w:rPr>
        <w:t>/MS</w:t>
      </w:r>
      <w:r w:rsidRPr="00B3016E">
        <w:rPr>
          <w:lang w:val="en-GB"/>
        </w:rPr>
        <w:t xml:space="preserve">: </w:t>
      </w:r>
      <w:r w:rsidR="00ED5458" w:rsidRPr="00CA2587">
        <w:rPr>
          <w:lang w:val="en-GB"/>
        </w:rPr>
        <w:t>SDS-PAGE-Liquid Chromatography-Tandem Mass Spectrometry</w:t>
      </w:r>
      <w:r w:rsidR="00ED5458">
        <w:rPr>
          <w:lang w:val="en-GB"/>
        </w:rPr>
        <w:t>.</w:t>
      </w:r>
    </w:p>
    <w:p w14:paraId="66EFEA39" w14:textId="77777777" w:rsidR="00700A69" w:rsidRPr="00B3016E" w:rsidRDefault="00700A69" w:rsidP="00700A69">
      <w:pPr>
        <w:spacing w:after="0" w:line="240" w:lineRule="auto"/>
        <w:jc w:val="both"/>
        <w:rPr>
          <w:b/>
          <w:lang w:val="en-GB"/>
        </w:rPr>
      </w:pPr>
    </w:p>
    <w:p w14:paraId="1CF98A4A" w14:textId="77777777" w:rsidR="00700A69" w:rsidRPr="00B3016E" w:rsidRDefault="00700A69" w:rsidP="00700A69">
      <w:pPr>
        <w:spacing w:after="0" w:line="240" w:lineRule="auto"/>
        <w:jc w:val="both"/>
        <w:rPr>
          <w:b/>
          <w:lang w:val="en-GB"/>
        </w:rPr>
      </w:pPr>
      <w:r w:rsidRPr="00B3016E">
        <w:rPr>
          <w:b/>
          <w:lang w:val="en-GB"/>
        </w:rPr>
        <w:t>Figure S2</w:t>
      </w:r>
    </w:p>
    <w:p w14:paraId="2C3AFCD8" w14:textId="07102534" w:rsidR="00700A69" w:rsidRPr="00B3016E" w:rsidRDefault="00700A69" w:rsidP="00700A69">
      <w:pPr>
        <w:spacing w:after="0" w:line="240" w:lineRule="auto"/>
        <w:jc w:val="both"/>
        <w:rPr>
          <w:lang w:val="en-GB"/>
        </w:rPr>
      </w:pPr>
      <w:proofErr w:type="gramStart"/>
      <w:r w:rsidRPr="00B3016E">
        <w:rPr>
          <w:b/>
          <w:lang w:val="en-GB"/>
        </w:rPr>
        <w:t>Correlation of the three urinary biomarkers and plasma CA19.9 (CA19.9p).</w:t>
      </w:r>
      <w:proofErr w:type="gramEnd"/>
      <w:r w:rsidRPr="00B3016E">
        <w:rPr>
          <w:b/>
          <w:lang w:val="en-GB"/>
        </w:rPr>
        <w:t xml:space="preserve"> A</w:t>
      </w:r>
      <w:r w:rsidRPr="00B3016E">
        <w:rPr>
          <w:lang w:val="en-GB"/>
        </w:rPr>
        <w:t xml:space="preserve">, Correlation plots (Navy blue: Healthy; Turquoise: chronic pancreatitis (CP); Purple: pancreatic adenocarcinoma (PDAC). </w:t>
      </w:r>
      <w:proofErr w:type="gramStart"/>
      <w:r w:rsidRPr="00B3016E">
        <w:rPr>
          <w:b/>
          <w:lang w:val="en-GB"/>
        </w:rPr>
        <w:t>B</w:t>
      </w:r>
      <w:r w:rsidRPr="00B3016E">
        <w:rPr>
          <w:lang w:val="en-GB"/>
        </w:rPr>
        <w:t xml:space="preserve">, Pearson correlation coefficients and corresponding significance (NS: non-significant, *: </w:t>
      </w:r>
      <w:r w:rsidR="00827708">
        <w:rPr>
          <w:lang w:val="en-GB"/>
        </w:rPr>
        <w:t>p</w:t>
      </w:r>
      <w:r w:rsidRPr="00B3016E">
        <w:rPr>
          <w:lang w:val="en-GB"/>
        </w:rPr>
        <w:t xml:space="preserve">&lt;0.05, **: </w:t>
      </w:r>
      <w:r w:rsidR="00827708">
        <w:rPr>
          <w:lang w:val="en-GB"/>
        </w:rPr>
        <w:t>p</w:t>
      </w:r>
      <w:r w:rsidRPr="00B3016E">
        <w:rPr>
          <w:lang w:val="en-GB"/>
        </w:rPr>
        <w:t xml:space="preserve">&lt;0.01, ***: </w:t>
      </w:r>
      <w:r w:rsidR="00827708">
        <w:rPr>
          <w:lang w:val="en-GB"/>
        </w:rPr>
        <w:t>p</w:t>
      </w:r>
      <w:r w:rsidRPr="00B3016E">
        <w:rPr>
          <w:lang w:val="en-GB"/>
        </w:rPr>
        <w:t>&lt;0.001).</w:t>
      </w:r>
      <w:proofErr w:type="gramEnd"/>
    </w:p>
    <w:p w14:paraId="6E02BAA4" w14:textId="77777777" w:rsidR="00700A69" w:rsidRPr="00B3016E" w:rsidRDefault="00700A69" w:rsidP="00700A69">
      <w:pPr>
        <w:spacing w:after="0" w:line="240" w:lineRule="auto"/>
        <w:jc w:val="both"/>
        <w:rPr>
          <w:lang w:val="en-GB"/>
        </w:rPr>
      </w:pPr>
    </w:p>
    <w:p w14:paraId="79BF0D0D" w14:textId="77777777" w:rsidR="00700A69" w:rsidRPr="00B3016E" w:rsidRDefault="00700A69" w:rsidP="00700A69">
      <w:pPr>
        <w:spacing w:after="0" w:line="240" w:lineRule="auto"/>
        <w:jc w:val="both"/>
        <w:rPr>
          <w:b/>
          <w:lang w:val="en-GB"/>
        </w:rPr>
      </w:pPr>
      <w:r w:rsidRPr="00B3016E">
        <w:rPr>
          <w:b/>
          <w:lang w:val="en-GB"/>
        </w:rPr>
        <w:t>Figure S3</w:t>
      </w:r>
    </w:p>
    <w:p w14:paraId="3164A615" w14:textId="116FF4B1" w:rsidR="00700A69" w:rsidRPr="00CA2587" w:rsidRDefault="00700A69" w:rsidP="00CA2587">
      <w:pPr>
        <w:jc w:val="both"/>
      </w:pPr>
      <w:proofErr w:type="gramStart"/>
      <w:r w:rsidRPr="00B3016E">
        <w:rPr>
          <w:b/>
          <w:lang w:val="en-GB"/>
        </w:rPr>
        <w:t xml:space="preserve">Diagnostic performance of urine biomarkers in discriminating pancreatic adenocarcinoma </w:t>
      </w:r>
      <w:r w:rsidR="00CA2587">
        <w:rPr>
          <w:b/>
          <w:lang w:val="en-GB"/>
        </w:rPr>
        <w:t xml:space="preserve">all stages (A-C) and </w:t>
      </w:r>
      <w:r w:rsidR="00CA2587" w:rsidRPr="00B3016E">
        <w:rPr>
          <w:b/>
          <w:lang w:val="en-GB"/>
        </w:rPr>
        <w:t xml:space="preserve">stage I-II </w:t>
      </w:r>
      <w:r w:rsidR="00CA2587">
        <w:rPr>
          <w:b/>
          <w:lang w:val="en-GB"/>
        </w:rPr>
        <w:t xml:space="preserve">(D-F) </w:t>
      </w:r>
      <w:r w:rsidRPr="00B3016E">
        <w:rPr>
          <w:b/>
          <w:lang w:val="en-GB"/>
        </w:rPr>
        <w:t>from chronic pancreatitis patients</w:t>
      </w:r>
      <w:r w:rsidRPr="00B3016E">
        <w:rPr>
          <w:lang w:val="en-GB"/>
        </w:rPr>
        <w:t>.</w:t>
      </w:r>
      <w:proofErr w:type="gramEnd"/>
      <w:r w:rsidRPr="00B3016E">
        <w:rPr>
          <w:lang w:val="en-GB"/>
        </w:rPr>
        <w:t xml:space="preserve">  </w:t>
      </w:r>
      <w:r w:rsidRPr="00B3016E">
        <w:rPr>
          <w:b/>
          <w:lang w:val="en-GB"/>
        </w:rPr>
        <w:t>A,</w:t>
      </w:r>
      <w:r w:rsidRPr="00B3016E">
        <w:rPr>
          <w:lang w:val="en-GB"/>
        </w:rPr>
        <w:t xml:space="preserve"> ROC curves of PDAC (n=143) versus CP (n=62) patients for individual urine biomarkers in the training set (70% of the data). </w:t>
      </w:r>
      <w:r w:rsidRPr="00CA2587">
        <w:rPr>
          <w:b/>
          <w:lang w:val="en-GB"/>
        </w:rPr>
        <w:t>B</w:t>
      </w:r>
      <w:r w:rsidRPr="00B3016E">
        <w:rPr>
          <w:lang w:val="en-GB"/>
        </w:rPr>
        <w:t xml:space="preserve">, ROC curves of PDAC versus CP patients for the panel in the training set and in the independent validation set (30% of the data, PDAC n=49, CP n=30). </w:t>
      </w:r>
      <w:proofErr w:type="gramStart"/>
      <w:r w:rsidRPr="00B3016E">
        <w:rPr>
          <w:b/>
          <w:lang w:val="en-GB"/>
        </w:rPr>
        <w:t>C</w:t>
      </w:r>
      <w:r w:rsidRPr="00B3016E">
        <w:rPr>
          <w:lang w:val="en-GB"/>
        </w:rPr>
        <w:t>, Summary table.</w:t>
      </w:r>
      <w:proofErr w:type="gramEnd"/>
      <w:r w:rsidRPr="00B3016E">
        <w:rPr>
          <w:lang w:val="en-GB"/>
        </w:rPr>
        <w:t xml:space="preserve"> </w:t>
      </w:r>
      <w:r w:rsidR="00CA2587">
        <w:rPr>
          <w:b/>
          <w:lang w:val="en-GB"/>
        </w:rPr>
        <w:t>D</w:t>
      </w:r>
      <w:r w:rsidR="00CA2587" w:rsidRPr="00B3016E">
        <w:rPr>
          <w:lang w:val="en-GB"/>
        </w:rPr>
        <w:t>, ROC curves of individual urine biomarkers in training dataset (70%, PDAC</w:t>
      </w:r>
      <w:r w:rsidR="0011060D">
        <w:rPr>
          <w:lang w:val="en-GB"/>
        </w:rPr>
        <w:t xml:space="preserve"> stage I-II</w:t>
      </w:r>
      <w:r w:rsidR="00CA2587" w:rsidRPr="00B3016E">
        <w:rPr>
          <w:lang w:val="en-GB"/>
        </w:rPr>
        <w:t xml:space="preserve"> n= 56, CP=66). </w:t>
      </w:r>
      <w:r w:rsidR="00CA2587">
        <w:rPr>
          <w:b/>
          <w:lang w:val="en-GB"/>
        </w:rPr>
        <w:t>E</w:t>
      </w:r>
      <w:r w:rsidR="00CA2587" w:rsidRPr="00B3016E">
        <w:rPr>
          <w:lang w:val="en-GB"/>
        </w:rPr>
        <w:t>, ROC curves of the panel in training and validation (PDAC</w:t>
      </w:r>
      <w:r w:rsidR="0011060D">
        <w:rPr>
          <w:lang w:val="en-GB"/>
        </w:rPr>
        <w:t xml:space="preserve"> stage I-II</w:t>
      </w:r>
      <w:r w:rsidR="00CA2587" w:rsidRPr="00B3016E">
        <w:rPr>
          <w:lang w:val="en-GB"/>
        </w:rPr>
        <w:t xml:space="preserve"> n=15, CP n=26) dataset. </w:t>
      </w:r>
      <w:proofErr w:type="gramStart"/>
      <w:r w:rsidR="00CA2587">
        <w:rPr>
          <w:b/>
          <w:lang w:val="en-GB"/>
        </w:rPr>
        <w:t>F</w:t>
      </w:r>
      <w:r w:rsidR="00CA2587" w:rsidRPr="00B3016E">
        <w:rPr>
          <w:lang w:val="en-GB"/>
        </w:rPr>
        <w:t>, Summary table.</w:t>
      </w:r>
      <w:proofErr w:type="gramEnd"/>
      <w:r w:rsidR="00CA2587">
        <w:rPr>
          <w:lang w:val="en-GB"/>
        </w:rPr>
        <w:t xml:space="preserve"> </w:t>
      </w:r>
      <w:proofErr w:type="spellStart"/>
      <w:r w:rsidR="00006B01">
        <w:rPr>
          <w:lang w:val="en-GB"/>
        </w:rPr>
        <w:t>Cnorm</w:t>
      </w:r>
      <w:proofErr w:type="spellEnd"/>
      <w:r w:rsidR="00006B01">
        <w:rPr>
          <w:lang w:val="en-GB"/>
        </w:rPr>
        <w:t xml:space="preserve">, </w:t>
      </w:r>
      <w:proofErr w:type="spellStart"/>
      <w:r w:rsidR="00006B01">
        <w:rPr>
          <w:lang w:val="en-GB"/>
        </w:rPr>
        <w:t>creatinine</w:t>
      </w:r>
      <w:proofErr w:type="spellEnd"/>
      <w:r w:rsidR="00006B01">
        <w:rPr>
          <w:lang w:val="en-GB"/>
        </w:rPr>
        <w:t xml:space="preserve">-normalised, </w:t>
      </w:r>
      <w:proofErr w:type="spellStart"/>
      <w:r w:rsidR="00006B01">
        <w:rPr>
          <w:lang w:val="en-GB"/>
        </w:rPr>
        <w:t>creat</w:t>
      </w:r>
      <w:proofErr w:type="spellEnd"/>
      <w:r w:rsidR="00006B01">
        <w:rPr>
          <w:lang w:val="en-GB"/>
        </w:rPr>
        <w:t xml:space="preserve">, </w:t>
      </w:r>
      <w:proofErr w:type="spellStart"/>
      <w:r w:rsidR="00006B01">
        <w:rPr>
          <w:lang w:val="en-GB"/>
        </w:rPr>
        <w:t>creatinine</w:t>
      </w:r>
      <w:proofErr w:type="spellEnd"/>
      <w:r w:rsidR="00006B01">
        <w:rPr>
          <w:lang w:val="en-GB"/>
        </w:rPr>
        <w:t xml:space="preserve">, </w:t>
      </w:r>
      <w:r w:rsidRPr="00B3016E">
        <w:rPr>
          <w:lang w:val="en-GB"/>
        </w:rPr>
        <w:t>AUC: area under the curve</w:t>
      </w:r>
      <w:r w:rsidR="00ED5458">
        <w:rPr>
          <w:lang w:val="en-GB"/>
        </w:rPr>
        <w:t xml:space="preserve"> </w:t>
      </w:r>
      <w:r w:rsidRPr="00B3016E">
        <w:rPr>
          <w:lang w:val="en-GB"/>
        </w:rPr>
        <w:t>SN: sensitivity, SP: specificity</w:t>
      </w:r>
      <w:bookmarkStart w:id="0" w:name="_GoBack"/>
      <w:bookmarkEnd w:id="0"/>
      <w:r w:rsidR="00ED5458">
        <w:rPr>
          <w:lang w:val="en-GB"/>
        </w:rPr>
        <w:t xml:space="preserve"> with 95% Confidence Interval (CI)</w:t>
      </w:r>
      <w:r w:rsidR="00F12880">
        <w:rPr>
          <w:lang w:val="en-GB"/>
        </w:rPr>
        <w:t xml:space="preserve">. </w:t>
      </w:r>
      <w:r w:rsidR="00ED5458">
        <w:t>SN and</w:t>
      </w:r>
      <w:r w:rsidR="00ED5458" w:rsidRPr="00ED5458">
        <w:t xml:space="preserve"> SP </w:t>
      </w:r>
      <w:r w:rsidR="00ED5458">
        <w:t xml:space="preserve">in the validation set were </w:t>
      </w:r>
      <w:r w:rsidR="00ED5458" w:rsidRPr="00ED5458">
        <w:t xml:space="preserve">derived for optimal </w:t>
      </w:r>
      <w:proofErr w:type="spellStart"/>
      <w:r w:rsidR="00ED5458" w:rsidRPr="00ED5458">
        <w:t>cutpoint</w:t>
      </w:r>
      <w:proofErr w:type="spellEnd"/>
      <w:r w:rsidR="00ED5458" w:rsidRPr="00ED5458">
        <w:t xml:space="preserve"> determined in </w:t>
      </w:r>
      <w:r w:rsidR="00ED5458">
        <w:t xml:space="preserve">the </w:t>
      </w:r>
      <w:r w:rsidR="00ED5458" w:rsidRPr="00ED5458">
        <w:t>training dataset</w:t>
      </w:r>
      <w:r w:rsidR="00ED5458">
        <w:t>.</w:t>
      </w:r>
    </w:p>
    <w:p w14:paraId="7D443EEE" w14:textId="77777777" w:rsidR="00700A69" w:rsidRPr="00B3016E" w:rsidRDefault="00700A69" w:rsidP="00700A69">
      <w:pPr>
        <w:spacing w:after="0" w:line="240" w:lineRule="auto"/>
        <w:jc w:val="both"/>
        <w:rPr>
          <w:lang w:val="en-GB"/>
        </w:rPr>
      </w:pPr>
    </w:p>
    <w:p w14:paraId="3E2F1F5B" w14:textId="77777777" w:rsidR="00700A69" w:rsidRPr="00B3016E" w:rsidRDefault="00700A69" w:rsidP="00700A69">
      <w:pPr>
        <w:spacing w:after="0" w:line="240" w:lineRule="auto"/>
        <w:jc w:val="both"/>
        <w:rPr>
          <w:b/>
          <w:lang w:val="en-GB"/>
        </w:rPr>
      </w:pPr>
      <w:r w:rsidRPr="00B3016E">
        <w:rPr>
          <w:b/>
          <w:lang w:val="en-GB"/>
        </w:rPr>
        <w:t>Figure S4</w:t>
      </w:r>
    </w:p>
    <w:p w14:paraId="28467F6A" w14:textId="23622B5A" w:rsidR="00CA2587" w:rsidRDefault="0005177E" w:rsidP="00700A69">
      <w:pPr>
        <w:spacing w:after="0" w:line="240" w:lineRule="auto"/>
        <w:jc w:val="both"/>
      </w:pPr>
      <w:proofErr w:type="gramStart"/>
      <w:r>
        <w:rPr>
          <w:b/>
          <w:lang w:val="en-GB"/>
        </w:rPr>
        <w:t xml:space="preserve">Exploratory comparison of plasma CA19.9 and </w:t>
      </w:r>
      <w:r w:rsidR="00CA2587" w:rsidRPr="00B3016E">
        <w:rPr>
          <w:b/>
          <w:lang w:val="en-GB"/>
        </w:rPr>
        <w:t>the urine biomarker panel in discriminating early pancreatic adenocarcinoma from chronic pancreatitis patients.</w:t>
      </w:r>
      <w:proofErr w:type="gramEnd"/>
      <w:r w:rsidR="00CA2587" w:rsidRPr="00B3016E">
        <w:rPr>
          <w:b/>
          <w:lang w:val="en-GB"/>
        </w:rPr>
        <w:t xml:space="preserve"> A</w:t>
      </w:r>
      <w:r w:rsidR="00CA2587" w:rsidRPr="00B3016E">
        <w:rPr>
          <w:lang w:val="en-GB"/>
        </w:rPr>
        <w:t xml:space="preserve">, </w:t>
      </w:r>
      <w:r w:rsidR="00E32B15" w:rsidRPr="000B007C">
        <w:rPr>
          <w:lang w:val="en-GB"/>
        </w:rPr>
        <w:t xml:space="preserve">ROC curves of the biomarker panel </w:t>
      </w:r>
      <w:r w:rsidR="00CA2587" w:rsidRPr="00B3016E">
        <w:rPr>
          <w:lang w:val="en-GB"/>
        </w:rPr>
        <w:t xml:space="preserve">with corresponding plasma CA19.9 alone and in combination </w:t>
      </w:r>
      <w:r w:rsidR="00E32B15">
        <w:rPr>
          <w:lang w:val="en-GB"/>
        </w:rPr>
        <w:t>comparing</w:t>
      </w:r>
      <w:r w:rsidR="00E32B15" w:rsidRPr="00B3016E">
        <w:rPr>
          <w:lang w:val="en-GB"/>
        </w:rPr>
        <w:t xml:space="preserve"> </w:t>
      </w:r>
      <w:r w:rsidR="00E32B15">
        <w:rPr>
          <w:lang w:val="en-GB"/>
        </w:rPr>
        <w:t xml:space="preserve">CP urine (n=50), and urines from </w:t>
      </w:r>
      <w:r w:rsidR="00CA2587" w:rsidRPr="00B3016E">
        <w:rPr>
          <w:lang w:val="en-GB"/>
        </w:rPr>
        <w:t>PDAC stage</w:t>
      </w:r>
      <w:r w:rsidR="00E32B15">
        <w:rPr>
          <w:lang w:val="en-GB"/>
        </w:rPr>
        <w:t>s</w:t>
      </w:r>
      <w:r w:rsidR="00CA2587" w:rsidRPr="00B3016E">
        <w:rPr>
          <w:lang w:val="en-GB"/>
        </w:rPr>
        <w:t xml:space="preserve"> I-II (n=71) and</w:t>
      </w:r>
      <w:r w:rsidR="00BB4AD7">
        <w:rPr>
          <w:lang w:val="en-GB"/>
        </w:rPr>
        <w:t xml:space="preserve">, </w:t>
      </w:r>
      <w:r w:rsidR="00CA2587" w:rsidRPr="00B3016E">
        <w:rPr>
          <w:lang w:val="en-GB"/>
        </w:rPr>
        <w:t>I-IIA (n=16)</w:t>
      </w:r>
      <w:r w:rsidR="00E32B15">
        <w:rPr>
          <w:lang w:val="en-GB"/>
        </w:rPr>
        <w:t xml:space="preserve"> (</w:t>
      </w:r>
      <w:r w:rsidR="00CA2587" w:rsidRPr="00B3016E">
        <w:rPr>
          <w:b/>
          <w:lang w:val="en-GB"/>
        </w:rPr>
        <w:t>B</w:t>
      </w:r>
      <w:r w:rsidR="00CA2587" w:rsidRPr="00B3016E">
        <w:rPr>
          <w:lang w:val="en-GB"/>
        </w:rPr>
        <w:t xml:space="preserve">). </w:t>
      </w:r>
      <w:proofErr w:type="gramStart"/>
      <w:r w:rsidR="00CA2587" w:rsidRPr="00B3016E">
        <w:rPr>
          <w:b/>
          <w:lang w:val="en-GB"/>
        </w:rPr>
        <w:t>C</w:t>
      </w:r>
      <w:r w:rsidR="00CA2587" w:rsidRPr="00B3016E">
        <w:rPr>
          <w:lang w:val="en-GB"/>
        </w:rPr>
        <w:t>, Summary table.</w:t>
      </w:r>
      <w:proofErr w:type="gramEnd"/>
      <w:r w:rsidR="00CA2587" w:rsidRPr="00B3016E">
        <w:rPr>
          <w:lang w:val="en-GB"/>
        </w:rPr>
        <w:t xml:space="preserve"> AUC: area under the curve, SN: sensitivity, SP: specificity</w:t>
      </w:r>
      <w:r w:rsidR="00CA2587">
        <w:rPr>
          <w:lang w:val="en-GB"/>
        </w:rPr>
        <w:t xml:space="preserve"> with 95% Confidence Interval (CI)</w:t>
      </w:r>
      <w:r w:rsidR="00CA2587" w:rsidRPr="00B3016E">
        <w:rPr>
          <w:lang w:val="en-GB"/>
        </w:rPr>
        <w:t>.</w:t>
      </w:r>
      <w:r w:rsidR="00CA2587">
        <w:rPr>
          <w:lang w:val="en-GB"/>
        </w:rPr>
        <w:t xml:space="preserve"> </w:t>
      </w:r>
      <w:r w:rsidR="00CA2587">
        <w:t>SN and</w:t>
      </w:r>
      <w:r w:rsidR="00CA2587" w:rsidRPr="00ED5458">
        <w:t xml:space="preserve"> SP </w:t>
      </w:r>
      <w:r w:rsidR="00CA2587">
        <w:t xml:space="preserve">in the validation set were </w:t>
      </w:r>
      <w:r w:rsidR="00CA2587" w:rsidRPr="00ED5458">
        <w:t xml:space="preserve">derived for optimal </w:t>
      </w:r>
      <w:proofErr w:type="spellStart"/>
      <w:r w:rsidR="00CA2587" w:rsidRPr="00ED5458">
        <w:t>cutpoint</w:t>
      </w:r>
      <w:proofErr w:type="spellEnd"/>
      <w:r w:rsidR="00CA2587" w:rsidRPr="00ED5458">
        <w:t xml:space="preserve"> determined in </w:t>
      </w:r>
      <w:r w:rsidR="00CA2587">
        <w:t xml:space="preserve">the </w:t>
      </w:r>
      <w:r w:rsidR="00CA2587" w:rsidRPr="00ED5458">
        <w:t>training dataset</w:t>
      </w:r>
      <w:r w:rsidR="00CA2587">
        <w:t>.</w:t>
      </w:r>
    </w:p>
    <w:p w14:paraId="1F1BB79C" w14:textId="77777777" w:rsidR="00700A69" w:rsidRPr="00B3016E" w:rsidRDefault="00700A69" w:rsidP="00700A69">
      <w:pPr>
        <w:spacing w:after="0" w:line="240" w:lineRule="auto"/>
        <w:jc w:val="both"/>
        <w:rPr>
          <w:b/>
          <w:lang w:val="en-GB"/>
        </w:rPr>
      </w:pPr>
    </w:p>
    <w:p w14:paraId="055FA016" w14:textId="77777777" w:rsidR="00700A69" w:rsidRPr="00B3016E" w:rsidRDefault="00700A69" w:rsidP="00700A69">
      <w:pPr>
        <w:spacing w:after="0" w:line="240" w:lineRule="auto"/>
        <w:jc w:val="both"/>
        <w:rPr>
          <w:b/>
          <w:lang w:val="en-GB"/>
        </w:rPr>
      </w:pPr>
      <w:r w:rsidRPr="00B3016E">
        <w:rPr>
          <w:b/>
          <w:lang w:val="en-GB"/>
        </w:rPr>
        <w:t>Figure S5</w:t>
      </w:r>
    </w:p>
    <w:p w14:paraId="6468FE57" w14:textId="5C3B150C" w:rsidR="00CA2587" w:rsidRPr="00B3016E" w:rsidRDefault="00CA2587" w:rsidP="00CA2587">
      <w:pPr>
        <w:spacing w:after="0" w:line="240" w:lineRule="auto"/>
        <w:jc w:val="both"/>
        <w:rPr>
          <w:lang w:val="en-GB"/>
        </w:rPr>
      </w:pPr>
      <w:proofErr w:type="gramStart"/>
      <w:r w:rsidRPr="00B3016E">
        <w:rPr>
          <w:b/>
          <w:lang w:val="en-GB"/>
        </w:rPr>
        <w:t>Urine biomarker concentrations in different tumours</w:t>
      </w:r>
      <w:r w:rsidRPr="00B3016E">
        <w:rPr>
          <w:lang w:val="en-GB"/>
        </w:rPr>
        <w:t>.</w:t>
      </w:r>
      <w:proofErr w:type="gramEnd"/>
      <w:r w:rsidRPr="00B3016E">
        <w:rPr>
          <w:lang w:val="en-GB"/>
        </w:rPr>
        <w:t xml:space="preserve"> Scatter dot plots of urine LYVE1, REG1</w:t>
      </w:r>
      <w:r>
        <w:rPr>
          <w:lang w:val="en-GB"/>
        </w:rPr>
        <w:t>A</w:t>
      </w:r>
      <w:r w:rsidRPr="00B3016E">
        <w:rPr>
          <w:lang w:val="en-GB"/>
        </w:rPr>
        <w:t xml:space="preserve"> and plasma CA19.9 in different </w:t>
      </w:r>
      <w:proofErr w:type="spellStart"/>
      <w:r w:rsidRPr="00B3016E">
        <w:rPr>
          <w:lang w:val="en-GB"/>
        </w:rPr>
        <w:t>hepatobiliary</w:t>
      </w:r>
      <w:proofErr w:type="spellEnd"/>
      <w:r w:rsidRPr="00B3016E">
        <w:rPr>
          <w:lang w:val="en-GB"/>
        </w:rPr>
        <w:t xml:space="preserve"> pathologies and early stages of pancreatic adenocarcinoma (I-IIA, n=16) and I-II (n=71). The level of TFF1 protein was not measured in these samples due to substantial modifications made to the original ELISA assay by the source company at the moment of this analysis. IPMN (n=33): </w:t>
      </w:r>
      <w:proofErr w:type="spellStart"/>
      <w:r w:rsidRPr="00B3016E">
        <w:rPr>
          <w:lang w:val="en-GB"/>
        </w:rPr>
        <w:t>intraductal</w:t>
      </w:r>
      <w:proofErr w:type="spellEnd"/>
      <w:r w:rsidRPr="00B3016E">
        <w:rPr>
          <w:lang w:val="en-GB"/>
        </w:rPr>
        <w:t xml:space="preserve"> papillary mucinous neoplasm, AMP (n=26): </w:t>
      </w:r>
      <w:proofErr w:type="spellStart"/>
      <w:r w:rsidRPr="00B3016E">
        <w:rPr>
          <w:lang w:val="en-GB"/>
        </w:rPr>
        <w:t>ampullary</w:t>
      </w:r>
      <w:proofErr w:type="spellEnd"/>
      <w:r w:rsidRPr="00B3016E">
        <w:rPr>
          <w:lang w:val="en-GB"/>
        </w:rPr>
        <w:t xml:space="preserve"> cancer, NET (n=18): neuroendocrine tumour, CHL (n=24): </w:t>
      </w:r>
      <w:proofErr w:type="spellStart"/>
      <w:r w:rsidRPr="00B3016E">
        <w:rPr>
          <w:lang w:val="en-GB"/>
        </w:rPr>
        <w:t>cholangiocarcinoma</w:t>
      </w:r>
      <w:proofErr w:type="spellEnd"/>
      <w:r w:rsidRPr="00B3016E">
        <w:rPr>
          <w:lang w:val="en-GB"/>
        </w:rPr>
        <w:t xml:space="preserve">, </w:t>
      </w:r>
      <w:proofErr w:type="spellStart"/>
      <w:r w:rsidRPr="00B3016E">
        <w:rPr>
          <w:lang w:val="en-GB"/>
        </w:rPr>
        <w:t>DuCA</w:t>
      </w:r>
      <w:proofErr w:type="spellEnd"/>
      <w:r w:rsidRPr="00B3016E">
        <w:rPr>
          <w:lang w:val="en-GB"/>
        </w:rPr>
        <w:t xml:space="preserve"> (n=16): duodenal cancer. Bars indicate median and IQR values. Upper bars: </w:t>
      </w:r>
      <w:proofErr w:type="spellStart"/>
      <w:r w:rsidRPr="00B3016E">
        <w:rPr>
          <w:lang w:val="en-GB"/>
        </w:rPr>
        <w:t>Kruskal</w:t>
      </w:r>
      <w:proofErr w:type="spellEnd"/>
      <w:r w:rsidRPr="00B3016E">
        <w:rPr>
          <w:lang w:val="en-GB"/>
        </w:rPr>
        <w:t xml:space="preserve">-Wallis/Dunn’s post test, *: </w:t>
      </w:r>
      <w:r w:rsidR="00827708">
        <w:rPr>
          <w:lang w:val="en-GB"/>
        </w:rPr>
        <w:t>p</w:t>
      </w:r>
      <w:r w:rsidRPr="00B3016E">
        <w:rPr>
          <w:lang w:val="en-GB"/>
        </w:rPr>
        <w:t>&lt;0.</w:t>
      </w:r>
      <w:r w:rsidR="00BB4AD7">
        <w:rPr>
          <w:lang w:val="en-GB"/>
        </w:rPr>
        <w:t>0</w:t>
      </w:r>
      <w:r w:rsidRPr="00B3016E">
        <w:rPr>
          <w:lang w:val="en-GB"/>
        </w:rPr>
        <w:t xml:space="preserve">5, **: </w:t>
      </w:r>
      <w:r w:rsidR="00827708">
        <w:rPr>
          <w:lang w:val="en-GB"/>
        </w:rPr>
        <w:t>p</w:t>
      </w:r>
      <w:r w:rsidRPr="00B3016E">
        <w:rPr>
          <w:lang w:val="en-GB"/>
        </w:rPr>
        <w:t xml:space="preserve">&lt;0.01, ***: </w:t>
      </w:r>
      <w:r w:rsidR="00827708">
        <w:rPr>
          <w:lang w:val="en-GB"/>
        </w:rPr>
        <w:t>p</w:t>
      </w:r>
      <w:r w:rsidRPr="00B3016E">
        <w:rPr>
          <w:lang w:val="en-GB"/>
        </w:rPr>
        <w:t xml:space="preserve">&lt;0.001; where not shown, </w:t>
      </w:r>
      <w:r w:rsidR="00CE4AB3">
        <w:rPr>
          <w:lang w:val="en-GB"/>
        </w:rPr>
        <w:t>p&gt;0.05 (no adjustment for multiplicity was made)</w:t>
      </w:r>
      <w:r w:rsidR="00AD672B">
        <w:rPr>
          <w:lang w:val="en-GB"/>
        </w:rPr>
        <w:t>.</w:t>
      </w:r>
      <w:r w:rsidRPr="00B3016E">
        <w:rPr>
          <w:lang w:val="en-GB"/>
        </w:rPr>
        <w:t xml:space="preserve"> </w:t>
      </w:r>
    </w:p>
    <w:p w14:paraId="000E7B01" w14:textId="77777777" w:rsidR="00700A69" w:rsidRPr="00B3016E" w:rsidRDefault="00700A69" w:rsidP="00700A69">
      <w:pPr>
        <w:spacing w:after="0" w:line="240" w:lineRule="auto"/>
        <w:jc w:val="both"/>
        <w:rPr>
          <w:b/>
          <w:lang w:val="en-GB"/>
        </w:rPr>
      </w:pPr>
    </w:p>
    <w:p w14:paraId="4691852B" w14:textId="77777777" w:rsidR="00700A69" w:rsidRPr="00B3016E" w:rsidRDefault="00700A69" w:rsidP="00700A69">
      <w:pPr>
        <w:spacing w:after="0" w:line="240" w:lineRule="auto"/>
        <w:jc w:val="both"/>
        <w:rPr>
          <w:b/>
          <w:lang w:val="en-GB"/>
        </w:rPr>
      </w:pPr>
      <w:r w:rsidRPr="00B3016E">
        <w:rPr>
          <w:b/>
          <w:lang w:val="en-GB"/>
        </w:rPr>
        <w:t>Figure S6</w:t>
      </w:r>
    </w:p>
    <w:p w14:paraId="3C520F22" w14:textId="5A933120" w:rsidR="00F12880" w:rsidRPr="00B3016E" w:rsidRDefault="00700A69" w:rsidP="00F12880">
      <w:pPr>
        <w:spacing w:after="0" w:line="240" w:lineRule="auto"/>
        <w:jc w:val="both"/>
        <w:rPr>
          <w:lang w:val="en-GB"/>
        </w:rPr>
      </w:pPr>
      <w:proofErr w:type="gramStart"/>
      <w:r w:rsidRPr="00B3016E">
        <w:rPr>
          <w:b/>
          <w:lang w:val="en-GB"/>
        </w:rPr>
        <w:t xml:space="preserve">Expression of the </w:t>
      </w:r>
      <w:r w:rsidR="00977489">
        <w:rPr>
          <w:b/>
          <w:lang w:val="en-GB"/>
        </w:rPr>
        <w:t>protein</w:t>
      </w:r>
      <w:r w:rsidR="00977489" w:rsidRPr="00B3016E">
        <w:rPr>
          <w:b/>
          <w:lang w:val="en-GB"/>
        </w:rPr>
        <w:t xml:space="preserve"> </w:t>
      </w:r>
      <w:r w:rsidRPr="00B3016E">
        <w:rPr>
          <w:b/>
          <w:lang w:val="en-GB"/>
        </w:rPr>
        <w:t>biomarker</w:t>
      </w:r>
      <w:r w:rsidR="00BB4AD7">
        <w:rPr>
          <w:b/>
          <w:lang w:val="en-GB"/>
        </w:rPr>
        <w:t>s</w:t>
      </w:r>
      <w:r w:rsidRPr="00B3016E">
        <w:rPr>
          <w:b/>
          <w:lang w:val="en-GB"/>
        </w:rPr>
        <w:t xml:space="preserve"> in pancreatic cancer tissues</w:t>
      </w:r>
      <w:r w:rsidRPr="00B3016E">
        <w:rPr>
          <w:lang w:val="en-GB"/>
        </w:rPr>
        <w:t>.</w:t>
      </w:r>
      <w:proofErr w:type="gramEnd"/>
      <w:r w:rsidRPr="00B3016E">
        <w:rPr>
          <w:lang w:val="en-GB"/>
        </w:rPr>
        <w:t xml:space="preserve"> </w:t>
      </w:r>
      <w:r w:rsidR="00BB4AD7" w:rsidRPr="00B75D58">
        <w:rPr>
          <w:b/>
          <w:lang w:val="en-GB"/>
        </w:rPr>
        <w:t>A</w:t>
      </w:r>
      <w:r w:rsidR="00BB4AD7">
        <w:rPr>
          <w:lang w:val="en-GB"/>
        </w:rPr>
        <w:t xml:space="preserve">, </w:t>
      </w:r>
      <w:proofErr w:type="spellStart"/>
      <w:r w:rsidRPr="00B3016E">
        <w:rPr>
          <w:lang w:val="en-GB"/>
        </w:rPr>
        <w:t>Immunohistochemical</w:t>
      </w:r>
      <w:proofErr w:type="spellEnd"/>
      <w:r w:rsidRPr="00B3016E">
        <w:rPr>
          <w:lang w:val="en-GB"/>
        </w:rPr>
        <w:t xml:space="preserve"> analysis </w:t>
      </w:r>
      <w:proofErr w:type="gramStart"/>
      <w:r w:rsidRPr="00B3016E">
        <w:rPr>
          <w:lang w:val="en-GB"/>
        </w:rPr>
        <w:t>of  REG1</w:t>
      </w:r>
      <w:r w:rsidR="00F12880">
        <w:rPr>
          <w:lang w:val="en-GB"/>
        </w:rPr>
        <w:t>A</w:t>
      </w:r>
      <w:proofErr w:type="gramEnd"/>
      <w:r w:rsidRPr="00B3016E">
        <w:rPr>
          <w:lang w:val="en-GB"/>
        </w:rPr>
        <w:t xml:space="preserve">: </w:t>
      </w:r>
      <w:proofErr w:type="spellStart"/>
      <w:r w:rsidRPr="00B3016E">
        <w:rPr>
          <w:lang w:val="en-GB"/>
        </w:rPr>
        <w:t>i</w:t>
      </w:r>
      <w:proofErr w:type="spellEnd"/>
      <w:r w:rsidRPr="00B3016E">
        <w:rPr>
          <w:lang w:val="en-GB"/>
        </w:rPr>
        <w:t>) REG1</w:t>
      </w:r>
      <w:r w:rsidR="00CA2587">
        <w:rPr>
          <w:lang w:val="en-GB"/>
        </w:rPr>
        <w:t>A</w:t>
      </w:r>
      <w:r w:rsidRPr="00B3016E">
        <w:rPr>
          <w:lang w:val="en-GB"/>
        </w:rPr>
        <w:t xml:space="preserve"> in </w:t>
      </w:r>
      <w:r w:rsidR="00D2178E">
        <w:rPr>
          <w:lang w:val="en-GB"/>
        </w:rPr>
        <w:t xml:space="preserve">poorly differentiated </w:t>
      </w:r>
      <w:r w:rsidRPr="00B3016E">
        <w:rPr>
          <w:lang w:val="en-GB"/>
        </w:rPr>
        <w:t>PDAC, i</w:t>
      </w:r>
      <w:r w:rsidR="00D2178E">
        <w:rPr>
          <w:lang w:val="en-GB"/>
        </w:rPr>
        <w:t>i</w:t>
      </w:r>
      <w:r w:rsidRPr="00B3016E">
        <w:rPr>
          <w:lang w:val="en-GB"/>
        </w:rPr>
        <w:t>) luminal REG1</w:t>
      </w:r>
      <w:r w:rsidR="00CA2587">
        <w:rPr>
          <w:lang w:val="en-GB"/>
        </w:rPr>
        <w:t>A</w:t>
      </w:r>
      <w:r w:rsidRPr="00B3016E">
        <w:rPr>
          <w:lang w:val="en-GB"/>
        </w:rPr>
        <w:t xml:space="preserve"> in malignant glands</w:t>
      </w:r>
      <w:r w:rsidR="00E3340C">
        <w:rPr>
          <w:lang w:val="en-GB"/>
        </w:rPr>
        <w:t>.</w:t>
      </w:r>
      <w:r w:rsidRPr="00B3016E">
        <w:rPr>
          <w:lang w:val="en-GB"/>
        </w:rPr>
        <w:t xml:space="preserve"> </w:t>
      </w:r>
      <w:r w:rsidRPr="00B3016E">
        <w:rPr>
          <w:b/>
          <w:lang w:val="en-GB"/>
        </w:rPr>
        <w:t>B</w:t>
      </w:r>
      <w:r w:rsidR="007304E0">
        <w:rPr>
          <w:lang w:val="en-GB"/>
        </w:rPr>
        <w:t>,</w:t>
      </w:r>
      <w:r w:rsidRPr="00B3016E">
        <w:rPr>
          <w:lang w:val="en-GB"/>
        </w:rPr>
        <w:t xml:space="preserve"> TFF1: </w:t>
      </w:r>
      <w:proofErr w:type="spellStart"/>
      <w:r w:rsidRPr="00B3016E">
        <w:rPr>
          <w:lang w:val="en-GB"/>
        </w:rPr>
        <w:t>i</w:t>
      </w:r>
      <w:proofErr w:type="spellEnd"/>
      <w:r w:rsidRPr="00B3016E">
        <w:rPr>
          <w:lang w:val="en-GB"/>
        </w:rPr>
        <w:t xml:space="preserve">) </w:t>
      </w:r>
      <w:proofErr w:type="spellStart"/>
      <w:r w:rsidR="00D2178E">
        <w:rPr>
          <w:lang w:val="en-GB"/>
        </w:rPr>
        <w:lastRenderedPageBreak/>
        <w:t>heterogenous</w:t>
      </w:r>
      <w:proofErr w:type="spellEnd"/>
      <w:r w:rsidR="00D2178E">
        <w:rPr>
          <w:lang w:val="en-GB"/>
        </w:rPr>
        <w:t xml:space="preserve"> expression</w:t>
      </w:r>
      <w:r w:rsidR="00E3340C">
        <w:rPr>
          <w:lang w:val="en-GB"/>
        </w:rPr>
        <w:t xml:space="preserve"> in cancer</w:t>
      </w:r>
      <w:proofErr w:type="gramStart"/>
      <w:r w:rsidR="00E3340C">
        <w:rPr>
          <w:lang w:val="en-GB"/>
        </w:rPr>
        <w:t>,</w:t>
      </w:r>
      <w:r w:rsidRPr="00B3016E">
        <w:rPr>
          <w:lang w:val="en-GB"/>
        </w:rPr>
        <w:t>,</w:t>
      </w:r>
      <w:proofErr w:type="gramEnd"/>
      <w:r w:rsidRPr="00B3016E">
        <w:rPr>
          <w:lang w:val="en-GB"/>
        </w:rPr>
        <w:t xml:space="preserve"> </w:t>
      </w:r>
      <w:r w:rsidR="00D2178E">
        <w:rPr>
          <w:lang w:val="en-GB"/>
        </w:rPr>
        <w:t>ii</w:t>
      </w:r>
      <w:r w:rsidRPr="00B3016E">
        <w:rPr>
          <w:lang w:val="en-GB"/>
        </w:rPr>
        <w:t>) luminal TFF1 in malignant gland</w:t>
      </w:r>
      <w:r w:rsidR="00E3340C">
        <w:rPr>
          <w:b/>
          <w:lang w:val="en-GB"/>
        </w:rPr>
        <w:t xml:space="preserve">. </w:t>
      </w:r>
      <w:proofErr w:type="gramStart"/>
      <w:r w:rsidR="00F12880" w:rsidRPr="00CA2587">
        <w:rPr>
          <w:b/>
          <w:lang w:val="en-GB"/>
        </w:rPr>
        <w:t>C</w:t>
      </w:r>
      <w:r w:rsidR="007304E0">
        <w:rPr>
          <w:lang w:val="en-GB"/>
        </w:rPr>
        <w:t>,</w:t>
      </w:r>
      <w:r w:rsidR="00F12880">
        <w:rPr>
          <w:b/>
          <w:lang w:val="en-GB"/>
        </w:rPr>
        <w:t xml:space="preserve"> </w:t>
      </w:r>
      <w:r w:rsidR="00F12880" w:rsidRPr="00CA2587">
        <w:rPr>
          <w:lang w:val="en-GB"/>
        </w:rPr>
        <w:t xml:space="preserve">LYVE1 expression in the </w:t>
      </w:r>
      <w:r w:rsidR="00E3340C">
        <w:rPr>
          <w:lang w:val="en-GB"/>
        </w:rPr>
        <w:t xml:space="preserve">scattered </w:t>
      </w:r>
      <w:r w:rsidR="00F12880" w:rsidRPr="00CA2587">
        <w:rPr>
          <w:lang w:val="en-GB"/>
        </w:rPr>
        <w:t>lymphatic vessels</w:t>
      </w:r>
      <w:r w:rsidR="00E3340C">
        <w:rPr>
          <w:lang w:val="en-GB"/>
        </w:rPr>
        <w:t xml:space="preserve"> </w:t>
      </w:r>
      <w:proofErr w:type="spellStart"/>
      <w:r w:rsidR="00E3340C">
        <w:rPr>
          <w:lang w:val="en-GB"/>
        </w:rPr>
        <w:t>i</w:t>
      </w:r>
      <w:proofErr w:type="spellEnd"/>
      <w:r w:rsidR="00E3340C">
        <w:rPr>
          <w:lang w:val="en-GB"/>
        </w:rPr>
        <w:t xml:space="preserve">) in the muscle layer and ii) in the </w:t>
      </w:r>
      <w:proofErr w:type="spellStart"/>
      <w:r w:rsidR="00E3340C">
        <w:rPr>
          <w:lang w:val="en-GB"/>
        </w:rPr>
        <w:t>stroma</w:t>
      </w:r>
      <w:proofErr w:type="spellEnd"/>
      <w:r w:rsidR="00E3340C">
        <w:rPr>
          <w:lang w:val="en-GB"/>
        </w:rPr>
        <w:t xml:space="preserve"> surrounding malignant gland.</w:t>
      </w:r>
      <w:proofErr w:type="gramEnd"/>
      <w:r w:rsidR="00E3340C">
        <w:rPr>
          <w:lang w:val="en-GB"/>
        </w:rPr>
        <w:t xml:space="preserve"> </w:t>
      </w:r>
      <w:r w:rsidR="00F12880">
        <w:rPr>
          <w:lang w:val="en-GB"/>
        </w:rPr>
        <w:t xml:space="preserve"> </w:t>
      </w:r>
      <w:r w:rsidR="00F12880" w:rsidRPr="00CA2587">
        <w:rPr>
          <w:b/>
          <w:lang w:val="en-GB"/>
        </w:rPr>
        <w:t>D</w:t>
      </w:r>
      <w:r w:rsidR="007304E0">
        <w:rPr>
          <w:lang w:val="en-GB"/>
        </w:rPr>
        <w:t>,</w:t>
      </w:r>
      <w:r w:rsidR="00F12880">
        <w:rPr>
          <w:lang w:val="en-GB"/>
        </w:rPr>
        <w:t xml:space="preserve"> </w:t>
      </w:r>
      <w:r w:rsidR="00F12880" w:rsidRPr="00CA2587">
        <w:rPr>
          <w:lang w:val="en-GB"/>
        </w:rPr>
        <w:t>The biomarker levels</w:t>
      </w:r>
      <w:r w:rsidR="00F12880" w:rsidRPr="00F12880">
        <w:rPr>
          <w:lang w:val="en-GB"/>
        </w:rPr>
        <w:t xml:space="preserve"> </w:t>
      </w:r>
      <w:r w:rsidR="00F12880" w:rsidRPr="00CA2587">
        <w:rPr>
          <w:lang w:val="en-GB"/>
        </w:rPr>
        <w:t xml:space="preserve">during monitoring of pancreatic </w:t>
      </w:r>
      <w:r w:rsidR="00F12880" w:rsidRPr="00F12880">
        <w:rPr>
          <w:lang w:val="en-GB"/>
        </w:rPr>
        <w:t xml:space="preserve">adenocarcinoma patients: </w:t>
      </w:r>
      <w:r w:rsidR="00F12880" w:rsidRPr="00B3016E">
        <w:rPr>
          <w:lang w:val="en-GB"/>
        </w:rPr>
        <w:t>LYVE1, REG1</w:t>
      </w:r>
      <w:r w:rsidR="00F12880">
        <w:rPr>
          <w:lang w:val="en-GB"/>
        </w:rPr>
        <w:t>A</w:t>
      </w:r>
      <w:r w:rsidR="00F12880" w:rsidRPr="00B3016E">
        <w:rPr>
          <w:lang w:val="en-GB"/>
        </w:rPr>
        <w:t xml:space="preserve"> and TFF1</w:t>
      </w:r>
      <w:r w:rsidR="00F12880" w:rsidRPr="00B3016E">
        <w:rPr>
          <w:b/>
          <w:lang w:val="en-GB"/>
        </w:rPr>
        <w:t xml:space="preserve"> </w:t>
      </w:r>
      <w:r w:rsidR="00F12880" w:rsidRPr="00B3016E">
        <w:rPr>
          <w:lang w:val="en-GB"/>
        </w:rPr>
        <w:t>were measured using ELISA in urine</w:t>
      </w:r>
      <w:r w:rsidR="00F12880">
        <w:rPr>
          <w:lang w:val="en-GB"/>
        </w:rPr>
        <w:t xml:space="preserve"> sample</w:t>
      </w:r>
      <w:r w:rsidR="00F12880" w:rsidRPr="00B3016E">
        <w:rPr>
          <w:lang w:val="en-GB"/>
        </w:rPr>
        <w:t xml:space="preserve">s collected before surgery and during the patient’s follow up. Each point represents log-transformed ELISA values at a particular time point (x-axis). </w:t>
      </w:r>
    </w:p>
    <w:p w14:paraId="00EC09C3" w14:textId="639ED5C1" w:rsidR="00F12880" w:rsidRPr="00CA2587" w:rsidRDefault="00F12880" w:rsidP="00F12880">
      <w:pPr>
        <w:spacing w:after="0" w:line="240" w:lineRule="auto"/>
        <w:jc w:val="both"/>
        <w:rPr>
          <w:lang w:val="en-GB"/>
        </w:rPr>
      </w:pPr>
    </w:p>
    <w:p w14:paraId="57AE981D" w14:textId="6E4C51D3" w:rsidR="00700A69" w:rsidRPr="00B3016E" w:rsidRDefault="00700A69" w:rsidP="00700A69">
      <w:pPr>
        <w:spacing w:after="0" w:line="240" w:lineRule="auto"/>
        <w:jc w:val="both"/>
        <w:rPr>
          <w:lang w:val="en-GB"/>
        </w:rPr>
      </w:pPr>
    </w:p>
    <w:p w14:paraId="600E81AD" w14:textId="77777777" w:rsidR="00700A69" w:rsidRPr="00B3016E" w:rsidRDefault="00700A69" w:rsidP="00700A69">
      <w:pPr>
        <w:spacing w:after="0" w:line="240" w:lineRule="auto"/>
        <w:jc w:val="both"/>
        <w:rPr>
          <w:b/>
          <w:lang w:val="en-GB"/>
        </w:rPr>
      </w:pPr>
    </w:p>
    <w:p w14:paraId="3517ECEE" w14:textId="77777777" w:rsidR="00700A69" w:rsidRPr="003B6B7B" w:rsidRDefault="00700A69" w:rsidP="00700A69">
      <w:pPr>
        <w:tabs>
          <w:tab w:val="left" w:pos="1808"/>
        </w:tabs>
      </w:pPr>
    </w:p>
    <w:p w14:paraId="71E925C6" w14:textId="77777777" w:rsidR="00F54761" w:rsidRDefault="00F54761"/>
    <w:sectPr w:rsidR="00F54761" w:rsidSect="00ED5458">
      <w:footerReference w:type="default" r:id="rId7"/>
      <w:pgSz w:w="11900" w:h="16840"/>
      <w:pgMar w:top="1440" w:right="843"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A8E0E" w14:textId="77777777" w:rsidR="00BB4AD7" w:rsidRDefault="00BB4AD7">
      <w:pPr>
        <w:spacing w:after="0" w:line="240" w:lineRule="auto"/>
      </w:pPr>
      <w:r>
        <w:separator/>
      </w:r>
    </w:p>
  </w:endnote>
  <w:endnote w:type="continuationSeparator" w:id="0">
    <w:p w14:paraId="089B1E1B" w14:textId="77777777" w:rsidR="00BB4AD7" w:rsidRDefault="00BB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Segoe UI">
    <w:altName w:val="Calibri"/>
    <w:charset w:val="00"/>
    <w:family w:val="swiss"/>
    <w:pitch w:val="variable"/>
    <w:sig w:usb0="E00022FF" w:usb1="C000205B" w:usb2="0000000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37CA" w14:textId="77777777" w:rsidR="00BB4AD7" w:rsidRDefault="00BB4AD7">
    <w:pPr>
      <w:pStyle w:val="Footer"/>
      <w:pBdr>
        <w:top w:val="single" w:sz="4" w:space="1" w:color="D9D9D9"/>
      </w:pBdr>
      <w:jc w:val="right"/>
    </w:pPr>
    <w:r>
      <w:fldChar w:fldCharType="begin"/>
    </w:r>
    <w:r>
      <w:instrText xml:space="preserve"> PAGE   \* MERGEFORMAT </w:instrText>
    </w:r>
    <w:r>
      <w:fldChar w:fldCharType="separate"/>
    </w:r>
    <w:r w:rsidR="00827708">
      <w:rPr>
        <w:noProof/>
      </w:rPr>
      <w:t>2</w:t>
    </w:r>
    <w:r>
      <w:rPr>
        <w:noProof/>
      </w:rPr>
      <w:fldChar w:fldCharType="end"/>
    </w:r>
    <w:r>
      <w:t xml:space="preserve"> | </w:t>
    </w:r>
    <w:r>
      <w:rPr>
        <w:color w:val="7F7F7F"/>
        <w:spacing w:val="60"/>
      </w:rPr>
      <w:t>Page</w:t>
    </w:r>
  </w:p>
  <w:p w14:paraId="77382D8D" w14:textId="77777777" w:rsidR="00BB4AD7" w:rsidRDefault="00BB4A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A7225" w14:textId="77777777" w:rsidR="00BB4AD7" w:rsidRDefault="00BB4AD7">
      <w:pPr>
        <w:spacing w:after="0" w:line="240" w:lineRule="auto"/>
      </w:pPr>
      <w:r>
        <w:separator/>
      </w:r>
    </w:p>
  </w:footnote>
  <w:footnote w:type="continuationSeparator" w:id="0">
    <w:p w14:paraId="331777DE" w14:textId="77777777" w:rsidR="00BB4AD7" w:rsidRDefault="00BB4AD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Lemoine (Director BCI)">
    <w15:presenceInfo w15:providerId="AD" w15:userId="S-1-5-21-128539963-2138636753-1325367051-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69"/>
    <w:rsid w:val="00006B01"/>
    <w:rsid w:val="0005177E"/>
    <w:rsid w:val="000D53ED"/>
    <w:rsid w:val="0011060D"/>
    <w:rsid w:val="001F0579"/>
    <w:rsid w:val="002144A3"/>
    <w:rsid w:val="003640BD"/>
    <w:rsid w:val="00565596"/>
    <w:rsid w:val="00700A69"/>
    <w:rsid w:val="00705ADF"/>
    <w:rsid w:val="007304E0"/>
    <w:rsid w:val="00827708"/>
    <w:rsid w:val="008C3DAA"/>
    <w:rsid w:val="009237A8"/>
    <w:rsid w:val="00925EDF"/>
    <w:rsid w:val="00954D1F"/>
    <w:rsid w:val="00977489"/>
    <w:rsid w:val="00A341CC"/>
    <w:rsid w:val="00AD672B"/>
    <w:rsid w:val="00AE0107"/>
    <w:rsid w:val="00B3016E"/>
    <w:rsid w:val="00B75D58"/>
    <w:rsid w:val="00BB4AD7"/>
    <w:rsid w:val="00CA2587"/>
    <w:rsid w:val="00CE4AB3"/>
    <w:rsid w:val="00D2178E"/>
    <w:rsid w:val="00E32B15"/>
    <w:rsid w:val="00E3340C"/>
    <w:rsid w:val="00E51578"/>
    <w:rsid w:val="00ED5458"/>
    <w:rsid w:val="00F12880"/>
    <w:rsid w:val="00F5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7B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69"/>
    <w:pPr>
      <w:spacing w:after="200" w:line="276" w:lineRule="auto"/>
    </w:pPr>
    <w:rPr>
      <w:rFonts w:ascii="Calibri" w:eastAsia="MS Mincho"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0A69"/>
    <w:pPr>
      <w:tabs>
        <w:tab w:val="center" w:pos="4513"/>
        <w:tab w:val="right" w:pos="9026"/>
      </w:tabs>
    </w:pPr>
    <w:rPr>
      <w:rFonts w:eastAsia="Calibri"/>
      <w:lang w:val="en-GB" w:eastAsia="x-none" w:bidi="ar-SA"/>
    </w:rPr>
  </w:style>
  <w:style w:type="character" w:customStyle="1" w:styleId="FooterChar">
    <w:name w:val="Footer Char"/>
    <w:basedOn w:val="DefaultParagraphFont"/>
    <w:link w:val="Footer"/>
    <w:uiPriority w:val="99"/>
    <w:rsid w:val="00700A69"/>
    <w:rPr>
      <w:rFonts w:ascii="Calibri" w:eastAsia="Calibri" w:hAnsi="Calibri" w:cs="Times New Roman"/>
      <w:sz w:val="22"/>
      <w:szCs w:val="22"/>
      <w:lang w:val="en-GB" w:eastAsia="x-none"/>
    </w:rPr>
  </w:style>
  <w:style w:type="paragraph" w:styleId="BalloonText">
    <w:name w:val="Balloon Text"/>
    <w:basedOn w:val="Normal"/>
    <w:link w:val="BalloonTextChar"/>
    <w:uiPriority w:val="99"/>
    <w:semiHidden/>
    <w:unhideWhenUsed/>
    <w:rsid w:val="00954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1F"/>
    <w:rPr>
      <w:rFonts w:ascii="Segoe UI" w:eastAsia="MS Mincho" w:hAnsi="Segoe UI" w:cs="Segoe UI"/>
      <w:sz w:val="18"/>
      <w:szCs w:val="18"/>
      <w:lang w:bidi="en-US"/>
    </w:rPr>
  </w:style>
  <w:style w:type="paragraph" w:styleId="NormalWeb">
    <w:name w:val="Normal (Web)"/>
    <w:basedOn w:val="Normal"/>
    <w:uiPriority w:val="99"/>
    <w:semiHidden/>
    <w:unhideWhenUsed/>
    <w:rsid w:val="00ED5458"/>
    <w:pPr>
      <w:spacing w:before="100" w:beforeAutospacing="1" w:after="100" w:afterAutospacing="1" w:line="240" w:lineRule="auto"/>
    </w:pPr>
    <w:rPr>
      <w:rFonts w:ascii="Times" w:hAnsi="Times"/>
      <w:sz w:val="20"/>
      <w:szCs w:val="20"/>
      <w:lang w:val="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69"/>
    <w:pPr>
      <w:spacing w:after="200" w:line="276" w:lineRule="auto"/>
    </w:pPr>
    <w:rPr>
      <w:rFonts w:ascii="Calibri" w:eastAsia="MS Mincho"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0A69"/>
    <w:pPr>
      <w:tabs>
        <w:tab w:val="center" w:pos="4513"/>
        <w:tab w:val="right" w:pos="9026"/>
      </w:tabs>
    </w:pPr>
    <w:rPr>
      <w:rFonts w:eastAsia="Calibri"/>
      <w:lang w:val="en-GB" w:eastAsia="x-none" w:bidi="ar-SA"/>
    </w:rPr>
  </w:style>
  <w:style w:type="character" w:customStyle="1" w:styleId="FooterChar">
    <w:name w:val="Footer Char"/>
    <w:basedOn w:val="DefaultParagraphFont"/>
    <w:link w:val="Footer"/>
    <w:uiPriority w:val="99"/>
    <w:rsid w:val="00700A69"/>
    <w:rPr>
      <w:rFonts w:ascii="Calibri" w:eastAsia="Calibri" w:hAnsi="Calibri" w:cs="Times New Roman"/>
      <w:sz w:val="22"/>
      <w:szCs w:val="22"/>
      <w:lang w:val="en-GB" w:eastAsia="x-none"/>
    </w:rPr>
  </w:style>
  <w:style w:type="paragraph" w:styleId="BalloonText">
    <w:name w:val="Balloon Text"/>
    <w:basedOn w:val="Normal"/>
    <w:link w:val="BalloonTextChar"/>
    <w:uiPriority w:val="99"/>
    <w:semiHidden/>
    <w:unhideWhenUsed/>
    <w:rsid w:val="00954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1F"/>
    <w:rPr>
      <w:rFonts w:ascii="Segoe UI" w:eastAsia="MS Mincho" w:hAnsi="Segoe UI" w:cs="Segoe UI"/>
      <w:sz w:val="18"/>
      <w:szCs w:val="18"/>
      <w:lang w:bidi="en-US"/>
    </w:rPr>
  </w:style>
  <w:style w:type="paragraph" w:styleId="NormalWeb">
    <w:name w:val="Normal (Web)"/>
    <w:basedOn w:val="Normal"/>
    <w:uiPriority w:val="99"/>
    <w:semiHidden/>
    <w:unhideWhenUsed/>
    <w:rsid w:val="00ED5458"/>
    <w:pPr>
      <w:spacing w:before="100" w:beforeAutospacing="1" w:after="100" w:afterAutospacing="1" w:line="240" w:lineRule="auto"/>
    </w:pPr>
    <w:rPr>
      <w:rFonts w:ascii="Times" w:hAnsi="Times"/>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63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560</Words>
  <Characters>3195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Crnogorac-Jurcevic</dc:creator>
  <cp:keywords/>
  <dc:description/>
  <cp:lastModifiedBy>Tatjana Crnogorac-Jurcevic</cp:lastModifiedBy>
  <cp:revision>10</cp:revision>
  <cp:lastPrinted>2015-01-30T17:20:00Z</cp:lastPrinted>
  <dcterms:created xsi:type="dcterms:W3CDTF">2015-01-30T17:08:00Z</dcterms:created>
  <dcterms:modified xsi:type="dcterms:W3CDTF">2015-03-24T17:46:00Z</dcterms:modified>
</cp:coreProperties>
</file>