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>Supplementary Tables:</w:t>
      </w: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Supplementary Table 1: </w:t>
      </w:r>
      <w:r w:rsidRPr="00D37C9D">
        <w:rPr>
          <w:rFonts w:ascii="Arial" w:hAnsi="Arial" w:cs="Arial"/>
          <w:sz w:val="20"/>
          <w:szCs w:val="20"/>
          <w:shd w:val="clear" w:color="auto" w:fill="FFFFFF"/>
          <w:lang w:val="en-GB"/>
        </w:rPr>
        <w:t>Toxicities: incidence and National Cancer Institute (NCI) CTC grading</w:t>
      </w: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r w:rsidRPr="00D37C9D">
        <w:rPr>
          <w:rFonts w:ascii="Arial" w:hAnsi="Arial" w:cs="Arial"/>
          <w:sz w:val="20"/>
          <w:szCs w:val="20"/>
          <w:shd w:val="clear" w:color="auto" w:fill="FFFFFF"/>
          <w:lang w:val="en-GB"/>
        </w:rPr>
        <w:t>Supplementary Table 2: Biomarker changes in placebo treated arm. Pre-treatment and surgical protein and mRNA expression biomarker values for control placebo-treated patients, together with percentage change and p-values showing the statistical significance of the change. Geometric means and 95% confidence intervals are shown, except for HER2 FISH (</w:t>
      </w:r>
      <w:proofErr w:type="spellStart"/>
      <w:r w:rsidRPr="00D37C9D">
        <w:rPr>
          <w:rFonts w:ascii="Arial" w:hAnsi="Arial" w:cs="Arial"/>
          <w:sz w:val="20"/>
          <w:szCs w:val="20"/>
          <w:shd w:val="clear" w:color="auto" w:fill="FFFFFF"/>
          <w:lang w:val="en-GB"/>
        </w:rPr>
        <w:t>Median,CI</w:t>
      </w:r>
      <w:proofErr w:type="spellEnd"/>
      <w:r w:rsidRPr="00D37C9D">
        <w:rPr>
          <w:rFonts w:ascii="Arial" w:hAnsi="Arial" w:cs="Arial"/>
          <w:sz w:val="20"/>
          <w:szCs w:val="20"/>
          <w:shd w:val="clear" w:color="auto" w:fill="FFFFFF"/>
          <w:lang w:val="en-GB"/>
        </w:rPr>
        <w:t>) and EGFR (% not negative),  ’</w:t>
      </w:r>
      <w:proofErr w:type="spellStart"/>
      <w:r w:rsidRPr="00D37C9D">
        <w:rPr>
          <w:rFonts w:ascii="Arial" w:hAnsi="Arial" w:cs="Arial"/>
          <w:sz w:val="20"/>
          <w:szCs w:val="20"/>
          <w:shd w:val="clear" w:color="auto" w:fill="FFFFFF"/>
          <w:lang w:val="en-GB"/>
        </w:rPr>
        <w:t>na</w:t>
      </w:r>
      <w:proofErr w:type="spellEnd"/>
      <w:r w:rsidRPr="00D37C9D">
        <w:rPr>
          <w:rFonts w:ascii="Arial" w:hAnsi="Arial" w:cs="Arial"/>
          <w:sz w:val="20"/>
          <w:szCs w:val="20"/>
          <w:shd w:val="clear" w:color="auto" w:fill="FFFFFF"/>
          <w:lang w:val="en-GB"/>
        </w:rPr>
        <w:t>’ indicates not assessable, in these instances  there are too few patients for the analysis to be performed.</w:t>
      </w: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r w:rsidRPr="00D37C9D">
        <w:rPr>
          <w:rFonts w:ascii="Arial" w:hAnsi="Arial" w:cs="Arial"/>
          <w:sz w:val="20"/>
          <w:szCs w:val="20"/>
          <w:shd w:val="clear" w:color="auto" w:fill="FFFFFF"/>
          <w:lang w:val="en-GB"/>
        </w:rPr>
        <w:t>Supplementary Table 3:   Correlation between baseline protein and mRNA expression biomarker values with Ki67 response (defined as &gt;50% fall in Ki67).   A logistic regression was performed to assess the ability of each baseline biomarker, treated as a continuous factor, to predict a fall in Ki67 of 50% or more, (+) indicates the direction is for higher biomarker values to increase the likelihood of response, (-) indicates that a low value increases the likelihood of Ki67 response.  ’</w:t>
      </w:r>
      <w:proofErr w:type="spellStart"/>
      <w:r w:rsidRPr="00D37C9D">
        <w:rPr>
          <w:rFonts w:ascii="Arial" w:hAnsi="Arial" w:cs="Arial"/>
          <w:sz w:val="20"/>
          <w:szCs w:val="20"/>
          <w:shd w:val="clear" w:color="auto" w:fill="FFFFFF"/>
          <w:lang w:val="en-GB"/>
        </w:rPr>
        <w:t>na</w:t>
      </w:r>
      <w:proofErr w:type="spellEnd"/>
      <w:r w:rsidRPr="00D37C9D">
        <w:rPr>
          <w:rFonts w:ascii="Arial" w:hAnsi="Arial" w:cs="Arial"/>
          <w:sz w:val="20"/>
          <w:szCs w:val="20"/>
          <w:shd w:val="clear" w:color="auto" w:fill="FFFFFF"/>
          <w:lang w:val="en-GB"/>
        </w:rPr>
        <w:t>’ indicates there are too few patients for the analysis to be performed.   Protein expression was assessed by IHC and mRNA by RT-PCR.</w:t>
      </w: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r w:rsidRPr="00D37C9D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Supplementary Table 4: Correlation of change in protein and mRNA biomarker values with change in Ki67 for both </w:t>
      </w:r>
      <w:proofErr w:type="spellStart"/>
      <w:r w:rsidRPr="00D37C9D">
        <w:rPr>
          <w:rFonts w:ascii="Arial" w:hAnsi="Arial" w:cs="Arial"/>
          <w:sz w:val="20"/>
          <w:szCs w:val="20"/>
          <w:shd w:val="clear" w:color="auto" w:fill="FFFFFF"/>
          <w:lang w:val="en-GB"/>
        </w:rPr>
        <w:t>lapatinib</w:t>
      </w:r>
      <w:proofErr w:type="spellEnd"/>
      <w:r w:rsidRPr="00D37C9D">
        <w:rPr>
          <w:rFonts w:ascii="Arial" w:hAnsi="Arial" w:cs="Arial"/>
          <w:sz w:val="20"/>
          <w:szCs w:val="20"/>
          <w:shd w:val="clear" w:color="auto" w:fill="FFFFFF"/>
          <w:lang w:val="en-GB"/>
        </w:rPr>
        <w:t>-treated and placebo-treated control patients. Spearman rank correlation is shown. Protein biomarkers in this table were assessed by IHC, and mRNA expression by RT-PCR.</w:t>
      </w: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:rsidR="00D37C9D" w:rsidRDefault="00D37C9D">
      <w:pPr>
        <w:spacing w:after="200" w:line="276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br w:type="page"/>
      </w: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lastRenderedPageBreak/>
        <w:t>Supplementary Figures:</w:t>
      </w: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Supplementary Figure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>1 :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Pr="00BB32B4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Correlations between expression levels of ER, </w:t>
      </w:r>
      <w:proofErr w:type="spellStart"/>
      <w:r w:rsidRPr="00BB32B4">
        <w:rPr>
          <w:rFonts w:ascii="Arial" w:hAnsi="Arial" w:cs="Arial"/>
          <w:sz w:val="20"/>
          <w:szCs w:val="20"/>
          <w:shd w:val="clear" w:color="auto" w:fill="FFFFFF"/>
          <w:lang w:val="en-GB"/>
        </w:rPr>
        <w:t>PgR</w:t>
      </w:r>
      <w:proofErr w:type="spellEnd"/>
      <w:r w:rsidRPr="00BB32B4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, HER2 or EGFR and Ki67 in baseline </w:t>
      </w:r>
      <w:proofErr w:type="spellStart"/>
      <w:r w:rsidRPr="00BB32B4">
        <w:rPr>
          <w:rFonts w:ascii="Arial" w:hAnsi="Arial" w:cs="Arial"/>
          <w:sz w:val="20"/>
          <w:szCs w:val="20"/>
          <w:shd w:val="clear" w:color="auto" w:fill="FFFFFF"/>
          <w:lang w:val="en-GB"/>
        </w:rPr>
        <w:t>tumor</w:t>
      </w:r>
      <w:proofErr w:type="spellEnd"/>
      <w:r w:rsidRPr="00BB32B4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samples</w:t>
      </w: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:rsidR="00D37C9D" w:rsidRPr="00036618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r w:rsidRPr="0003661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Supplementary Figure </w:t>
      </w:r>
      <w:proofErr w:type="gramStart"/>
      <w:r w:rsidRPr="00036618">
        <w:rPr>
          <w:rFonts w:ascii="Arial" w:hAnsi="Arial" w:cs="Arial"/>
          <w:sz w:val="20"/>
          <w:szCs w:val="20"/>
          <w:shd w:val="clear" w:color="auto" w:fill="FFFFFF"/>
          <w:lang w:val="en-GB"/>
        </w:rPr>
        <w:t>2 :</w:t>
      </w:r>
      <w:proofErr w:type="gramEnd"/>
      <w:r w:rsidRPr="0003661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Pr="0087318A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Change in Ki67 with </w:t>
      </w:r>
      <w:proofErr w:type="spellStart"/>
      <w:r w:rsidRPr="0087318A">
        <w:rPr>
          <w:rFonts w:ascii="Arial" w:hAnsi="Arial" w:cs="Arial"/>
          <w:sz w:val="20"/>
          <w:szCs w:val="20"/>
          <w:shd w:val="clear" w:color="auto" w:fill="FFFFFF"/>
          <w:lang w:val="en-GB"/>
        </w:rPr>
        <w:t>Lapatinib</w:t>
      </w:r>
      <w:proofErr w:type="spellEnd"/>
      <w:r w:rsidRPr="0087318A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in HER2-ve group</w:t>
      </w:r>
      <w:r w:rsidRPr="00CA3432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according to </w:t>
      </w:r>
      <w:r w:rsidRPr="00CA3432">
        <w:rPr>
          <w:rFonts w:ascii="Arial" w:hAnsi="Arial" w:cs="Arial"/>
          <w:sz w:val="20"/>
          <w:szCs w:val="20"/>
          <w:lang w:val="en-US"/>
        </w:rPr>
        <w:t>HER2 mRNA and HER3 mRNA expression</w:t>
      </w: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Supplementary Figure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>3 :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Pr="00BB32B4">
        <w:rPr>
          <w:rFonts w:ascii="Arial" w:hAnsi="Arial" w:cs="Arial"/>
          <w:sz w:val="20"/>
          <w:szCs w:val="20"/>
          <w:shd w:val="clear" w:color="auto" w:fill="FFFFFF"/>
          <w:lang w:val="en-GB"/>
        </w:rPr>
        <w:t>Correlations between Ki67 response and ex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pression of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>epiregulin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in HER2+ </w:t>
      </w:r>
      <w:proofErr w:type="spellStart"/>
      <w:r w:rsidRPr="00BB32B4">
        <w:rPr>
          <w:rFonts w:ascii="Arial" w:hAnsi="Arial" w:cs="Arial"/>
          <w:sz w:val="20"/>
          <w:szCs w:val="20"/>
          <w:shd w:val="clear" w:color="auto" w:fill="FFFFFF"/>
          <w:lang w:val="en-GB"/>
        </w:rPr>
        <w:t>lapatinib</w:t>
      </w:r>
      <w:proofErr w:type="spellEnd"/>
      <w:r w:rsidRPr="00BB32B4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-treated cases   </w:t>
      </w:r>
    </w:p>
    <w:p w:rsid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:rsidR="00D37C9D" w:rsidRPr="00D37C9D" w:rsidRDefault="00D37C9D" w:rsidP="00D37C9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sectPr w:rsidR="00D37C9D" w:rsidRPr="00D37C9D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0C" w:rsidRDefault="00D37C9D" w:rsidP="004C25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A0C" w:rsidRDefault="00D37C9D" w:rsidP="000027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0C" w:rsidRDefault="00D37C9D" w:rsidP="004C25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1A0C" w:rsidRDefault="00D37C9D" w:rsidP="0000274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9D"/>
    <w:rsid w:val="005239F0"/>
    <w:rsid w:val="005F74BB"/>
    <w:rsid w:val="00D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9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C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7C9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D37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9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C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7C9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D3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Batten</dc:creator>
  <cp:lastModifiedBy>Leona Batten</cp:lastModifiedBy>
  <cp:revision>1</cp:revision>
  <dcterms:created xsi:type="dcterms:W3CDTF">2014-09-23T08:50:00Z</dcterms:created>
  <dcterms:modified xsi:type="dcterms:W3CDTF">2014-09-23T09:00:00Z</dcterms:modified>
</cp:coreProperties>
</file>