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5B8" w:rsidRPr="009D3C34" w:rsidRDefault="00286286" w:rsidP="006C7023">
      <w:pPr>
        <w:rPr>
          <w:b/>
          <w:lang w:val="en-US"/>
        </w:rPr>
      </w:pPr>
      <w:r w:rsidRPr="009D3C34">
        <w:rPr>
          <w:b/>
          <w:i/>
          <w:lang w:val="en-US"/>
        </w:rPr>
        <w:t>MET</w:t>
      </w:r>
      <w:r w:rsidRPr="009D3C34">
        <w:rPr>
          <w:b/>
          <w:lang w:val="en-US"/>
        </w:rPr>
        <w:t xml:space="preserve"> copy number assay</w:t>
      </w:r>
    </w:p>
    <w:p w:rsidR="00286286" w:rsidRPr="009D3C34" w:rsidRDefault="00286286" w:rsidP="006C7023">
      <w:pPr>
        <w:rPr>
          <w:lang w:val="en-US"/>
        </w:rPr>
      </w:pPr>
    </w:p>
    <w:p w:rsidR="009C5820" w:rsidRPr="009D3C34" w:rsidRDefault="00286286" w:rsidP="00286286">
      <w:pPr>
        <w:jc w:val="both"/>
        <w:rPr>
          <w:lang w:val="en-US"/>
        </w:rPr>
      </w:pPr>
      <w:r w:rsidRPr="009D3C34">
        <w:rPr>
          <w:lang w:val="en-US"/>
        </w:rPr>
        <w:t>Genomic DNA (gDNA) was prepared using the</w:t>
      </w:r>
      <w:r w:rsidR="001C4F2D" w:rsidRPr="009D3C34">
        <w:rPr>
          <w:lang w:val="en-US"/>
        </w:rPr>
        <w:t xml:space="preserve"> DNeasy</w:t>
      </w:r>
      <w:r w:rsidR="001C4F2D" w:rsidRPr="009D3C34">
        <w:rPr>
          <w:rFonts w:cs="Arial"/>
          <w:lang w:val="en-US"/>
        </w:rPr>
        <w:t>®</w:t>
      </w:r>
      <w:r w:rsidRPr="009D3C34">
        <w:rPr>
          <w:lang w:val="en-US"/>
        </w:rPr>
        <w:t xml:space="preserve"> Blood and Tissue DNA kit (Qiagen, catalog #</w:t>
      </w:r>
      <w:r w:rsidR="001C4F2D" w:rsidRPr="009D3C34">
        <w:rPr>
          <w:lang w:val="en-US"/>
        </w:rPr>
        <w:t>69504</w:t>
      </w:r>
      <w:r w:rsidRPr="009D3C34">
        <w:rPr>
          <w:lang w:val="en-US"/>
        </w:rPr>
        <w:t xml:space="preserve">) according to the manufacturer’s protocol.  Briefly, frozen tumor chunks were weighed on an analytical balance and 20.0-25.0 mg of tissue per sample was subjected to the gDNA isolation protocol.  </w:t>
      </w:r>
      <w:proofErr w:type="gramStart"/>
      <w:r w:rsidRPr="009D3C34">
        <w:rPr>
          <w:lang w:val="en-US"/>
        </w:rPr>
        <w:t>gDNA</w:t>
      </w:r>
      <w:proofErr w:type="gramEnd"/>
      <w:r w:rsidRPr="009D3C34">
        <w:rPr>
          <w:lang w:val="en-US"/>
        </w:rPr>
        <w:t xml:space="preserve"> was eluted in 200.0 </w:t>
      </w:r>
      <w:r w:rsidR="00CD64AE" w:rsidRPr="009D3C34">
        <w:rPr>
          <w:rFonts w:cs="Arial"/>
          <w:lang w:val="en-US"/>
        </w:rPr>
        <w:t>µ</w:t>
      </w:r>
      <w:r w:rsidRPr="009D3C34">
        <w:rPr>
          <w:lang w:val="en-US"/>
        </w:rPr>
        <w:t xml:space="preserve">L of elution buffer (provided </w:t>
      </w:r>
      <w:r w:rsidR="009C5820" w:rsidRPr="009D3C34">
        <w:rPr>
          <w:lang w:val="en-US"/>
        </w:rPr>
        <w:t>with</w:t>
      </w:r>
      <w:r w:rsidRPr="009D3C34">
        <w:rPr>
          <w:lang w:val="en-US"/>
        </w:rPr>
        <w:t xml:space="preserve"> kit) and gDNA concentration quantified using a NanoDrop</w:t>
      </w:r>
      <w:r w:rsidR="001C4F2D" w:rsidRPr="009D3C34">
        <w:rPr>
          <w:lang w:val="en-US"/>
        </w:rPr>
        <w:t xml:space="preserve"> 1000</w:t>
      </w:r>
      <w:r w:rsidRPr="009D3C34">
        <w:rPr>
          <w:lang w:val="en-US"/>
        </w:rPr>
        <w:t xml:space="preserve"> spectrophotometer</w:t>
      </w:r>
      <w:r w:rsidR="009C5820" w:rsidRPr="009D3C34">
        <w:rPr>
          <w:lang w:val="en-US"/>
        </w:rPr>
        <w:t xml:space="preserve"> (NanoDrop Products)</w:t>
      </w:r>
      <w:r w:rsidRPr="009D3C34">
        <w:rPr>
          <w:lang w:val="en-US"/>
        </w:rPr>
        <w:t xml:space="preserve">.  </w:t>
      </w:r>
      <w:r w:rsidR="00CD64AE" w:rsidRPr="009D3C34">
        <w:rPr>
          <w:lang w:val="en-US"/>
        </w:rPr>
        <w:t xml:space="preserve">All gDNAs were diluted </w:t>
      </w:r>
      <w:proofErr w:type="gramStart"/>
      <w:r w:rsidR="00CD64AE" w:rsidRPr="009D3C34">
        <w:rPr>
          <w:lang w:val="en-US"/>
        </w:rPr>
        <w:t>to 5.0 ng/</w:t>
      </w:r>
      <w:r w:rsidR="00CD64AE" w:rsidRPr="009D3C34">
        <w:rPr>
          <w:rFonts w:cs="Arial"/>
          <w:lang w:val="en-US"/>
        </w:rPr>
        <w:t>µ</w:t>
      </w:r>
      <w:r w:rsidR="00CD64AE" w:rsidRPr="009D3C34">
        <w:rPr>
          <w:lang w:val="en-US"/>
        </w:rPr>
        <w:t>L in nuclease-free H</w:t>
      </w:r>
      <w:r w:rsidR="00CD64AE" w:rsidRPr="009D3C34">
        <w:rPr>
          <w:vertAlign w:val="subscript"/>
          <w:lang w:val="en-US"/>
        </w:rPr>
        <w:t>2</w:t>
      </w:r>
      <w:r w:rsidR="00CD64AE" w:rsidRPr="009D3C34">
        <w:rPr>
          <w:lang w:val="en-US"/>
        </w:rPr>
        <w:t>O</w:t>
      </w:r>
      <w:proofErr w:type="gramEnd"/>
      <w:r w:rsidR="00CD64AE" w:rsidRPr="009D3C34">
        <w:rPr>
          <w:lang w:val="en-US"/>
        </w:rPr>
        <w:t xml:space="preserve">.  </w:t>
      </w:r>
      <w:r w:rsidR="00CD64AE" w:rsidRPr="003515F0">
        <w:rPr>
          <w:i/>
          <w:lang w:val="en-US"/>
        </w:rPr>
        <w:t>MET</w:t>
      </w:r>
      <w:r w:rsidR="00CD64AE" w:rsidRPr="009D3C34">
        <w:rPr>
          <w:lang w:val="en-US"/>
        </w:rPr>
        <w:t xml:space="preserve"> copy number was determined by multiplexed quantitative PCR (qPCR) using a FAM-labeled Taqman probe targeting human </w:t>
      </w:r>
      <w:r w:rsidR="00CD64AE" w:rsidRPr="009D3C34">
        <w:rPr>
          <w:i/>
          <w:lang w:val="en-US"/>
        </w:rPr>
        <w:t>MET</w:t>
      </w:r>
      <w:r w:rsidR="001C4F2D" w:rsidRPr="009D3C34">
        <w:rPr>
          <w:i/>
          <w:lang w:val="en-US"/>
        </w:rPr>
        <w:t xml:space="preserve"> </w:t>
      </w:r>
      <w:r w:rsidR="001C4F2D" w:rsidRPr="009D3C34">
        <w:rPr>
          <w:lang w:val="en-US"/>
        </w:rPr>
        <w:t>(Hs05018546_cn)</w:t>
      </w:r>
      <w:r w:rsidR="00CD64AE" w:rsidRPr="009D3C34">
        <w:rPr>
          <w:lang w:val="en-US"/>
        </w:rPr>
        <w:t xml:space="preserve"> and a VIC-labeled probe targeting human </w:t>
      </w:r>
      <w:r w:rsidR="00CD64AE" w:rsidRPr="009D3C34">
        <w:rPr>
          <w:i/>
          <w:lang w:val="en-US"/>
        </w:rPr>
        <w:t>RNAse P1</w:t>
      </w:r>
      <w:r w:rsidR="001C4F2D" w:rsidRPr="009D3C34">
        <w:rPr>
          <w:i/>
          <w:lang w:val="en-US"/>
        </w:rPr>
        <w:t xml:space="preserve"> </w:t>
      </w:r>
      <w:r w:rsidR="009C5820" w:rsidRPr="009D3C34">
        <w:rPr>
          <w:lang w:val="en-US"/>
        </w:rPr>
        <w:t>to act</w:t>
      </w:r>
      <w:r w:rsidR="00076B4F" w:rsidRPr="009D3C34">
        <w:rPr>
          <w:lang w:val="en-US"/>
        </w:rPr>
        <w:t xml:space="preserve"> as an internal normalization control gene</w:t>
      </w:r>
      <w:r w:rsidR="00CD64AE" w:rsidRPr="009D3C34">
        <w:rPr>
          <w:lang w:val="en-US"/>
        </w:rPr>
        <w:t xml:space="preserve">. </w:t>
      </w:r>
      <w:proofErr w:type="gramStart"/>
      <w:r w:rsidR="001C4F2D" w:rsidRPr="009D3C34">
        <w:rPr>
          <w:lang w:val="en-US"/>
        </w:rPr>
        <w:t>qPCR</w:t>
      </w:r>
      <w:proofErr w:type="gramEnd"/>
      <w:r w:rsidR="001C4F2D" w:rsidRPr="009D3C34">
        <w:rPr>
          <w:lang w:val="en-US"/>
        </w:rPr>
        <w:t xml:space="preserve"> was</w:t>
      </w:r>
      <w:r w:rsidR="00CD64AE" w:rsidRPr="009D3C34">
        <w:rPr>
          <w:lang w:val="en-US"/>
        </w:rPr>
        <w:t xml:space="preserve"> carried out in</w:t>
      </w:r>
      <w:r w:rsidR="001C4F2D" w:rsidRPr="009D3C34">
        <w:rPr>
          <w:lang w:val="en-US"/>
        </w:rPr>
        <w:t xml:space="preserve"> 384-well format</w:t>
      </w:r>
      <w:r w:rsidR="00CD64AE" w:rsidRPr="009D3C34">
        <w:rPr>
          <w:lang w:val="en-US"/>
        </w:rPr>
        <w:t xml:space="preserve"> (ABI, </w:t>
      </w:r>
      <w:r w:rsidR="009C5820" w:rsidRPr="009D3C34">
        <w:rPr>
          <w:lang w:val="en-US"/>
        </w:rPr>
        <w:t xml:space="preserve">part </w:t>
      </w:r>
      <w:r w:rsidR="00CD64AE" w:rsidRPr="009D3C34">
        <w:rPr>
          <w:lang w:val="en-US"/>
        </w:rPr>
        <w:t>#</w:t>
      </w:r>
      <w:r w:rsidR="001C4F2D" w:rsidRPr="009D3C34">
        <w:rPr>
          <w:lang w:val="en-US"/>
        </w:rPr>
        <w:t>4309849</w:t>
      </w:r>
      <w:r w:rsidR="00CD64AE" w:rsidRPr="009D3C34">
        <w:rPr>
          <w:lang w:val="en-US"/>
        </w:rPr>
        <w:t>)</w:t>
      </w:r>
      <w:r w:rsidR="001C4F2D" w:rsidRPr="009D3C34">
        <w:rPr>
          <w:lang w:val="en-US"/>
        </w:rPr>
        <w:t xml:space="preserve"> sealed with optically clear adhesive film (ABI, part # 4311971)</w:t>
      </w:r>
      <w:r w:rsidR="00CD64AE" w:rsidRPr="009D3C34">
        <w:rPr>
          <w:lang w:val="en-US"/>
        </w:rPr>
        <w:t>, and included the following components</w:t>
      </w:r>
      <w:r w:rsidR="001C4F2D" w:rsidRPr="009D3C34">
        <w:rPr>
          <w:lang w:val="en-US"/>
        </w:rPr>
        <w:t xml:space="preserve"> per 10.0</w:t>
      </w:r>
      <w:r w:rsidR="001C4F2D" w:rsidRPr="009D3C34">
        <w:rPr>
          <w:rFonts w:cs="Arial"/>
          <w:lang w:val="en-US"/>
        </w:rPr>
        <w:t xml:space="preserve"> </w:t>
      </w:r>
      <w:bookmarkStart w:id="0" w:name="OLE_LINK1"/>
      <w:r w:rsidR="001C4F2D" w:rsidRPr="009D3C34">
        <w:rPr>
          <w:rFonts w:cs="Arial"/>
          <w:lang w:val="en-US"/>
        </w:rPr>
        <w:t>µ</w:t>
      </w:r>
      <w:bookmarkEnd w:id="0"/>
      <w:r w:rsidR="001C4F2D" w:rsidRPr="009D3C34">
        <w:rPr>
          <w:lang w:val="en-US"/>
        </w:rPr>
        <w:t>L reaction</w:t>
      </w:r>
      <w:r w:rsidR="00CD64AE" w:rsidRPr="009D3C34">
        <w:rPr>
          <w:lang w:val="en-US"/>
        </w:rPr>
        <w:t>:</w:t>
      </w:r>
    </w:p>
    <w:p w:rsidR="00CD64AE" w:rsidRPr="009D3C34" w:rsidRDefault="00CD64AE" w:rsidP="00286286">
      <w:pPr>
        <w:jc w:val="both"/>
        <w:rPr>
          <w:lang w:val="en-US"/>
        </w:rPr>
      </w:pPr>
      <w:r w:rsidRPr="009D3C34">
        <w:rPr>
          <w:lang w:val="en-US"/>
        </w:rPr>
        <w:t xml:space="preserve">  </w:t>
      </w:r>
    </w:p>
    <w:p w:rsidR="00CD64AE" w:rsidRPr="009D3C34" w:rsidRDefault="00CD64AE" w:rsidP="00CD64AE">
      <w:pPr>
        <w:ind w:left="360"/>
        <w:jc w:val="both"/>
        <w:rPr>
          <w:lang w:val="en-US"/>
        </w:rPr>
      </w:pPr>
      <w:r w:rsidRPr="009D3C34">
        <w:rPr>
          <w:lang w:val="en-US"/>
        </w:rPr>
        <w:t>5.0</w:t>
      </w:r>
      <w:r w:rsidRPr="009D3C34">
        <w:rPr>
          <w:rFonts w:cs="Arial"/>
          <w:lang w:val="en-US"/>
        </w:rPr>
        <w:t xml:space="preserve"> µ</w:t>
      </w:r>
      <w:proofErr w:type="gramStart"/>
      <w:r w:rsidRPr="009D3C34">
        <w:rPr>
          <w:lang w:val="en-US"/>
        </w:rPr>
        <w:t>L  -</w:t>
      </w:r>
      <w:proofErr w:type="gramEnd"/>
      <w:r w:rsidRPr="009D3C34">
        <w:rPr>
          <w:lang w:val="en-US"/>
        </w:rPr>
        <w:t xml:space="preserve">  Taqman Gene Expression Master Mix (ABI, </w:t>
      </w:r>
      <w:r w:rsidR="009C5820" w:rsidRPr="009D3C34">
        <w:rPr>
          <w:lang w:val="en-US"/>
        </w:rPr>
        <w:t xml:space="preserve">part </w:t>
      </w:r>
      <w:r w:rsidRPr="009D3C34">
        <w:rPr>
          <w:lang w:val="en-US"/>
        </w:rPr>
        <w:t>#</w:t>
      </w:r>
      <w:r w:rsidR="001C4F2D" w:rsidRPr="009D3C34">
        <w:rPr>
          <w:lang w:val="en-US"/>
        </w:rPr>
        <w:t>4369016</w:t>
      </w:r>
      <w:r w:rsidRPr="009D3C34">
        <w:rPr>
          <w:lang w:val="en-US"/>
        </w:rPr>
        <w:t>).</w:t>
      </w:r>
    </w:p>
    <w:p w:rsidR="00CD64AE" w:rsidRPr="009D3C34" w:rsidRDefault="00CD64AE" w:rsidP="00CD64AE">
      <w:pPr>
        <w:ind w:left="360"/>
        <w:jc w:val="both"/>
        <w:rPr>
          <w:lang w:val="en-US"/>
        </w:rPr>
      </w:pPr>
      <w:r w:rsidRPr="009D3C34">
        <w:rPr>
          <w:lang w:val="en-US"/>
        </w:rPr>
        <w:t xml:space="preserve">0.5 </w:t>
      </w:r>
      <w:r w:rsidRPr="009D3C34">
        <w:rPr>
          <w:rFonts w:cs="Arial"/>
          <w:lang w:val="en-US"/>
        </w:rPr>
        <w:t>µ</w:t>
      </w:r>
      <w:proofErr w:type="gramStart"/>
      <w:r w:rsidRPr="009D3C34">
        <w:rPr>
          <w:lang w:val="en-US"/>
        </w:rPr>
        <w:t>L  -</w:t>
      </w:r>
      <w:proofErr w:type="gramEnd"/>
      <w:r w:rsidRPr="009D3C34">
        <w:rPr>
          <w:lang w:val="en-US"/>
        </w:rPr>
        <w:t xml:space="preserve">  FAM-labeled </w:t>
      </w:r>
      <w:r w:rsidRPr="009D3C34">
        <w:rPr>
          <w:i/>
          <w:lang w:val="en-US"/>
        </w:rPr>
        <w:t>MET</w:t>
      </w:r>
      <w:r w:rsidRPr="009D3C34">
        <w:rPr>
          <w:lang w:val="en-US"/>
        </w:rPr>
        <w:t xml:space="preserve"> CN assay probe (ABI, </w:t>
      </w:r>
      <w:r w:rsidR="009C5820" w:rsidRPr="009D3C34">
        <w:rPr>
          <w:lang w:val="en-US"/>
        </w:rPr>
        <w:t>part #</w:t>
      </w:r>
      <w:r w:rsidR="001C4F2D" w:rsidRPr="009D3C34">
        <w:rPr>
          <w:lang w:val="en-US"/>
        </w:rPr>
        <w:t>4400291</w:t>
      </w:r>
      <w:r w:rsidRPr="009D3C34">
        <w:rPr>
          <w:lang w:val="en-US"/>
        </w:rPr>
        <w:t>).</w:t>
      </w:r>
    </w:p>
    <w:p w:rsidR="00CD64AE" w:rsidRPr="009D3C34" w:rsidRDefault="00CD64AE" w:rsidP="00CD64AE">
      <w:pPr>
        <w:ind w:left="360"/>
        <w:jc w:val="both"/>
        <w:rPr>
          <w:lang w:val="en-US"/>
        </w:rPr>
      </w:pPr>
      <w:r w:rsidRPr="009D3C34">
        <w:rPr>
          <w:lang w:val="en-US"/>
        </w:rPr>
        <w:t xml:space="preserve">0.5 </w:t>
      </w:r>
      <w:r w:rsidRPr="009D3C34">
        <w:rPr>
          <w:rFonts w:cs="Arial"/>
          <w:lang w:val="en-US"/>
        </w:rPr>
        <w:t>µ</w:t>
      </w:r>
      <w:proofErr w:type="gramStart"/>
      <w:r w:rsidRPr="009D3C34">
        <w:rPr>
          <w:lang w:val="en-US"/>
        </w:rPr>
        <w:t>L  -</w:t>
      </w:r>
      <w:proofErr w:type="gramEnd"/>
      <w:r w:rsidRPr="009D3C34">
        <w:rPr>
          <w:lang w:val="en-US"/>
        </w:rPr>
        <w:t xml:space="preserve">  VIC-labeled </w:t>
      </w:r>
      <w:r w:rsidRPr="009D3C34">
        <w:rPr>
          <w:i/>
          <w:lang w:val="en-US"/>
        </w:rPr>
        <w:t>RNAse P1</w:t>
      </w:r>
      <w:r w:rsidRPr="009D3C34">
        <w:rPr>
          <w:lang w:val="en-US"/>
        </w:rPr>
        <w:t xml:space="preserve"> CN assay probe (ABI, </w:t>
      </w:r>
      <w:r w:rsidR="009C5820" w:rsidRPr="009D3C34">
        <w:rPr>
          <w:lang w:val="en-US"/>
        </w:rPr>
        <w:t>part #</w:t>
      </w:r>
      <w:r w:rsidR="001C4F2D" w:rsidRPr="009D3C34">
        <w:rPr>
          <w:lang w:val="en-US"/>
        </w:rPr>
        <w:t>4401631</w:t>
      </w:r>
      <w:r w:rsidRPr="009D3C34">
        <w:rPr>
          <w:lang w:val="en-US"/>
        </w:rPr>
        <w:t>).</w:t>
      </w:r>
    </w:p>
    <w:p w:rsidR="00CD64AE" w:rsidRPr="009D3C34" w:rsidRDefault="00CD64AE" w:rsidP="00CD64AE">
      <w:pPr>
        <w:ind w:left="360"/>
        <w:jc w:val="both"/>
        <w:rPr>
          <w:lang w:val="en-US"/>
        </w:rPr>
      </w:pPr>
      <w:r w:rsidRPr="009D3C34">
        <w:rPr>
          <w:lang w:val="en-US"/>
        </w:rPr>
        <w:t xml:space="preserve">2.0 </w:t>
      </w:r>
      <w:r w:rsidRPr="009D3C34">
        <w:rPr>
          <w:rFonts w:cs="Arial"/>
          <w:lang w:val="en-US"/>
        </w:rPr>
        <w:t>µ</w:t>
      </w:r>
      <w:proofErr w:type="gramStart"/>
      <w:r w:rsidRPr="009D3C34">
        <w:rPr>
          <w:lang w:val="en-US"/>
        </w:rPr>
        <w:t>L  -</w:t>
      </w:r>
      <w:proofErr w:type="gramEnd"/>
      <w:r w:rsidRPr="009D3C34">
        <w:rPr>
          <w:lang w:val="en-US"/>
        </w:rPr>
        <w:t xml:space="preserve">  </w:t>
      </w:r>
      <w:r w:rsidR="00076B4F" w:rsidRPr="009D3C34">
        <w:rPr>
          <w:lang w:val="en-US"/>
        </w:rPr>
        <w:t xml:space="preserve">nuclease-free </w:t>
      </w:r>
      <w:r w:rsidR="009D3C34" w:rsidRPr="009D3C34">
        <w:rPr>
          <w:lang w:val="en-US"/>
        </w:rPr>
        <w:t>H</w:t>
      </w:r>
      <w:r w:rsidR="009D3C34" w:rsidRPr="009D3C34">
        <w:rPr>
          <w:vertAlign w:val="subscript"/>
          <w:lang w:val="en-US"/>
        </w:rPr>
        <w:t>2</w:t>
      </w:r>
      <w:r w:rsidR="009D3C34" w:rsidRPr="009D3C34">
        <w:rPr>
          <w:lang w:val="en-US"/>
        </w:rPr>
        <w:t xml:space="preserve">O </w:t>
      </w:r>
      <w:r w:rsidR="00076B4F" w:rsidRPr="009D3C34">
        <w:rPr>
          <w:lang w:val="en-US"/>
        </w:rPr>
        <w:t xml:space="preserve">(Ambion, </w:t>
      </w:r>
      <w:r w:rsidR="009C5820" w:rsidRPr="009D3C34">
        <w:rPr>
          <w:lang w:val="en-US"/>
        </w:rPr>
        <w:t>part #</w:t>
      </w:r>
      <w:r w:rsidR="001C4F2D" w:rsidRPr="009D3C34">
        <w:rPr>
          <w:lang w:val="en-US"/>
        </w:rPr>
        <w:t>AM9906</w:t>
      </w:r>
      <w:r w:rsidR="00076B4F" w:rsidRPr="009D3C34">
        <w:rPr>
          <w:lang w:val="en-US"/>
        </w:rPr>
        <w:t>).</w:t>
      </w:r>
    </w:p>
    <w:p w:rsidR="00076B4F" w:rsidRPr="009D3C34" w:rsidRDefault="00076B4F" w:rsidP="00CD64AE">
      <w:pPr>
        <w:ind w:left="360"/>
        <w:jc w:val="both"/>
        <w:rPr>
          <w:lang w:val="en-US"/>
        </w:rPr>
      </w:pPr>
      <w:r w:rsidRPr="009D3C34">
        <w:rPr>
          <w:lang w:val="en-US"/>
        </w:rPr>
        <w:t xml:space="preserve">2.0 </w:t>
      </w:r>
      <w:r w:rsidRPr="009D3C34">
        <w:rPr>
          <w:rFonts w:cs="Arial"/>
          <w:lang w:val="en-US"/>
        </w:rPr>
        <w:t>µ</w:t>
      </w:r>
      <w:proofErr w:type="gramStart"/>
      <w:r w:rsidRPr="009D3C34">
        <w:rPr>
          <w:lang w:val="en-US"/>
        </w:rPr>
        <w:t>L  -</w:t>
      </w:r>
      <w:proofErr w:type="gramEnd"/>
      <w:r w:rsidRPr="009D3C34">
        <w:rPr>
          <w:lang w:val="en-US"/>
        </w:rPr>
        <w:t xml:space="preserve"> gDNA template (10.0 ng total)</w:t>
      </w:r>
    </w:p>
    <w:p w:rsidR="00CD64AE" w:rsidRPr="009D3C34" w:rsidRDefault="00CD64AE" w:rsidP="00CD64AE">
      <w:pPr>
        <w:ind w:left="360"/>
        <w:jc w:val="both"/>
        <w:rPr>
          <w:lang w:val="en-US"/>
        </w:rPr>
      </w:pPr>
      <w:r w:rsidRPr="009D3C34">
        <w:rPr>
          <w:lang w:val="en-US"/>
        </w:rPr>
        <w:t xml:space="preserve">  </w:t>
      </w:r>
    </w:p>
    <w:p w:rsidR="0028302A" w:rsidRPr="009D3C34" w:rsidRDefault="00CD64AE" w:rsidP="005E4F2D">
      <w:pPr>
        <w:jc w:val="both"/>
        <w:rPr>
          <w:lang w:val="en-US"/>
        </w:rPr>
      </w:pPr>
      <w:r w:rsidRPr="009D3C34">
        <w:rPr>
          <w:lang w:val="en-US"/>
        </w:rPr>
        <w:t>Thermocycling conditions on an ABI 7900HT</w:t>
      </w:r>
      <w:r w:rsidR="009C5820" w:rsidRPr="009D3C34">
        <w:rPr>
          <w:lang w:val="en-US"/>
        </w:rPr>
        <w:t xml:space="preserve"> </w:t>
      </w:r>
      <w:r w:rsidR="001C4F2D" w:rsidRPr="009D3C34">
        <w:rPr>
          <w:lang w:val="en-US"/>
        </w:rPr>
        <w:t>Sequence Detection System</w:t>
      </w:r>
      <w:r w:rsidRPr="009D3C34">
        <w:rPr>
          <w:lang w:val="en-US"/>
        </w:rPr>
        <w:t xml:space="preserve"> </w:t>
      </w:r>
      <w:r w:rsidR="009D3C34" w:rsidRPr="009D3C34">
        <w:rPr>
          <w:lang w:val="en-US"/>
        </w:rPr>
        <w:t xml:space="preserve">run in Standard Mode </w:t>
      </w:r>
      <w:r w:rsidRPr="009D3C34">
        <w:rPr>
          <w:lang w:val="en-US"/>
        </w:rPr>
        <w:t>were as follows:</w:t>
      </w:r>
      <w:r w:rsidR="009D3C34">
        <w:rPr>
          <w:lang w:val="en-US"/>
        </w:rPr>
        <w:t xml:space="preserve"> (</w:t>
      </w:r>
      <w:r w:rsidR="001C4F2D" w:rsidRPr="009D3C34">
        <w:rPr>
          <w:rFonts w:cs="Arial"/>
          <w:lang w:val="en-US"/>
        </w:rPr>
        <w:t>50</w:t>
      </w:r>
      <w:r w:rsidR="009C5820" w:rsidRPr="009D3C34">
        <w:rPr>
          <w:rFonts w:cs="Arial"/>
          <w:lang w:val="en-US"/>
        </w:rPr>
        <w:t>°</w:t>
      </w:r>
      <w:r w:rsidR="00144B28">
        <w:rPr>
          <w:lang w:val="en-US"/>
        </w:rPr>
        <w:t>C</w:t>
      </w:r>
      <w:r w:rsidR="009D3C34">
        <w:rPr>
          <w:lang w:val="en-US"/>
        </w:rPr>
        <w:t xml:space="preserve">, </w:t>
      </w:r>
      <w:r w:rsidR="001C4F2D" w:rsidRPr="009D3C34">
        <w:rPr>
          <w:lang w:val="en-US"/>
        </w:rPr>
        <w:t>2 min</w:t>
      </w:r>
      <w:r w:rsidR="009D3C34">
        <w:rPr>
          <w:lang w:val="en-US"/>
        </w:rPr>
        <w:t xml:space="preserve">, </w:t>
      </w:r>
      <w:r w:rsidR="001C4F2D" w:rsidRPr="009D3C34">
        <w:rPr>
          <w:lang w:val="en-US"/>
        </w:rPr>
        <w:t>1 cycle</w:t>
      </w:r>
      <w:r w:rsidR="009D3C34">
        <w:rPr>
          <w:lang w:val="en-US"/>
        </w:rPr>
        <w:t>); (</w:t>
      </w:r>
      <w:r w:rsidR="001C4F2D" w:rsidRPr="009D3C34">
        <w:rPr>
          <w:rFonts w:cs="Arial"/>
          <w:lang w:val="en-US"/>
        </w:rPr>
        <w:t>95</w:t>
      </w:r>
      <w:r w:rsidR="009C5820" w:rsidRPr="009D3C34">
        <w:rPr>
          <w:rFonts w:cs="Arial"/>
          <w:lang w:val="en-US"/>
        </w:rPr>
        <w:t>°</w:t>
      </w:r>
      <w:r w:rsidR="00144B28">
        <w:rPr>
          <w:lang w:val="en-US"/>
        </w:rPr>
        <w:t>C</w:t>
      </w:r>
      <w:r w:rsidR="009D3C34">
        <w:rPr>
          <w:lang w:val="en-US"/>
        </w:rPr>
        <w:t xml:space="preserve">, </w:t>
      </w:r>
      <w:r w:rsidR="001C4F2D" w:rsidRPr="009D3C34">
        <w:rPr>
          <w:lang w:val="en-US"/>
        </w:rPr>
        <w:t>10 sec</w:t>
      </w:r>
      <w:r w:rsidR="009D3C34">
        <w:rPr>
          <w:lang w:val="en-US"/>
        </w:rPr>
        <w:t xml:space="preserve">, </w:t>
      </w:r>
      <w:r w:rsidR="001C4F2D" w:rsidRPr="009D3C34">
        <w:rPr>
          <w:lang w:val="en-US"/>
        </w:rPr>
        <w:t>1</w:t>
      </w:r>
      <w:r w:rsidR="009D3C34">
        <w:rPr>
          <w:lang w:val="en-US"/>
        </w:rPr>
        <w:t xml:space="preserve"> </w:t>
      </w:r>
      <w:r w:rsidR="001C4F2D" w:rsidRPr="009D3C34">
        <w:rPr>
          <w:lang w:val="en-US"/>
        </w:rPr>
        <w:t>cycle</w:t>
      </w:r>
      <w:r w:rsidR="009D3C34">
        <w:rPr>
          <w:lang w:val="en-US"/>
        </w:rPr>
        <w:t>); (</w:t>
      </w:r>
      <w:r w:rsidR="001C4F2D" w:rsidRPr="009D3C34">
        <w:rPr>
          <w:rFonts w:cs="Arial"/>
          <w:lang w:val="en-US"/>
        </w:rPr>
        <w:t>95</w:t>
      </w:r>
      <w:r w:rsidR="009C5820" w:rsidRPr="009D3C34">
        <w:rPr>
          <w:rFonts w:cs="Arial"/>
          <w:lang w:val="en-US"/>
        </w:rPr>
        <w:t>°</w:t>
      </w:r>
      <w:r w:rsidR="00144B28">
        <w:rPr>
          <w:lang w:val="en-US"/>
        </w:rPr>
        <w:t>C</w:t>
      </w:r>
      <w:r w:rsidR="009D3C34">
        <w:rPr>
          <w:lang w:val="en-US"/>
        </w:rPr>
        <w:t xml:space="preserve">, </w:t>
      </w:r>
      <w:r w:rsidR="001C4F2D" w:rsidRPr="009D3C34">
        <w:rPr>
          <w:lang w:val="en-US"/>
        </w:rPr>
        <w:t xml:space="preserve">15 </w:t>
      </w:r>
      <w:r w:rsidR="009C5820" w:rsidRPr="009D3C34">
        <w:rPr>
          <w:lang w:val="en-US"/>
        </w:rPr>
        <w:t>sec</w:t>
      </w:r>
      <w:r w:rsidR="009D3C34">
        <w:rPr>
          <w:lang w:val="en-US"/>
        </w:rPr>
        <w:t xml:space="preserve"> followed by  </w:t>
      </w:r>
      <w:r w:rsidR="001C4F2D" w:rsidRPr="009D3C34">
        <w:rPr>
          <w:rFonts w:cs="Arial"/>
          <w:lang w:val="en-US"/>
        </w:rPr>
        <w:t>60</w:t>
      </w:r>
      <w:r w:rsidR="009C5820" w:rsidRPr="009D3C34">
        <w:rPr>
          <w:rFonts w:cs="Arial"/>
          <w:lang w:val="en-US"/>
        </w:rPr>
        <w:t>°</w:t>
      </w:r>
      <w:r w:rsidR="00144B28">
        <w:rPr>
          <w:lang w:val="en-US"/>
        </w:rPr>
        <w:t>C</w:t>
      </w:r>
      <w:r w:rsidR="009C5820" w:rsidRPr="009D3C34">
        <w:rPr>
          <w:lang w:val="en-US"/>
        </w:rPr>
        <w:t xml:space="preserve">, </w:t>
      </w:r>
      <w:r w:rsidR="009D3C34">
        <w:rPr>
          <w:lang w:val="en-US"/>
        </w:rPr>
        <w:t>1 min</w:t>
      </w:r>
      <w:r w:rsidR="00144B28">
        <w:rPr>
          <w:lang w:val="en-US"/>
        </w:rPr>
        <w:t xml:space="preserve"> two-step cycle, </w:t>
      </w:r>
      <w:r w:rsidR="009D3C34">
        <w:rPr>
          <w:lang w:val="en-US"/>
        </w:rPr>
        <w:t>40 cycles).</w:t>
      </w:r>
      <w:r w:rsidR="009C5820" w:rsidRPr="009D3C34">
        <w:rPr>
          <w:lang w:val="en-US"/>
        </w:rPr>
        <w:t xml:space="preserve"> </w:t>
      </w:r>
      <w:r w:rsidR="00076B4F" w:rsidRPr="009D3C34">
        <w:rPr>
          <w:lang w:val="en-US"/>
        </w:rPr>
        <w:t xml:space="preserve">A standard curve ranging from 80.0 </w:t>
      </w:r>
      <w:r w:rsidR="005E4F2D" w:rsidRPr="009D3C34">
        <w:rPr>
          <w:lang w:val="en-US"/>
        </w:rPr>
        <w:t xml:space="preserve">to 0.3125 </w:t>
      </w:r>
      <w:r w:rsidR="00076B4F" w:rsidRPr="009D3C34">
        <w:rPr>
          <w:lang w:val="en-US"/>
        </w:rPr>
        <w:t xml:space="preserve">ng/well was employed, allowing for </w:t>
      </w:r>
      <w:r w:rsidR="009C5820" w:rsidRPr="009D3C34">
        <w:rPr>
          <w:i/>
          <w:lang w:val="en-US"/>
        </w:rPr>
        <w:t>MET</w:t>
      </w:r>
      <w:r w:rsidR="009C5820" w:rsidRPr="009D3C34">
        <w:rPr>
          <w:lang w:val="en-US"/>
        </w:rPr>
        <w:t xml:space="preserve"> and </w:t>
      </w:r>
      <w:r w:rsidR="009C5820" w:rsidRPr="009D3C34">
        <w:rPr>
          <w:i/>
          <w:lang w:val="en-US"/>
        </w:rPr>
        <w:t>RNAse P1</w:t>
      </w:r>
      <w:r w:rsidR="009C5820" w:rsidRPr="009D3C34">
        <w:rPr>
          <w:lang w:val="en-US"/>
        </w:rPr>
        <w:t xml:space="preserve"> </w:t>
      </w:r>
      <w:r w:rsidR="00076B4F" w:rsidRPr="009D3C34">
        <w:rPr>
          <w:lang w:val="en-US"/>
        </w:rPr>
        <w:t xml:space="preserve">ng values to be calculated </w:t>
      </w:r>
      <w:r w:rsidR="009C5820" w:rsidRPr="009D3C34">
        <w:rPr>
          <w:lang w:val="en-US"/>
        </w:rPr>
        <w:t xml:space="preserve">for each well </w:t>
      </w:r>
      <w:r w:rsidR="00076B4F" w:rsidRPr="009D3C34">
        <w:rPr>
          <w:lang w:val="en-US"/>
        </w:rPr>
        <w:t xml:space="preserve">using the </w:t>
      </w:r>
      <w:r w:rsidR="009C5820" w:rsidRPr="009D3C34">
        <w:rPr>
          <w:lang w:val="en-US"/>
        </w:rPr>
        <w:t>A</w:t>
      </w:r>
      <w:r w:rsidR="00076B4F" w:rsidRPr="009D3C34">
        <w:rPr>
          <w:lang w:val="en-US"/>
        </w:rPr>
        <w:t xml:space="preserve">bsolute </w:t>
      </w:r>
      <w:r w:rsidR="009C5820" w:rsidRPr="009D3C34">
        <w:rPr>
          <w:lang w:val="en-US"/>
        </w:rPr>
        <w:t>Q</w:t>
      </w:r>
      <w:r w:rsidR="00076B4F" w:rsidRPr="009D3C34">
        <w:rPr>
          <w:lang w:val="en-US"/>
        </w:rPr>
        <w:t>u</w:t>
      </w:r>
      <w:r w:rsidR="009C5820" w:rsidRPr="009D3C34">
        <w:rPr>
          <w:lang w:val="en-US"/>
        </w:rPr>
        <w:t>antification</w:t>
      </w:r>
      <w:r w:rsidR="005E4F2D">
        <w:rPr>
          <w:lang w:val="en-US"/>
        </w:rPr>
        <w:t xml:space="preserve"> (AQ)</w:t>
      </w:r>
      <w:r w:rsidR="009C5820" w:rsidRPr="009D3C34">
        <w:rPr>
          <w:lang w:val="en-US"/>
        </w:rPr>
        <w:t xml:space="preserve"> method.  </w:t>
      </w:r>
      <w:r w:rsidR="00853D6B" w:rsidRPr="009D3C34">
        <w:rPr>
          <w:lang w:val="en-US"/>
        </w:rPr>
        <w:t>The</w:t>
      </w:r>
      <w:r w:rsidR="00076B4F" w:rsidRPr="009D3C34">
        <w:rPr>
          <w:lang w:val="en-US"/>
        </w:rPr>
        <w:t xml:space="preserve"> </w:t>
      </w:r>
      <w:r w:rsidR="00076B4F" w:rsidRPr="009D3C34">
        <w:rPr>
          <w:i/>
          <w:lang w:val="en-US"/>
        </w:rPr>
        <w:t>MET</w:t>
      </w:r>
      <w:proofErr w:type="gramStart"/>
      <w:r w:rsidR="00076B4F" w:rsidRPr="009D3C34">
        <w:rPr>
          <w:i/>
          <w:lang w:val="en-US"/>
        </w:rPr>
        <w:t>:RNAse</w:t>
      </w:r>
      <w:proofErr w:type="gramEnd"/>
      <w:r w:rsidR="00076B4F" w:rsidRPr="009D3C34">
        <w:rPr>
          <w:i/>
          <w:lang w:val="en-US"/>
        </w:rPr>
        <w:t xml:space="preserve"> P1</w:t>
      </w:r>
      <w:r w:rsidR="00076B4F" w:rsidRPr="009D3C34">
        <w:rPr>
          <w:lang w:val="en-US"/>
        </w:rPr>
        <w:t xml:space="preserve"> ng ratio was calculated for each tumor sample and normalized to that of a diploid fibroblast control sample with a </w:t>
      </w:r>
      <w:r w:rsidR="00076B4F" w:rsidRPr="009D3C34">
        <w:rPr>
          <w:i/>
          <w:lang w:val="en-US"/>
        </w:rPr>
        <w:t>MET:RNAse P1</w:t>
      </w:r>
      <w:r w:rsidR="00076B4F" w:rsidRPr="009D3C34">
        <w:rPr>
          <w:lang w:val="en-US"/>
        </w:rPr>
        <w:t xml:space="preserve"> ratio of 1.0.  All ratios were multiplied by two to obtain actual </w:t>
      </w:r>
      <w:r w:rsidR="00076B4F" w:rsidRPr="009D3C34">
        <w:rPr>
          <w:i/>
          <w:lang w:val="en-US"/>
        </w:rPr>
        <w:t>MET</w:t>
      </w:r>
      <w:r w:rsidR="00076B4F" w:rsidRPr="009D3C34">
        <w:rPr>
          <w:lang w:val="en-US"/>
        </w:rPr>
        <w:t xml:space="preserve"> CN values (diploid control harbors two copies of </w:t>
      </w:r>
      <w:r w:rsidR="00076B4F" w:rsidRPr="009D3C34">
        <w:rPr>
          <w:i/>
          <w:lang w:val="en-US"/>
        </w:rPr>
        <w:t>MET</w:t>
      </w:r>
      <w:r w:rsidR="00076B4F" w:rsidRPr="009D3C34">
        <w:rPr>
          <w:lang w:val="en-US"/>
        </w:rPr>
        <w:t>).</w:t>
      </w:r>
    </w:p>
    <w:p w:rsidR="009C5820" w:rsidRPr="009D3C34" w:rsidRDefault="009C5820" w:rsidP="00286286">
      <w:pPr>
        <w:jc w:val="both"/>
        <w:rPr>
          <w:lang w:val="en-US"/>
        </w:rPr>
      </w:pPr>
    </w:p>
    <w:p w:rsidR="009C5820" w:rsidRDefault="00274DF6" w:rsidP="009C5820">
      <w:pPr>
        <w:rPr>
          <w:b/>
          <w:lang w:val="en-US"/>
        </w:rPr>
      </w:pPr>
      <w:proofErr w:type="gramStart"/>
      <w:r>
        <w:rPr>
          <w:b/>
          <w:lang w:val="en-US"/>
        </w:rPr>
        <w:t>small-molecule</w:t>
      </w:r>
      <w:proofErr w:type="gramEnd"/>
      <w:r>
        <w:rPr>
          <w:b/>
          <w:lang w:val="en-US"/>
        </w:rPr>
        <w:t xml:space="preserve"> </w:t>
      </w:r>
      <w:r w:rsidRPr="009D3C34">
        <w:rPr>
          <w:b/>
          <w:lang w:val="en-US"/>
        </w:rPr>
        <w:t>MET inhibitor sensitivity</w:t>
      </w:r>
      <w:r w:rsidRPr="00274DF6">
        <w:rPr>
          <w:b/>
          <w:lang w:val="en-US"/>
        </w:rPr>
        <w:t xml:space="preserve"> </w:t>
      </w:r>
      <w:r>
        <w:rPr>
          <w:b/>
          <w:lang w:val="en-US"/>
        </w:rPr>
        <w:t>(IC</w:t>
      </w:r>
      <w:r w:rsidRPr="00200C79">
        <w:rPr>
          <w:b/>
          <w:vertAlign w:val="subscript"/>
          <w:lang w:val="en-US"/>
        </w:rPr>
        <w:t>50</w:t>
      </w:r>
      <w:r>
        <w:rPr>
          <w:b/>
          <w:lang w:val="en-US"/>
        </w:rPr>
        <w:t xml:space="preserve"> determination)</w:t>
      </w:r>
      <w:r w:rsidRPr="009D3C34">
        <w:rPr>
          <w:b/>
          <w:lang w:val="en-US"/>
        </w:rPr>
        <w:t xml:space="preserve"> assay</w:t>
      </w:r>
    </w:p>
    <w:p w:rsidR="003515F0" w:rsidRDefault="003515F0" w:rsidP="009C5820">
      <w:pPr>
        <w:rPr>
          <w:b/>
          <w:lang w:val="en-US"/>
        </w:rPr>
      </w:pPr>
    </w:p>
    <w:p w:rsidR="00C77CCB" w:rsidRDefault="003515F0" w:rsidP="00286286">
      <w:pPr>
        <w:jc w:val="both"/>
        <w:rPr>
          <w:lang w:val="en-US"/>
        </w:rPr>
      </w:pPr>
      <w:r w:rsidRPr="003515F0">
        <w:rPr>
          <w:lang w:val="en-US"/>
        </w:rPr>
        <w:t>AGS</w:t>
      </w:r>
      <w:r>
        <w:rPr>
          <w:lang w:val="en-US"/>
        </w:rPr>
        <w:t xml:space="preserve"> and GTL16</w:t>
      </w:r>
      <w:r w:rsidR="00144B28">
        <w:rPr>
          <w:lang w:val="en-US"/>
        </w:rPr>
        <w:t xml:space="preserve"> gastric cancer</w:t>
      </w:r>
      <w:r>
        <w:rPr>
          <w:lang w:val="en-US"/>
        </w:rPr>
        <w:t xml:space="preserve"> cell lines</w:t>
      </w:r>
      <w:r w:rsidRPr="003515F0">
        <w:rPr>
          <w:lang w:val="en-US"/>
        </w:rPr>
        <w:t xml:space="preserve"> were</w:t>
      </w:r>
      <w:r>
        <w:rPr>
          <w:lang w:val="en-US"/>
        </w:rPr>
        <w:t xml:space="preserve"> obtained from an in-house repository and</w:t>
      </w:r>
      <w:r w:rsidRPr="003515F0">
        <w:rPr>
          <w:lang w:val="en-US"/>
        </w:rPr>
        <w:t xml:space="preserve"> </w:t>
      </w:r>
      <w:r>
        <w:rPr>
          <w:lang w:val="en-US"/>
        </w:rPr>
        <w:t>grown</w:t>
      </w:r>
      <w:r w:rsidR="00DB4E3E">
        <w:rPr>
          <w:lang w:val="en-US"/>
        </w:rPr>
        <w:t xml:space="preserve"> in F12/</w:t>
      </w:r>
      <w:r w:rsidR="00DB4E3E" w:rsidRPr="00DB4E3E">
        <w:rPr>
          <w:lang w:val="en-US"/>
        </w:rPr>
        <w:t>Ham’s</w:t>
      </w:r>
      <w:r w:rsidRPr="00DB4E3E">
        <w:rPr>
          <w:lang w:val="en-US"/>
        </w:rPr>
        <w:t xml:space="preserve"> (Gibco) and RPMI-1640 (Sigma-Aldrich) </w:t>
      </w:r>
      <w:r>
        <w:rPr>
          <w:lang w:val="en-US"/>
        </w:rPr>
        <w:t>medi</w:t>
      </w:r>
      <w:r w:rsidR="00144B28">
        <w:rPr>
          <w:lang w:val="en-US"/>
        </w:rPr>
        <w:t>um</w:t>
      </w:r>
      <w:r>
        <w:rPr>
          <w:lang w:val="en-US"/>
        </w:rPr>
        <w:t xml:space="preserve"> respectively, </w:t>
      </w:r>
      <w:r w:rsidR="00144B28">
        <w:rPr>
          <w:lang w:val="en-US"/>
        </w:rPr>
        <w:t xml:space="preserve">each </w:t>
      </w:r>
      <w:r w:rsidRPr="003515F0">
        <w:rPr>
          <w:lang w:val="en-US"/>
        </w:rPr>
        <w:t xml:space="preserve">supplemented with 10% </w:t>
      </w:r>
      <w:r>
        <w:rPr>
          <w:lang w:val="en-US"/>
        </w:rPr>
        <w:t xml:space="preserve">calf </w:t>
      </w:r>
      <w:r w:rsidRPr="003515F0">
        <w:rPr>
          <w:lang w:val="en-US"/>
        </w:rPr>
        <w:t xml:space="preserve">serum and </w:t>
      </w:r>
      <w:r>
        <w:rPr>
          <w:lang w:val="en-US"/>
        </w:rPr>
        <w:t>P</w:t>
      </w:r>
      <w:r w:rsidRPr="003515F0">
        <w:rPr>
          <w:lang w:val="en-US"/>
        </w:rPr>
        <w:t>en/</w:t>
      </w:r>
      <w:r>
        <w:rPr>
          <w:lang w:val="en-US"/>
        </w:rPr>
        <w:t xml:space="preserve">Strep antibiotic.  For viability assays, </w:t>
      </w:r>
      <w:proofErr w:type="gramStart"/>
      <w:r w:rsidR="005E4F2D">
        <w:rPr>
          <w:lang w:val="en-US"/>
        </w:rPr>
        <w:t>2,000 cells/well</w:t>
      </w:r>
      <w:proofErr w:type="gramEnd"/>
      <w:r w:rsidR="005E4F2D">
        <w:rPr>
          <w:lang w:val="en-US"/>
        </w:rPr>
        <w:t xml:space="preserve"> were seeded </w:t>
      </w:r>
      <w:r>
        <w:rPr>
          <w:lang w:val="en-US"/>
        </w:rPr>
        <w:t>in 96-well plates in complete RPMI-1640</w:t>
      </w:r>
      <w:r w:rsidR="005E4F2D">
        <w:rPr>
          <w:lang w:val="en-US"/>
        </w:rPr>
        <w:t xml:space="preserve"> media</w:t>
      </w:r>
      <w:r>
        <w:rPr>
          <w:lang w:val="en-US"/>
        </w:rPr>
        <w:t xml:space="preserve"> lacking Phenol Red </w:t>
      </w:r>
      <w:r w:rsidR="005E4F2D">
        <w:rPr>
          <w:lang w:val="en-US"/>
        </w:rPr>
        <w:t>24</w:t>
      </w:r>
      <w:r>
        <w:rPr>
          <w:lang w:val="en-US"/>
        </w:rPr>
        <w:t xml:space="preserve"> hours prior to </w:t>
      </w:r>
      <w:r w:rsidR="005E4F2D">
        <w:rPr>
          <w:lang w:val="en-US"/>
        </w:rPr>
        <w:t>dosing</w:t>
      </w:r>
      <w:r>
        <w:rPr>
          <w:lang w:val="en-US"/>
        </w:rPr>
        <w:t xml:space="preserve">.  The following compounds were purchased as lyophilized powders from Selleck Chemical:  </w:t>
      </w:r>
      <w:r w:rsidR="005E4F2D">
        <w:rPr>
          <w:lang w:val="en-US"/>
        </w:rPr>
        <w:t xml:space="preserve">SGX-523 (catalog #S1112), JNJ-38877605 (catalog #S1114), </w:t>
      </w:r>
      <w:proofErr w:type="gramStart"/>
      <w:r w:rsidR="005E4F2D">
        <w:rPr>
          <w:lang w:val="en-US"/>
        </w:rPr>
        <w:t>PHA</w:t>
      </w:r>
      <w:proofErr w:type="gramEnd"/>
      <w:r w:rsidR="005E4F2D">
        <w:rPr>
          <w:lang w:val="en-US"/>
        </w:rPr>
        <w:t xml:space="preserve">-665752 (catalog #S1070).  INC280, </w:t>
      </w:r>
      <w:r w:rsidR="005E4F2D">
        <w:rPr>
          <w:lang w:val="en-US"/>
        </w:rPr>
        <w:lastRenderedPageBreak/>
        <w:t xml:space="preserve">AZD6094, Sunitinib and Crizotinib were obtained from an in-house compound </w:t>
      </w:r>
      <w:r w:rsidR="00144B28">
        <w:rPr>
          <w:lang w:val="en-US"/>
        </w:rPr>
        <w:t>collection</w:t>
      </w:r>
      <w:r w:rsidR="005E4F2D">
        <w:rPr>
          <w:lang w:val="en-US"/>
        </w:rPr>
        <w:t>.  All compounds were prepared in 100% DMSO and final [DMSO] in culture was 0.1%.  Following dosing, cells were incubated at 37</w:t>
      </w:r>
      <w:r w:rsidR="00144B28">
        <w:rPr>
          <w:rFonts w:cs="Arial"/>
          <w:lang w:val="en-US"/>
        </w:rPr>
        <w:t>°</w:t>
      </w:r>
      <w:r w:rsidR="005E4F2D">
        <w:rPr>
          <w:lang w:val="en-US"/>
        </w:rPr>
        <w:t>C for</w:t>
      </w:r>
      <w:r w:rsidR="00144B28">
        <w:rPr>
          <w:lang w:val="en-US"/>
        </w:rPr>
        <w:t xml:space="preserve"> </w:t>
      </w:r>
      <w:r w:rsidR="00144B28" w:rsidRPr="00DB4E3E">
        <w:rPr>
          <w:lang w:val="en-US"/>
        </w:rPr>
        <w:t>five days and cell viabilit</w:t>
      </w:r>
      <w:r w:rsidR="00DB4E3E">
        <w:rPr>
          <w:lang w:val="en-US"/>
        </w:rPr>
        <w:t>y was determined using the CellTiter-</w:t>
      </w:r>
      <w:r w:rsidR="00144B28" w:rsidRPr="00DB4E3E">
        <w:rPr>
          <w:lang w:val="en-US"/>
        </w:rPr>
        <w:t>Glo reagent (Promega, catalog #</w:t>
      </w:r>
      <w:r w:rsidR="00DB4E3E" w:rsidRPr="00DB4E3E">
        <w:rPr>
          <w:lang w:val="en-US"/>
        </w:rPr>
        <w:t>G7571</w:t>
      </w:r>
      <w:r w:rsidR="00144B28" w:rsidRPr="00DB4E3E">
        <w:rPr>
          <w:lang w:val="en-US"/>
        </w:rPr>
        <w:t>) according to manufacturer’</w:t>
      </w:r>
      <w:r w:rsidR="009F2B6B" w:rsidRPr="00DB4E3E">
        <w:rPr>
          <w:lang w:val="en-US"/>
        </w:rPr>
        <w:t>s instructions and l</w:t>
      </w:r>
      <w:r w:rsidR="00144B28" w:rsidRPr="00DB4E3E">
        <w:rPr>
          <w:lang w:val="en-US"/>
        </w:rPr>
        <w:t>uminescence measured on a</w:t>
      </w:r>
      <w:r w:rsidR="00144B28">
        <w:rPr>
          <w:lang w:val="en-US"/>
        </w:rPr>
        <w:t xml:space="preserve"> Tecan</w:t>
      </w:r>
      <w:r w:rsidR="00DB4E3E">
        <w:rPr>
          <w:lang w:val="en-US"/>
        </w:rPr>
        <w:t xml:space="preserve"> plate reader</w:t>
      </w:r>
      <w:r w:rsidR="00144B28">
        <w:rPr>
          <w:lang w:val="en-US"/>
        </w:rPr>
        <w:t xml:space="preserve"> instrument </w:t>
      </w:r>
      <w:r w:rsidR="00DB4E3E">
        <w:rPr>
          <w:lang w:val="en-US"/>
        </w:rPr>
        <w:t>using Magellan software (v6.6)</w:t>
      </w:r>
      <w:r w:rsidR="00144B28">
        <w:rPr>
          <w:lang w:val="en-US"/>
        </w:rPr>
        <w:t>.  In order to determine cell viability relative to start of the experiment, a single plate</w:t>
      </w:r>
      <w:r w:rsidR="00C9437F">
        <w:rPr>
          <w:lang w:val="en-US"/>
        </w:rPr>
        <w:t xml:space="preserve"> containing quadruplicate wells of each cell line</w:t>
      </w:r>
      <w:r w:rsidR="00144B28">
        <w:rPr>
          <w:lang w:val="en-US"/>
        </w:rPr>
        <w:t xml:space="preserve"> was subjected to </w:t>
      </w:r>
      <w:r w:rsidR="00DB4E3E">
        <w:rPr>
          <w:lang w:val="en-US"/>
        </w:rPr>
        <w:t xml:space="preserve">CellTiter-Glo </w:t>
      </w:r>
      <w:r w:rsidR="00144B28">
        <w:rPr>
          <w:lang w:val="en-US"/>
        </w:rPr>
        <w:t>analysis immediately prior to dosing of all other plates</w:t>
      </w:r>
      <w:r w:rsidR="00200C79">
        <w:rPr>
          <w:lang w:val="en-US"/>
        </w:rPr>
        <w:t xml:space="preserve"> (~24 hours after seeding)</w:t>
      </w:r>
      <w:r w:rsidR="00144B28">
        <w:rPr>
          <w:lang w:val="en-US"/>
        </w:rPr>
        <w:t>; this plate served as a ‘Day0’ control.</w:t>
      </w:r>
      <w:r w:rsidR="00200C79">
        <w:rPr>
          <w:lang w:val="en-US"/>
        </w:rPr>
        <w:t xml:space="preserve">  Cell viability data were converted into </w:t>
      </w:r>
      <w:r w:rsidR="00C9437F">
        <w:rPr>
          <w:lang w:val="en-US"/>
        </w:rPr>
        <w:t>‘</w:t>
      </w:r>
      <w:r w:rsidR="00DB4E3E">
        <w:rPr>
          <w:lang w:val="en-US"/>
        </w:rPr>
        <w:t xml:space="preserve">viability </w:t>
      </w:r>
      <w:r w:rsidR="000151A3">
        <w:rPr>
          <w:lang w:val="en-US"/>
        </w:rPr>
        <w:t>inhibition</w:t>
      </w:r>
      <w:r w:rsidR="00DB4E3E">
        <w:rPr>
          <w:lang w:val="en-US"/>
        </w:rPr>
        <w:t>, VI’</w:t>
      </w:r>
      <w:r w:rsidR="000151A3">
        <w:rPr>
          <w:lang w:val="en-US"/>
        </w:rPr>
        <w:t xml:space="preserve"> </w:t>
      </w:r>
      <w:r w:rsidR="00200C79">
        <w:rPr>
          <w:lang w:val="en-US"/>
        </w:rPr>
        <w:t>using the following equation:</w:t>
      </w:r>
      <w:r w:rsidR="000151A3">
        <w:rPr>
          <w:lang w:val="en-US"/>
        </w:rPr>
        <w:t xml:space="preserve">  </w:t>
      </w:r>
    </w:p>
    <w:p w:rsidR="00C77CCB" w:rsidRDefault="00C77CCB" w:rsidP="00286286">
      <w:pPr>
        <w:jc w:val="both"/>
        <w:rPr>
          <w:lang w:val="en-US"/>
        </w:rPr>
      </w:pPr>
    </w:p>
    <w:p w:rsidR="00C77CCB" w:rsidRDefault="00DB4E3E" w:rsidP="00DB4E3E">
      <w:pPr>
        <w:ind w:firstLine="1304"/>
        <w:jc w:val="both"/>
        <w:rPr>
          <w:lang w:val="en-US"/>
        </w:rPr>
      </w:pPr>
      <w:r>
        <w:t xml:space="preserve">        % VI</w:t>
      </w:r>
      <w:r w:rsidR="00C9437F" w:rsidRPr="000151A3">
        <w:t xml:space="preserve"> = 100-</w:t>
      </w:r>
      <w:r w:rsidR="000151A3" w:rsidRPr="000151A3">
        <w:t>((</w:t>
      </w:r>
      <w:r w:rsidR="00C9437F" w:rsidRPr="000151A3">
        <w:t>(Day5</w:t>
      </w:r>
      <w:r w:rsidR="00C9437F" w:rsidRPr="000151A3">
        <w:rPr>
          <w:vertAlign w:val="superscript"/>
        </w:rPr>
        <w:t>drug</w:t>
      </w:r>
      <w:r w:rsidR="00C9437F" w:rsidRPr="000151A3">
        <w:t>-Day0)/(Day5</w:t>
      </w:r>
      <w:r w:rsidR="00C9437F" w:rsidRPr="000151A3">
        <w:rPr>
          <w:vertAlign w:val="superscript"/>
        </w:rPr>
        <w:t>DMSO</w:t>
      </w:r>
      <w:r w:rsidR="00C9437F" w:rsidRPr="000151A3">
        <w:t>-Day0)</w:t>
      </w:r>
      <w:r w:rsidR="000151A3" w:rsidRPr="000151A3">
        <w:t>)</w:t>
      </w:r>
      <w:r w:rsidR="00C9437F" w:rsidRPr="000151A3">
        <w:t>*100</w:t>
      </w:r>
      <w:r w:rsidR="000151A3" w:rsidRPr="000151A3">
        <w:t>)</w:t>
      </w:r>
      <w:r w:rsidR="000151A3">
        <w:rPr>
          <w:lang w:val="en-US"/>
        </w:rPr>
        <w:t xml:space="preserve"> </w:t>
      </w:r>
    </w:p>
    <w:p w:rsidR="00C77CCB" w:rsidRDefault="00C77CCB" w:rsidP="00286286">
      <w:pPr>
        <w:jc w:val="both"/>
        <w:rPr>
          <w:lang w:val="en-US"/>
        </w:rPr>
      </w:pPr>
    </w:p>
    <w:p w:rsidR="006752F9" w:rsidRDefault="00C9437F" w:rsidP="00286286">
      <w:pPr>
        <w:jc w:val="both"/>
        <w:rPr>
          <w:lang w:val="en-US"/>
        </w:rPr>
      </w:pPr>
      <w:r w:rsidRPr="00C9437F">
        <w:t>Day5</w:t>
      </w:r>
      <w:r w:rsidRPr="00C9437F">
        <w:rPr>
          <w:vertAlign w:val="superscript"/>
        </w:rPr>
        <w:t>DMSO</w:t>
      </w:r>
      <w:r w:rsidRPr="00C9437F">
        <w:t xml:space="preserve"> </w:t>
      </w:r>
      <w:r w:rsidR="009F2B6B">
        <w:t xml:space="preserve">and </w:t>
      </w:r>
      <w:r w:rsidRPr="00C9437F">
        <w:t>Day5</w:t>
      </w:r>
      <w:r w:rsidRPr="00C9437F">
        <w:rPr>
          <w:vertAlign w:val="superscript"/>
        </w:rPr>
        <w:t>drug</w:t>
      </w:r>
      <w:r>
        <w:rPr>
          <w:vertAlign w:val="superscript"/>
        </w:rPr>
        <w:t xml:space="preserve"> </w:t>
      </w:r>
      <w:r>
        <w:t>represent the luminescence signal</w:t>
      </w:r>
      <w:r w:rsidR="00DB4E3E">
        <w:t>s</w:t>
      </w:r>
      <w:r>
        <w:t xml:space="preserve"> for </w:t>
      </w:r>
      <w:r w:rsidR="009F2B6B">
        <w:t xml:space="preserve">vehicle and drug-treated cells at the end of the experiment, respectively.  Day0 represents the signal for untreated cells </w:t>
      </w:r>
      <w:r w:rsidR="00DB4E3E">
        <w:t>at</w:t>
      </w:r>
      <w:r w:rsidR="009F2B6B">
        <w:t xml:space="preserve"> the start of the experiment.</w:t>
      </w:r>
      <w:r w:rsidR="009F2B6B">
        <w:rPr>
          <w:lang w:val="en-US"/>
        </w:rPr>
        <w:t xml:space="preserve">  </w:t>
      </w:r>
      <w:r w:rsidR="000151A3">
        <w:t>Relative viability (RV)</w:t>
      </w:r>
      <w:r w:rsidR="00DB4E3E">
        <w:t xml:space="preserve"> = </w:t>
      </w:r>
      <w:r w:rsidR="000151A3">
        <w:t>100-VI.</w:t>
      </w:r>
      <w:r w:rsidR="000151A3">
        <w:rPr>
          <w:lang w:val="en-US"/>
        </w:rPr>
        <w:t xml:space="preserve"> RV</w:t>
      </w:r>
      <w:r>
        <w:rPr>
          <w:lang w:val="en-US"/>
        </w:rPr>
        <w:t xml:space="preserve"> was plotted against the log [drug] (</w:t>
      </w:r>
      <w:r w:rsidRPr="009D3C34">
        <w:rPr>
          <w:rFonts w:cs="Arial"/>
          <w:lang w:val="en-US"/>
        </w:rPr>
        <w:t>µ</w:t>
      </w:r>
      <w:r>
        <w:rPr>
          <w:rFonts w:cs="Arial"/>
          <w:lang w:val="en-US"/>
        </w:rPr>
        <w:t>M</w:t>
      </w:r>
      <w:r>
        <w:rPr>
          <w:lang w:val="en-US"/>
        </w:rPr>
        <w:t>) and IC</w:t>
      </w:r>
      <w:r w:rsidRPr="00C9437F">
        <w:rPr>
          <w:vertAlign w:val="subscript"/>
          <w:lang w:val="en-US"/>
        </w:rPr>
        <w:t>50</w:t>
      </w:r>
      <w:r>
        <w:rPr>
          <w:lang w:val="en-US"/>
        </w:rPr>
        <w:t xml:space="preserve"> values for each compound computed using GraphPad Prism</w:t>
      </w:r>
      <w:r>
        <w:rPr>
          <w:rFonts w:cs="Arial"/>
          <w:lang w:val="en-US"/>
        </w:rPr>
        <w:t>®</w:t>
      </w:r>
      <w:r>
        <w:rPr>
          <w:lang w:val="en-US"/>
        </w:rPr>
        <w:t xml:space="preserve"> software (</w:t>
      </w:r>
      <w:r w:rsidR="00DB4E3E">
        <w:rPr>
          <w:lang w:val="en-US"/>
        </w:rPr>
        <w:t>v</w:t>
      </w:r>
      <w:r w:rsidR="00D2571E">
        <w:rPr>
          <w:lang w:val="en-US"/>
        </w:rPr>
        <w:t>5.00).</w:t>
      </w:r>
    </w:p>
    <w:p w:rsidR="00D2571E" w:rsidRDefault="00D2571E" w:rsidP="00286286">
      <w:pPr>
        <w:jc w:val="both"/>
        <w:rPr>
          <w:lang w:val="en-US"/>
        </w:rPr>
      </w:pPr>
    </w:p>
    <w:p w:rsidR="00D2571E" w:rsidRPr="00D2571E" w:rsidRDefault="00D2571E" w:rsidP="00286286">
      <w:pPr>
        <w:jc w:val="both"/>
        <w:rPr>
          <w:b/>
          <w:lang w:val="en-US"/>
        </w:rPr>
      </w:pPr>
      <w:r w:rsidRPr="00D2571E">
        <w:rPr>
          <w:b/>
          <w:lang w:val="en-US"/>
        </w:rPr>
        <w:t>Mutation analysis</w:t>
      </w:r>
    </w:p>
    <w:p w:rsidR="00D2571E" w:rsidRDefault="00D2571E" w:rsidP="00286286">
      <w:pPr>
        <w:jc w:val="both"/>
        <w:rPr>
          <w:lang w:val="en-US"/>
        </w:rPr>
      </w:pPr>
    </w:p>
    <w:p w:rsidR="00D2571E" w:rsidRDefault="00D2571E" w:rsidP="00286286">
      <w:pPr>
        <w:jc w:val="both"/>
        <w:rPr>
          <w:lang w:val="en-US"/>
        </w:rPr>
      </w:pPr>
      <w:r w:rsidRPr="00D2571E">
        <w:rPr>
          <w:lang w:val="en-US"/>
        </w:rPr>
        <w:t>PDX mutation status was analyzed by performing targeted next generation sequencing of the genes indicated in Supplemental Table 2. NimbleGen capture platform was used to capture gene exons. The captured DNA fragments were sequenced by Illumina’s HiSeq technology and at least 50 X effective mean depths was generated for all samples. All mutations detected were manually verified using the CLC software.</w:t>
      </w:r>
    </w:p>
    <w:p w:rsidR="00D2571E" w:rsidRDefault="00D2571E" w:rsidP="00286286">
      <w:pPr>
        <w:jc w:val="both"/>
        <w:rPr>
          <w:lang w:val="en-US"/>
        </w:rPr>
      </w:pPr>
    </w:p>
    <w:p w:rsidR="00D2571E" w:rsidRPr="00D2571E" w:rsidRDefault="00D2571E" w:rsidP="00286286">
      <w:pPr>
        <w:jc w:val="both"/>
        <w:rPr>
          <w:b/>
          <w:lang w:val="en-US"/>
        </w:rPr>
      </w:pPr>
      <w:r w:rsidRPr="00D2571E">
        <w:rPr>
          <w:b/>
          <w:lang w:val="en-US"/>
        </w:rPr>
        <w:t>Gene expression analysis</w:t>
      </w:r>
    </w:p>
    <w:p w:rsidR="00D2571E" w:rsidRDefault="00D2571E" w:rsidP="00286286">
      <w:pPr>
        <w:jc w:val="both"/>
        <w:rPr>
          <w:lang w:val="en-US"/>
        </w:rPr>
      </w:pPr>
    </w:p>
    <w:p w:rsidR="00D2571E" w:rsidRPr="009D3C34" w:rsidRDefault="00D2571E" w:rsidP="00286286">
      <w:pPr>
        <w:jc w:val="both"/>
        <w:rPr>
          <w:lang w:val="en-US"/>
        </w:rPr>
      </w:pPr>
      <w:r w:rsidRPr="00D2571E">
        <w:rPr>
          <w:lang w:val="en-US"/>
        </w:rPr>
        <w:t xml:space="preserve">Gene expression data was generated using the Affymetrix platform. RNA extracted from a pool of three tumors obtained from the same PDX model at the same passage were hybridized to the Affymetrix HG-U133 </w:t>
      </w:r>
      <w:proofErr w:type="gramStart"/>
      <w:r w:rsidRPr="00D2571E">
        <w:rPr>
          <w:lang w:val="en-US"/>
        </w:rPr>
        <w:t>Plus</w:t>
      </w:r>
      <w:proofErr w:type="gramEnd"/>
      <w:r w:rsidRPr="00D2571E">
        <w:rPr>
          <w:lang w:val="en-US"/>
        </w:rPr>
        <w:t xml:space="preserve"> 2.0 Array (Affymetrix, Santa Clara, California) following the manufacturer’s guideline. The probe level intensities from the resulting raw Affymetrix CEL files were background corrected, log2 transformed and quantile normalized using the Robust Multiarray Analysis (RMA) method</w:t>
      </w:r>
      <w:r>
        <w:rPr>
          <w:lang w:val="en-US"/>
        </w:rPr>
        <w:t>.</w:t>
      </w:r>
    </w:p>
    <w:sectPr w:rsidR="00D2571E" w:rsidRPr="009D3C34" w:rsidSect="005B6AA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5704"/>
  <w:styleLockTheme/>
  <w:styleLockQFSet/>
  <w:defaultTabStop w:val="1304"/>
  <w:hyphenationZone w:val="425"/>
  <w:characterSpacingControl w:val="doNotCompress"/>
  <w:compat/>
  <w:rsids>
    <w:rsidRoot w:val="00286286"/>
    <w:rsid w:val="000151A3"/>
    <w:rsid w:val="00027AC4"/>
    <w:rsid w:val="0003610B"/>
    <w:rsid w:val="00076B4F"/>
    <w:rsid w:val="00122AB9"/>
    <w:rsid w:val="00144B28"/>
    <w:rsid w:val="001C4F2D"/>
    <w:rsid w:val="00200C79"/>
    <w:rsid w:val="002625B8"/>
    <w:rsid w:val="00274DF6"/>
    <w:rsid w:val="0028302A"/>
    <w:rsid w:val="00286286"/>
    <w:rsid w:val="003515F0"/>
    <w:rsid w:val="003B6829"/>
    <w:rsid w:val="003C4FE6"/>
    <w:rsid w:val="00537D81"/>
    <w:rsid w:val="005A09E4"/>
    <w:rsid w:val="005B6AA5"/>
    <w:rsid w:val="005E4F2D"/>
    <w:rsid w:val="006752F9"/>
    <w:rsid w:val="006C7023"/>
    <w:rsid w:val="00732885"/>
    <w:rsid w:val="00744CEC"/>
    <w:rsid w:val="00761F01"/>
    <w:rsid w:val="007665F6"/>
    <w:rsid w:val="00813605"/>
    <w:rsid w:val="00824C4F"/>
    <w:rsid w:val="00853D6B"/>
    <w:rsid w:val="00897029"/>
    <w:rsid w:val="009C5820"/>
    <w:rsid w:val="009D3C34"/>
    <w:rsid w:val="009F2B6B"/>
    <w:rsid w:val="00A33900"/>
    <w:rsid w:val="00A91BC4"/>
    <w:rsid w:val="00B420BA"/>
    <w:rsid w:val="00BA7FD5"/>
    <w:rsid w:val="00C22CC5"/>
    <w:rsid w:val="00C77CCB"/>
    <w:rsid w:val="00C9437F"/>
    <w:rsid w:val="00CD64AE"/>
    <w:rsid w:val="00D2571E"/>
    <w:rsid w:val="00D678CE"/>
    <w:rsid w:val="00DB4E3E"/>
    <w:rsid w:val="00E21324"/>
    <w:rsid w:val="00ED33F2"/>
    <w:rsid w:val="00ED4DA2"/>
    <w:rsid w:val="00EE03E8"/>
    <w:rsid w:val="00F32C43"/>
    <w:rsid w:val="00F46E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5A09E4"/>
    <w:pPr>
      <w:keepNext/>
    </w:pPr>
  </w:style>
  <w:style w:type="paragraph" w:styleId="Heading1">
    <w:name w:val="heading 1"/>
    <w:basedOn w:val="Normal"/>
    <w:next w:val="Normal"/>
    <w:link w:val="Heading1Char"/>
    <w:uiPriority w:val="1"/>
    <w:qFormat/>
    <w:rsid w:val="005A09E4"/>
    <w:pPr>
      <w:spacing w:after="240"/>
      <w:outlineLvl w:val="0"/>
    </w:pPr>
    <w:rPr>
      <w:b/>
      <w:sz w:val="32"/>
    </w:rPr>
  </w:style>
  <w:style w:type="paragraph" w:styleId="Heading2">
    <w:name w:val="heading 2"/>
    <w:basedOn w:val="Normal"/>
    <w:next w:val="Normal"/>
    <w:link w:val="Heading2Char"/>
    <w:uiPriority w:val="1"/>
    <w:qFormat/>
    <w:rsid w:val="005A09E4"/>
    <w:pPr>
      <w:spacing w:after="120"/>
      <w:outlineLvl w:val="1"/>
    </w:pPr>
    <w:rPr>
      <w:rFonts w:eastAsiaTheme="majorEastAsia" w:cstheme="majorBidi"/>
      <w:b/>
      <w:bCs/>
      <w:sz w:val="28"/>
      <w:szCs w:val="26"/>
    </w:rPr>
  </w:style>
  <w:style w:type="paragraph" w:styleId="Heading3">
    <w:name w:val="heading 3"/>
    <w:basedOn w:val="Normal"/>
    <w:next w:val="Normal"/>
    <w:link w:val="Heading3Char"/>
    <w:uiPriority w:val="1"/>
    <w:qFormat/>
    <w:rsid w:val="005A09E4"/>
    <w:pPr>
      <w:spacing w:after="120"/>
      <w:outlineLvl w:val="2"/>
    </w:pPr>
    <w:rPr>
      <w:rFonts w:eastAsiaTheme="majorEastAsia" w:cstheme="majorBidi"/>
      <w:b/>
      <w:bCs/>
    </w:rPr>
  </w:style>
  <w:style w:type="paragraph" w:styleId="Heading4">
    <w:name w:val="heading 4"/>
    <w:basedOn w:val="Normal"/>
    <w:next w:val="Normal"/>
    <w:link w:val="Heading4Char"/>
    <w:uiPriority w:val="1"/>
    <w:qFormat/>
    <w:rsid w:val="005A09E4"/>
    <w:pPr>
      <w:outlineLvl w:val="3"/>
    </w:pPr>
    <w:rPr>
      <w:rFonts w:eastAsiaTheme="majorEastAsia" w:cstheme="majorBidi"/>
      <w:b/>
      <w:bCs/>
      <w:iCs/>
    </w:rPr>
  </w:style>
  <w:style w:type="paragraph" w:styleId="Heading5">
    <w:name w:val="heading 5"/>
    <w:basedOn w:val="Normal"/>
    <w:next w:val="Normal"/>
    <w:link w:val="Heading5Char"/>
    <w:uiPriority w:val="1"/>
    <w:qFormat/>
    <w:rsid w:val="005A09E4"/>
    <w:pPr>
      <w:outlineLvl w:val="4"/>
    </w:pPr>
    <w:rPr>
      <w:rFonts w:eastAsiaTheme="majorEastAsia" w:cstheme="majorBidi"/>
      <w:b/>
      <w:i/>
    </w:rPr>
  </w:style>
  <w:style w:type="paragraph" w:styleId="Heading6">
    <w:name w:val="heading 6"/>
    <w:basedOn w:val="Normal"/>
    <w:next w:val="Normal"/>
    <w:link w:val="Heading6Char"/>
    <w:uiPriority w:val="1"/>
    <w:qFormat/>
    <w:rsid w:val="005A09E4"/>
    <w:pPr>
      <w:outlineLvl w:val="5"/>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A09E4"/>
    <w:rPr>
      <w:b/>
      <w:sz w:val="32"/>
    </w:rPr>
  </w:style>
  <w:style w:type="character" w:customStyle="1" w:styleId="Heading2Char">
    <w:name w:val="Heading 2 Char"/>
    <w:basedOn w:val="DefaultParagraphFont"/>
    <w:link w:val="Heading2"/>
    <w:uiPriority w:val="1"/>
    <w:rsid w:val="005A09E4"/>
    <w:rPr>
      <w:rFonts w:eastAsiaTheme="majorEastAsia" w:cstheme="majorBidi"/>
      <w:b/>
      <w:bCs/>
      <w:sz w:val="28"/>
      <w:szCs w:val="26"/>
    </w:rPr>
  </w:style>
  <w:style w:type="character" w:customStyle="1" w:styleId="Heading3Char">
    <w:name w:val="Heading 3 Char"/>
    <w:basedOn w:val="DefaultParagraphFont"/>
    <w:link w:val="Heading3"/>
    <w:uiPriority w:val="1"/>
    <w:rsid w:val="005A09E4"/>
    <w:rPr>
      <w:rFonts w:eastAsiaTheme="majorEastAsia" w:cstheme="majorBidi"/>
      <w:b/>
      <w:bCs/>
    </w:rPr>
  </w:style>
  <w:style w:type="character" w:customStyle="1" w:styleId="Heading4Char">
    <w:name w:val="Heading 4 Char"/>
    <w:basedOn w:val="DefaultParagraphFont"/>
    <w:link w:val="Heading4"/>
    <w:uiPriority w:val="1"/>
    <w:rsid w:val="005A09E4"/>
    <w:rPr>
      <w:rFonts w:eastAsiaTheme="majorEastAsia" w:cstheme="majorBidi"/>
      <w:b/>
      <w:bCs/>
      <w:iCs/>
    </w:rPr>
  </w:style>
  <w:style w:type="character" w:customStyle="1" w:styleId="Heading5Char">
    <w:name w:val="Heading 5 Char"/>
    <w:basedOn w:val="DefaultParagraphFont"/>
    <w:link w:val="Heading5"/>
    <w:uiPriority w:val="1"/>
    <w:rsid w:val="005A09E4"/>
    <w:rPr>
      <w:rFonts w:eastAsiaTheme="majorEastAsia" w:cstheme="majorBidi"/>
      <w:b/>
      <w:i/>
    </w:rPr>
  </w:style>
  <w:style w:type="character" w:customStyle="1" w:styleId="Heading6Char">
    <w:name w:val="Heading 6 Char"/>
    <w:basedOn w:val="DefaultParagraphFont"/>
    <w:link w:val="Heading6"/>
    <w:uiPriority w:val="1"/>
    <w:rsid w:val="005A09E4"/>
    <w:rPr>
      <w:rFonts w:eastAsiaTheme="majorEastAsia" w:cstheme="majorBidi"/>
      <w:i/>
      <w:iCs/>
    </w:rPr>
  </w:style>
</w:styles>
</file>

<file path=word/webSettings.xml><?xml version="1.0" encoding="utf-8"?>
<w:webSettings xmlns:r="http://schemas.openxmlformats.org/officeDocument/2006/relationships" xmlns:w="http://schemas.openxmlformats.org/wordprocessingml/2006/main">
  <w:optimizeForBrowser/>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961DC-90B1-4D9B-8492-DF0D3D910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AstraZeneca</Company>
  <LinksUpToDate>false</LinksUpToDate>
  <CharactersWithSpaces>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kgsq090</dc:creator>
  <cp:lastModifiedBy>knbn958</cp:lastModifiedBy>
  <cp:revision>3</cp:revision>
  <cp:lastPrinted>2015-02-04T21:09:00Z</cp:lastPrinted>
  <dcterms:created xsi:type="dcterms:W3CDTF">2015-02-12T15:41:00Z</dcterms:created>
  <dcterms:modified xsi:type="dcterms:W3CDTF">2015-02-12T15:42:00Z</dcterms:modified>
</cp:coreProperties>
</file>