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1D" w:rsidRPr="00A94EFA" w:rsidRDefault="00922C4A" w:rsidP="004525DA">
      <w:pPr>
        <w:spacing w:before="240" w:after="360"/>
        <w:ind w:left="3330" w:hanging="3330"/>
        <w:rPr>
          <w:rFonts w:ascii="Courier" w:hAnsi="Courier" w:cs="Times New Roman"/>
          <w:b/>
          <w:bCs/>
        </w:rPr>
      </w:pPr>
      <w:proofErr w:type="gramStart"/>
      <w:r w:rsidRPr="00957DDE">
        <w:rPr>
          <w:rFonts w:ascii="Courier" w:hAnsi="Courier"/>
          <w:b/>
        </w:rPr>
        <w:t xml:space="preserve">Supplemental </w:t>
      </w:r>
      <w:r w:rsidR="00D3351D" w:rsidRPr="00A94EFA">
        <w:rPr>
          <w:rFonts w:ascii="Courier" w:hAnsi="Courier" w:cs="Times New Roman"/>
          <w:b/>
          <w:bCs/>
        </w:rPr>
        <w:t>Table S2.</w:t>
      </w:r>
      <w:proofErr w:type="gramEnd"/>
      <w:r w:rsidR="00D3351D" w:rsidRPr="00A94EFA">
        <w:rPr>
          <w:rFonts w:ascii="Courier" w:hAnsi="Courier" w:cs="Times New Roman"/>
          <w:b/>
          <w:bCs/>
        </w:rPr>
        <w:t xml:space="preserve"> Characterization and physicochemical properties of </w:t>
      </w:r>
      <w:r w:rsidR="004525DA" w:rsidRPr="00957DDE">
        <w:rPr>
          <w:rFonts w:ascii="Courier" w:hAnsi="Courier"/>
          <w:b/>
        </w:rPr>
        <w:t>PLA</w:t>
      </w:r>
      <w:r w:rsidR="004525DA">
        <w:rPr>
          <w:rFonts w:ascii="Courier" w:hAnsi="Courier"/>
          <w:b/>
        </w:rPr>
        <w:t xml:space="preserve">, PLA-PEG and </w:t>
      </w:r>
      <w:r w:rsidR="004525DA" w:rsidRPr="00957DDE">
        <w:rPr>
          <w:rFonts w:ascii="Courier" w:hAnsi="Courier"/>
          <w:b/>
        </w:rPr>
        <w:t>PLA</w:t>
      </w:r>
      <w:proofErr w:type="gramStart"/>
      <w:r w:rsidR="004525DA" w:rsidRPr="00957DDE">
        <w:rPr>
          <w:rFonts w:ascii="Courier" w:hAnsi="Courier"/>
          <w:b/>
        </w:rPr>
        <w:t>-</w:t>
      </w:r>
      <w:r w:rsidR="004525DA">
        <w:rPr>
          <w:rFonts w:ascii="Courier" w:hAnsi="Courier"/>
          <w:b/>
        </w:rPr>
        <w:t>(</w:t>
      </w:r>
      <w:proofErr w:type="gramEnd"/>
      <w:r w:rsidR="004525DA" w:rsidRPr="00957DDE">
        <w:rPr>
          <w:rFonts w:ascii="Courier" w:hAnsi="Courier"/>
          <w:b/>
        </w:rPr>
        <w:t>PEG-PPG-PEG</w:t>
      </w:r>
      <w:r w:rsidR="004525DA">
        <w:rPr>
          <w:rFonts w:ascii="Courier" w:hAnsi="Courier"/>
          <w:b/>
        </w:rPr>
        <w:t xml:space="preserve">) </w:t>
      </w:r>
      <w:r w:rsidR="00D3351D" w:rsidRPr="00A94EFA">
        <w:rPr>
          <w:rFonts w:ascii="Courier" w:hAnsi="Courier" w:cs="Times New Roman"/>
          <w:b/>
          <w:bCs/>
        </w:rPr>
        <w:t xml:space="preserve">block copolymers and nanoparticles  </w:t>
      </w:r>
    </w:p>
    <w:tbl>
      <w:tblPr>
        <w:tblW w:w="15050" w:type="dxa"/>
        <w:tblInd w:w="-882" w:type="dxa"/>
        <w:tblLayout w:type="fixed"/>
        <w:tblLook w:val="04A0"/>
      </w:tblPr>
      <w:tblGrid>
        <w:gridCol w:w="3150"/>
        <w:gridCol w:w="900"/>
        <w:gridCol w:w="900"/>
        <w:gridCol w:w="900"/>
        <w:gridCol w:w="1980"/>
        <w:gridCol w:w="1530"/>
        <w:gridCol w:w="1530"/>
        <w:gridCol w:w="810"/>
        <w:gridCol w:w="1545"/>
        <w:gridCol w:w="1805"/>
      </w:tblGrid>
      <w:tr w:rsidR="007015A2" w:rsidRPr="00A94EFA">
        <w:trPr>
          <w:trHeight w:val="430"/>
        </w:trPr>
        <w:tc>
          <w:tcPr>
            <w:tcW w:w="315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Sample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GPC of </w:t>
            </w:r>
            <w:proofErr w:type="spellStart"/>
            <w:r w:rsidR="00A94EFA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C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opolymers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Hydrodynamic </w:t>
            </w:r>
            <w:proofErr w:type="spellStart"/>
            <w:r w:rsidR="00A94EFA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D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iameter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  <w:vertAlign w:val="superscript"/>
              </w:rPr>
              <w:t>b</w:t>
            </w:r>
            <w:proofErr w:type="spellEnd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, nm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Zeta Potential (</w:t>
            </w:r>
            <w:r w:rsidRPr="00403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ζ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7015A2" w:rsidRDefault="00D3351D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Peptide/</w:t>
            </w:r>
          </w:p>
          <w:p w:rsidR="007015A2" w:rsidRDefault="00A94EFA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Polymer </w:t>
            </w:r>
          </w:p>
          <w:p w:rsidR="007015A2" w:rsidRDefault="00A94EFA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proofErr w:type="spellStart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R</w:t>
            </w:r>
            <w:r w:rsidR="00D3351D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atio</w:t>
            </w:r>
            <w:r w:rsidR="00D3351D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  <w:vertAlign w:val="superscript"/>
              </w:rPr>
              <w:t>c</w:t>
            </w:r>
            <w:proofErr w:type="spellEnd"/>
            <w:r w:rsidR="00D3351D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 </w:t>
            </w:r>
          </w:p>
          <w:p w:rsidR="00D3351D" w:rsidRPr="004030A4" w:rsidRDefault="00D3351D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(</w:t>
            </w:r>
            <w:proofErr w:type="gramStart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w</w:t>
            </w:r>
            <w:proofErr w:type="gramEnd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/w)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proofErr w:type="spellStart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EE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  <w:vertAlign w:val="superscript"/>
              </w:rPr>
              <w:t>d</w:t>
            </w:r>
            <w:proofErr w:type="spellEnd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Particle Size </w:t>
            </w:r>
            <w:r w:rsidR="00A94EFA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A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fter </w:t>
            </w:r>
            <w:r w:rsidR="00A94EFA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P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 xml:space="preserve">eptide </w:t>
            </w:r>
            <w:proofErr w:type="spellStart"/>
            <w:r w:rsidR="00A94EFA"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L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oading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  <w:vertAlign w:val="superscript"/>
              </w:rPr>
              <w:t>b</w:t>
            </w:r>
            <w:proofErr w:type="spellEnd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, nm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:rsidR="00D3351D" w:rsidRPr="004030A4" w:rsidRDefault="007015A2" w:rsidP="00A94EFA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A94EFA">
              <w:rPr>
                <w:rFonts w:ascii="Courier" w:eastAsia="Times New Roman" w:hAnsi="Courier" w:cs="Times New Roman"/>
                <w:b/>
                <w:bCs/>
                <w:color w:val="000000"/>
              </w:rPr>
              <w:t xml:space="preserve">Zeta Potential </w:t>
            </w:r>
            <w:r>
              <w:rPr>
                <w:rFonts w:ascii="Courier" w:eastAsia="Times New Roman" w:hAnsi="Courier" w:cs="Times New Roman"/>
                <w:b/>
                <w:bCs/>
                <w:color w:val="000000"/>
              </w:rPr>
              <w:t>A</w:t>
            </w:r>
            <w:r w:rsidRPr="00A94EFA">
              <w:rPr>
                <w:rFonts w:ascii="Courier" w:eastAsia="Times New Roman" w:hAnsi="Courier" w:cs="Times New Roman"/>
                <w:b/>
                <w:bCs/>
                <w:color w:val="000000"/>
              </w:rPr>
              <w:t xml:space="preserve">fter </w:t>
            </w:r>
            <w:r>
              <w:rPr>
                <w:rFonts w:ascii="Courier" w:eastAsia="Times New Roman" w:hAnsi="Courier" w:cs="Times New Roman"/>
                <w:b/>
                <w:bCs/>
                <w:color w:val="000000"/>
              </w:rPr>
              <w:t>P</w:t>
            </w:r>
            <w:r w:rsidRPr="00A94EFA">
              <w:rPr>
                <w:rFonts w:ascii="Courier" w:eastAsia="Times New Roman" w:hAnsi="Courier" w:cs="Times New Roman"/>
                <w:b/>
                <w:bCs/>
                <w:color w:val="000000"/>
              </w:rPr>
              <w:t xml:space="preserve">eptide </w:t>
            </w:r>
            <w:proofErr w:type="spellStart"/>
            <w:r>
              <w:rPr>
                <w:rFonts w:ascii="Courier" w:eastAsia="Times New Roman" w:hAnsi="Courier" w:cs="Times New Roman"/>
                <w:b/>
                <w:bCs/>
                <w:color w:val="000000"/>
              </w:rPr>
              <w:t>L</w:t>
            </w:r>
            <w:r w:rsidRPr="00A94EFA">
              <w:rPr>
                <w:rFonts w:ascii="Courier" w:eastAsia="Times New Roman" w:hAnsi="Courier" w:cs="Times New Roman"/>
                <w:b/>
                <w:bCs/>
                <w:color w:val="000000"/>
              </w:rPr>
              <w:t>oading</w:t>
            </w:r>
            <w:r>
              <w:rPr>
                <w:rFonts w:ascii="Courier" w:hAnsi="Courier" w:cs="Times New Roman"/>
                <w:vertAlign w:val="superscript"/>
              </w:rPr>
              <w:t>e</w:t>
            </w:r>
            <w:proofErr w:type="spellEnd"/>
            <w:r w:rsidRPr="00A94EFA">
              <w:rPr>
                <w:rFonts w:ascii="Courier" w:eastAsia="Times New Roman" w:hAnsi="Courier" w:cs="Times New Roman"/>
                <w:b/>
                <w:bCs/>
                <w:color w:val="000000"/>
              </w:rPr>
              <w:t>, (</w:t>
            </w:r>
            <w:r w:rsidRPr="00A94E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ζ</w:t>
            </w:r>
            <w:r w:rsidRPr="00A94EFA">
              <w:rPr>
                <w:rFonts w:ascii="Courier" w:eastAsia="Times New Roman" w:hAnsi="Courier" w:cs="Times New Roman"/>
                <w:b/>
                <w:bCs/>
                <w:color w:val="000000"/>
              </w:rPr>
              <w:t>)</w:t>
            </w:r>
          </w:p>
        </w:tc>
      </w:tr>
      <w:tr w:rsidR="007015A2" w:rsidRPr="00A94EFA">
        <w:trPr>
          <w:trHeight w:val="1251"/>
        </w:trPr>
        <w:tc>
          <w:tcPr>
            <w:tcW w:w="315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proofErr w:type="spellStart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Mn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Mw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Mw/</w:t>
            </w:r>
            <w:proofErr w:type="spellStart"/>
            <w:r w:rsidRPr="004030A4"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  <w:t>Mn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b/>
                <w:bCs/>
                <w:color w:val="000000"/>
                <w:sz w:val="22"/>
              </w:rPr>
            </w:pPr>
          </w:p>
        </w:tc>
      </w:tr>
      <w:tr w:rsidR="007015A2" w:rsidRPr="00A94EFA">
        <w:trPr>
          <w:trHeight w:val="38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</w:rPr>
              <w:t>PLA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59745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72487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1.213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3C6A8B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3C6A8B" w:rsidP="003C6A8B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-</w:t>
            </w:r>
            <w:r w:rsidR="00D3351D"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15.</w:t>
            </w: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1:10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132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  <w:vertAlign w:val="superscript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-30</w:t>
            </w:r>
          </w:p>
        </w:tc>
      </w:tr>
      <w:tr w:rsidR="007015A2" w:rsidRPr="00A94EFA">
        <w:trPr>
          <w:trHeight w:val="52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</w:rPr>
              <w:t>PLA-PEG</w:t>
            </w:r>
            <w:r w:rsidRPr="004030A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  <w:vertAlign w:val="superscript"/>
              </w:rPr>
              <w:t>4</w:t>
            </w:r>
            <w:r w:rsidR="003C6A8B" w:rsidRPr="004030A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  <w:vertAlign w:val="superscript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72479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78416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1.082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3C6A8B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3C6A8B" w:rsidP="003C6A8B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-3.3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1:10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3C6A8B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65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111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51D" w:rsidRPr="004030A4" w:rsidRDefault="00D3351D" w:rsidP="003C6A8B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-2</w:t>
            </w:r>
            <w:r w:rsidR="003C6A8B"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0</w:t>
            </w:r>
          </w:p>
        </w:tc>
      </w:tr>
      <w:tr w:rsidR="007015A2" w:rsidRPr="00A94EFA">
        <w:trPr>
          <w:trHeight w:val="524"/>
        </w:trPr>
        <w:tc>
          <w:tcPr>
            <w:tcW w:w="31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2"/>
              </w:rPr>
            </w:pPr>
            <w:r w:rsidRPr="004030A4">
              <w:rPr>
                <w:rFonts w:ascii="Courier" w:hAnsi="Courier"/>
                <w:b/>
                <w:color w:val="000000" w:themeColor="text1"/>
                <w:sz w:val="22"/>
              </w:rPr>
              <w:t>PLA</w:t>
            </w:r>
            <w:proofErr w:type="gramStart"/>
            <w:r w:rsidRPr="004030A4">
              <w:rPr>
                <w:rFonts w:ascii="Courier" w:hAnsi="Courier"/>
                <w:b/>
                <w:color w:val="000000" w:themeColor="text1"/>
                <w:sz w:val="22"/>
              </w:rPr>
              <w:t>-(</w:t>
            </w:r>
            <w:proofErr w:type="gramEnd"/>
            <w:r w:rsidRPr="004030A4">
              <w:rPr>
                <w:rFonts w:ascii="Courier" w:hAnsi="Courier"/>
                <w:b/>
                <w:color w:val="000000" w:themeColor="text1"/>
                <w:sz w:val="22"/>
              </w:rPr>
              <w:t>PEG-PPG-PEG)</w:t>
            </w:r>
            <w:r w:rsidRPr="004030A4">
              <w:rPr>
                <w:rFonts w:ascii="Courier" w:eastAsia="ＭＳ Ｐゴシック" w:hAnsi="Courier" w:cs="ＭＳ Ｐゴシック"/>
                <w:b/>
                <w:color w:val="000000" w:themeColor="text1"/>
                <w:kern w:val="24"/>
                <w:sz w:val="22"/>
                <w:vertAlign w:val="superscript"/>
              </w:rPr>
              <w:t>12.5K</w:t>
            </w:r>
            <w:r w:rsidRPr="004030A4">
              <w:rPr>
                <w:rFonts w:ascii="Courier" w:hAnsi="Courier"/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80256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85678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1.066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-3.1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1:10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64.5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118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C6A8B" w:rsidRPr="004030A4" w:rsidRDefault="003C6A8B" w:rsidP="00D3351D">
            <w:pPr>
              <w:jc w:val="center"/>
              <w:rPr>
                <w:rFonts w:ascii="Courier" w:eastAsia="Times New Roman" w:hAnsi="Courier" w:cs="Times New Roman"/>
                <w:color w:val="000000" w:themeColor="text1"/>
                <w:sz w:val="22"/>
              </w:rPr>
            </w:pPr>
            <w:r w:rsidRPr="004030A4">
              <w:rPr>
                <w:rFonts w:ascii="Courier" w:eastAsia="Times New Roman" w:hAnsi="Courier" w:cs="Times New Roman"/>
                <w:color w:val="000000" w:themeColor="text1"/>
                <w:sz w:val="22"/>
              </w:rPr>
              <w:t>-22</w:t>
            </w:r>
          </w:p>
        </w:tc>
      </w:tr>
    </w:tbl>
    <w:p w:rsidR="00D3351D" w:rsidRPr="00A94EFA" w:rsidRDefault="00D3351D" w:rsidP="00D3351D">
      <w:pPr>
        <w:rPr>
          <w:rFonts w:ascii="Courier" w:hAnsi="Courier" w:cs="Times New Roman"/>
          <w:vertAlign w:val="superscript"/>
        </w:rPr>
      </w:pPr>
    </w:p>
    <w:p w:rsidR="00D3351D" w:rsidRPr="00A94EFA" w:rsidRDefault="00D3351D" w:rsidP="00A94EFA">
      <w:pPr>
        <w:spacing w:line="360" w:lineRule="auto"/>
        <w:ind w:left="360" w:hanging="360"/>
        <w:rPr>
          <w:rFonts w:ascii="Courier" w:hAnsi="Courier" w:cs="Times New Roman"/>
        </w:rPr>
      </w:pPr>
      <w:proofErr w:type="spellStart"/>
      <w:proofErr w:type="gramStart"/>
      <w:r w:rsidRPr="00A94EFA">
        <w:rPr>
          <w:rFonts w:ascii="Courier" w:hAnsi="Courier" w:cs="Times New Roman"/>
          <w:vertAlign w:val="superscript"/>
        </w:rPr>
        <w:t>a</w:t>
      </w:r>
      <w:r w:rsidRPr="00A94EFA">
        <w:rPr>
          <w:rFonts w:ascii="Courier" w:hAnsi="Courier" w:cs="Times New Roman"/>
        </w:rPr>
        <w:t>Gel</w:t>
      </w:r>
      <w:proofErr w:type="spellEnd"/>
      <w:proofErr w:type="gramEnd"/>
      <w:r w:rsidRPr="00A94EFA">
        <w:rPr>
          <w:rFonts w:ascii="Courier" w:hAnsi="Courier" w:cs="Times New Roman"/>
        </w:rPr>
        <w:t xml:space="preserve"> permeation chromatography (GPC) of PLA-PEG block copolymers at room temperature using </w:t>
      </w:r>
      <w:proofErr w:type="spellStart"/>
      <w:r w:rsidRPr="00A94EFA">
        <w:rPr>
          <w:rFonts w:ascii="Courier" w:hAnsi="Courier" w:cs="Times New Roman"/>
        </w:rPr>
        <w:t>Viscoteck</w:t>
      </w:r>
      <w:proofErr w:type="spellEnd"/>
      <w:r w:rsidRPr="00A94EFA">
        <w:rPr>
          <w:rFonts w:ascii="Courier" w:hAnsi="Courier" w:cs="Times New Roman"/>
        </w:rPr>
        <w:t xml:space="preserve"> GPC system with THF as mobile phase.</w:t>
      </w:r>
    </w:p>
    <w:p w:rsidR="00D3351D" w:rsidRPr="00A94EFA" w:rsidRDefault="00D3351D" w:rsidP="00A94EFA">
      <w:pPr>
        <w:spacing w:line="360" w:lineRule="auto"/>
        <w:ind w:left="360" w:hanging="360"/>
        <w:rPr>
          <w:rFonts w:ascii="Courier" w:hAnsi="Courier" w:cs="Times New Roman"/>
        </w:rPr>
      </w:pPr>
      <w:proofErr w:type="spellStart"/>
      <w:proofErr w:type="gramStart"/>
      <w:r w:rsidRPr="00A94EFA">
        <w:rPr>
          <w:rFonts w:ascii="Courier" w:hAnsi="Courier" w:cs="Times New Roman"/>
          <w:vertAlign w:val="superscript"/>
        </w:rPr>
        <w:t>b</w:t>
      </w:r>
      <w:r w:rsidRPr="00A94EFA">
        <w:rPr>
          <w:rFonts w:ascii="Courier" w:hAnsi="Courier" w:cs="Times New Roman"/>
        </w:rPr>
        <w:t>Measured</w:t>
      </w:r>
      <w:proofErr w:type="spellEnd"/>
      <w:proofErr w:type="gramEnd"/>
      <w:r w:rsidRPr="00A94EFA">
        <w:rPr>
          <w:rFonts w:ascii="Courier" w:hAnsi="Courier" w:cs="Times New Roman"/>
        </w:rPr>
        <w:t xml:space="preserve"> by NTA (Nanoparticles Tracking Analysis, NS 500, </w:t>
      </w:r>
      <w:proofErr w:type="spellStart"/>
      <w:r w:rsidRPr="00A94EFA">
        <w:rPr>
          <w:rFonts w:ascii="Courier" w:hAnsi="Courier" w:cs="Times New Roman"/>
        </w:rPr>
        <w:t>Nanosight</w:t>
      </w:r>
      <w:proofErr w:type="spellEnd"/>
      <w:r w:rsidRPr="00A94EFA">
        <w:rPr>
          <w:rFonts w:ascii="Courier" w:hAnsi="Courier" w:cs="Times New Roman"/>
        </w:rPr>
        <w:t>).</w:t>
      </w:r>
      <w:r w:rsidR="007015A2">
        <w:rPr>
          <w:rFonts w:ascii="Courier" w:hAnsi="Courier" w:cs="Times New Roman"/>
        </w:rPr>
        <w:t xml:space="preserve"> </w:t>
      </w:r>
      <w:r w:rsidR="007015A2" w:rsidRPr="00A94EFA">
        <w:rPr>
          <w:rFonts w:ascii="Courier" w:hAnsi="Courier" w:cs="Times New Roman"/>
        </w:rPr>
        <w:t>Mea</w:t>
      </w:r>
      <w:r w:rsidR="007015A2">
        <w:rPr>
          <w:rFonts w:ascii="Courier" w:hAnsi="Courier" w:cs="Times New Roman"/>
        </w:rPr>
        <w:t xml:space="preserve">n value obtained from determinations of </w:t>
      </w:r>
      <w:r w:rsidR="002A5013">
        <w:rPr>
          <w:rFonts w:ascii="Courier" w:hAnsi="Courier" w:cs="Times New Roman"/>
        </w:rPr>
        <w:t>3</w:t>
      </w:r>
      <w:r w:rsidR="007015A2">
        <w:rPr>
          <w:rFonts w:ascii="Courier" w:hAnsi="Courier" w:cs="Times New Roman"/>
        </w:rPr>
        <w:t xml:space="preserve"> separate preparations.  SD was &lt;10% of the mean.</w:t>
      </w:r>
    </w:p>
    <w:p w:rsidR="00D3351D" w:rsidRPr="00A94EFA" w:rsidRDefault="00D3351D" w:rsidP="00A94EFA">
      <w:pPr>
        <w:spacing w:line="360" w:lineRule="auto"/>
        <w:ind w:left="360" w:hanging="360"/>
        <w:rPr>
          <w:rFonts w:ascii="Courier" w:hAnsi="Courier" w:cs="Times New Roman"/>
        </w:rPr>
      </w:pPr>
      <w:proofErr w:type="spellStart"/>
      <w:proofErr w:type="gramStart"/>
      <w:r w:rsidRPr="00A94EFA">
        <w:rPr>
          <w:rFonts w:ascii="Courier" w:hAnsi="Courier" w:cs="Times New Roman"/>
          <w:vertAlign w:val="superscript"/>
        </w:rPr>
        <w:t>c</w:t>
      </w:r>
      <w:r w:rsidRPr="00A94EFA">
        <w:rPr>
          <w:rFonts w:ascii="Courier" w:hAnsi="Courier" w:cs="Times New Roman"/>
        </w:rPr>
        <w:t>Concentration</w:t>
      </w:r>
      <w:proofErr w:type="spellEnd"/>
      <w:proofErr w:type="gramEnd"/>
      <w:r w:rsidRPr="00A94EFA">
        <w:rPr>
          <w:rFonts w:ascii="Courier" w:hAnsi="Courier" w:cs="Times New Roman"/>
        </w:rPr>
        <w:t xml:space="preserve"> of the polymer was taken as 20mg/ml</w:t>
      </w:r>
      <w:r w:rsidR="00953E8A">
        <w:rPr>
          <w:rFonts w:ascii="Courier" w:hAnsi="Courier" w:cs="Times New Roman"/>
        </w:rPr>
        <w:t>.</w:t>
      </w:r>
    </w:p>
    <w:p w:rsidR="007015A2" w:rsidRDefault="00D3351D" w:rsidP="00A94EFA">
      <w:pPr>
        <w:spacing w:line="360" w:lineRule="auto"/>
        <w:ind w:left="360" w:hanging="360"/>
        <w:rPr>
          <w:rFonts w:ascii="Courier" w:hAnsi="Courier" w:cs="Times New Roman"/>
        </w:rPr>
      </w:pPr>
      <w:proofErr w:type="spellStart"/>
      <w:proofErr w:type="gramStart"/>
      <w:r w:rsidRPr="00A94EFA">
        <w:rPr>
          <w:rFonts w:ascii="Courier" w:hAnsi="Courier" w:cs="Times New Roman"/>
          <w:vertAlign w:val="superscript"/>
        </w:rPr>
        <w:t>d</w:t>
      </w:r>
      <w:r w:rsidRPr="00A94EFA">
        <w:rPr>
          <w:rFonts w:ascii="Courier" w:hAnsi="Courier" w:cs="Times New Roman"/>
        </w:rPr>
        <w:t>Encapsulation</w:t>
      </w:r>
      <w:proofErr w:type="spellEnd"/>
      <w:proofErr w:type="gramEnd"/>
      <w:r w:rsidRPr="00A94EFA">
        <w:rPr>
          <w:rFonts w:ascii="Courier" w:hAnsi="Courier" w:cs="Times New Roman"/>
        </w:rPr>
        <w:t xml:space="preserve"> efficiency expressed as a percentage mean of 3 determinants </w:t>
      </w:r>
      <w:r w:rsidR="00853E36">
        <w:rPr>
          <w:rFonts w:ascii="Courier" w:hAnsi="Courier" w:cs="Times New Roman"/>
        </w:rPr>
        <w:t>of GO-203</w:t>
      </w:r>
      <w:r w:rsidRPr="00A94EFA">
        <w:rPr>
          <w:rFonts w:ascii="Courier" w:hAnsi="Courier" w:cs="Times New Roman"/>
        </w:rPr>
        <w:t xml:space="preserve"> recovered in NPs compared with </w:t>
      </w:r>
      <w:r w:rsidR="007015A2" w:rsidRPr="00A94EFA">
        <w:rPr>
          <w:rFonts w:ascii="Courier" w:hAnsi="Courier" w:cs="Times New Roman"/>
        </w:rPr>
        <w:t>theoretical load</w:t>
      </w:r>
      <w:r w:rsidR="007015A2">
        <w:rPr>
          <w:rFonts w:ascii="Courier" w:hAnsi="Courier" w:cs="Times New Roman"/>
        </w:rPr>
        <w:t>.  SD was &lt;10% of the mean.</w:t>
      </w:r>
    </w:p>
    <w:p w:rsidR="007015A2" w:rsidRPr="00A94EFA" w:rsidRDefault="007015A2" w:rsidP="007015A2">
      <w:pPr>
        <w:spacing w:line="360" w:lineRule="auto"/>
        <w:ind w:left="360" w:hanging="360"/>
        <w:rPr>
          <w:rFonts w:ascii="Courier" w:hAnsi="Courier" w:cs="Times New Roman"/>
        </w:rPr>
      </w:pPr>
      <w:proofErr w:type="spellStart"/>
      <w:proofErr w:type="gramStart"/>
      <w:r>
        <w:rPr>
          <w:rFonts w:ascii="Courier" w:hAnsi="Courier" w:cs="Times New Roman"/>
          <w:vertAlign w:val="superscript"/>
        </w:rPr>
        <w:t>e</w:t>
      </w:r>
      <w:r w:rsidRPr="00A94EFA">
        <w:rPr>
          <w:rFonts w:ascii="Courier" w:hAnsi="Courier" w:cs="Times New Roman"/>
        </w:rPr>
        <w:t>Mea</w:t>
      </w:r>
      <w:r>
        <w:rPr>
          <w:rFonts w:ascii="Courier" w:hAnsi="Courier" w:cs="Times New Roman"/>
        </w:rPr>
        <w:t>n</w:t>
      </w:r>
      <w:proofErr w:type="spellEnd"/>
      <w:proofErr w:type="gramEnd"/>
      <w:r>
        <w:rPr>
          <w:rFonts w:ascii="Courier" w:hAnsi="Courier" w:cs="Times New Roman"/>
        </w:rPr>
        <w:t xml:space="preserve"> value obtained from determinations of </w:t>
      </w:r>
      <w:r w:rsidR="002A5013">
        <w:rPr>
          <w:rFonts w:ascii="Courier" w:hAnsi="Courier" w:cs="Times New Roman"/>
        </w:rPr>
        <w:t>3</w:t>
      </w:r>
      <w:r>
        <w:rPr>
          <w:rFonts w:ascii="Courier" w:hAnsi="Courier" w:cs="Times New Roman"/>
        </w:rPr>
        <w:t xml:space="preserve"> separate preparations.  SD was &lt;10% of the mean.</w:t>
      </w:r>
    </w:p>
    <w:p w:rsidR="00D3351D" w:rsidRPr="00A94EFA" w:rsidRDefault="00D3351D" w:rsidP="00A94EFA">
      <w:pPr>
        <w:spacing w:line="360" w:lineRule="auto"/>
        <w:ind w:left="360" w:hanging="360"/>
        <w:rPr>
          <w:rFonts w:ascii="Courier" w:hAnsi="Courier" w:cs="Times New Roman"/>
        </w:rPr>
      </w:pPr>
    </w:p>
    <w:p w:rsidR="00D3351D" w:rsidRPr="00957DDE" w:rsidRDefault="00D3351D">
      <w:pPr>
        <w:rPr>
          <w:rFonts w:ascii="Courier" w:hAnsi="Courier"/>
        </w:rPr>
      </w:pPr>
    </w:p>
    <w:sectPr w:rsidR="00D3351D" w:rsidRPr="00957DDE" w:rsidSect="00957DDE">
      <w:pgSz w:w="15840" w:h="12240" w:orient="landscape"/>
      <w:pgMar w:top="72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7DDE"/>
    <w:rsid w:val="00081806"/>
    <w:rsid w:val="000D46B3"/>
    <w:rsid w:val="00116100"/>
    <w:rsid w:val="00203C85"/>
    <w:rsid w:val="00210624"/>
    <w:rsid w:val="00233A1B"/>
    <w:rsid w:val="002A5013"/>
    <w:rsid w:val="003076BD"/>
    <w:rsid w:val="00326456"/>
    <w:rsid w:val="003C6A8B"/>
    <w:rsid w:val="004030A4"/>
    <w:rsid w:val="004525DA"/>
    <w:rsid w:val="004863E0"/>
    <w:rsid w:val="005845F7"/>
    <w:rsid w:val="00620344"/>
    <w:rsid w:val="006A2D90"/>
    <w:rsid w:val="007015A2"/>
    <w:rsid w:val="00762C2C"/>
    <w:rsid w:val="008262B1"/>
    <w:rsid w:val="00853E36"/>
    <w:rsid w:val="00922C4A"/>
    <w:rsid w:val="00953E8A"/>
    <w:rsid w:val="00957DDE"/>
    <w:rsid w:val="00A56761"/>
    <w:rsid w:val="00A94EFA"/>
    <w:rsid w:val="00D15029"/>
    <w:rsid w:val="00D3351D"/>
    <w:rsid w:val="00ED74ED"/>
    <w:rsid w:val="00F926D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9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957DD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Macintosh Word</Application>
  <DocSecurity>0</DocSecurity>
  <Lines>7</Lines>
  <Paragraphs>1</Paragraphs>
  <ScaleCrop>false</ScaleCrop>
  <Company>DFCI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Werowinski</dc:creator>
  <cp:keywords/>
  <cp:lastModifiedBy>Mary Werowinski</cp:lastModifiedBy>
  <cp:revision>7</cp:revision>
  <cp:lastPrinted>2015-01-12T18:13:00Z</cp:lastPrinted>
  <dcterms:created xsi:type="dcterms:W3CDTF">2015-01-12T18:08:00Z</dcterms:created>
  <dcterms:modified xsi:type="dcterms:W3CDTF">2015-01-15T20:36:00Z</dcterms:modified>
</cp:coreProperties>
</file>