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4B88" w14:textId="77777777" w:rsidR="0014173A" w:rsidRPr="00290A42" w:rsidRDefault="006B61FB" w:rsidP="00AD2A2D">
      <w:pPr>
        <w:pStyle w:val="Heading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SUPPLEMENTARY TABLE 2</w:t>
      </w:r>
      <w:r w:rsidR="0014173A" w:rsidRPr="00352DF8">
        <w:rPr>
          <w:rFonts w:cs="Arial"/>
          <w:b/>
          <w:sz w:val="28"/>
          <w:szCs w:val="28"/>
        </w:rPr>
        <w:t xml:space="preserve"> </w:t>
      </w:r>
      <w:r w:rsidR="0014173A">
        <w:rPr>
          <w:sz w:val="24"/>
          <w:szCs w:val="24"/>
        </w:rPr>
        <w:t xml:space="preserve">Frequency of androgen receptor (AR) copy number variation stratified by systemic therapy at time of </w:t>
      </w:r>
      <w:r>
        <w:rPr>
          <w:sz w:val="24"/>
          <w:szCs w:val="24"/>
        </w:rPr>
        <w:t xml:space="preserve">circulating </w:t>
      </w:r>
      <w:r w:rsidR="0014173A">
        <w:rPr>
          <w:sz w:val="24"/>
          <w:szCs w:val="24"/>
        </w:rPr>
        <w:t xml:space="preserve">cell-free DNA </w:t>
      </w:r>
      <w:r>
        <w:rPr>
          <w:sz w:val="24"/>
          <w:szCs w:val="24"/>
        </w:rPr>
        <w:t xml:space="preserve">(cfDNA) </w:t>
      </w:r>
      <w:r w:rsidR="0014173A">
        <w:rPr>
          <w:sz w:val="24"/>
          <w:szCs w:val="24"/>
        </w:rPr>
        <w:t>collection</w:t>
      </w:r>
    </w:p>
    <w:tbl>
      <w:tblPr>
        <w:tblpPr w:leftFromText="180" w:rightFromText="180" w:vertAnchor="text" w:horzAnchor="page" w:tblpX="1549" w:tblpY="94"/>
        <w:tblW w:w="12015" w:type="dxa"/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552"/>
        <w:gridCol w:w="1842"/>
        <w:gridCol w:w="1701"/>
      </w:tblGrid>
      <w:tr w:rsidR="0014173A" w:rsidRPr="003254CD" w14:paraId="7DE06FFD" w14:textId="77777777" w:rsidTr="001A438A">
        <w:tc>
          <w:tcPr>
            <w:tcW w:w="3510" w:type="dxa"/>
            <w:shd w:val="clear" w:color="auto" w:fill="B3B3B3"/>
          </w:tcPr>
          <w:p w14:paraId="38F38975" w14:textId="77777777" w:rsidR="0014173A" w:rsidRPr="003254CD" w:rsidRDefault="0014173A" w:rsidP="000673D3">
            <w:pPr>
              <w:pStyle w:val="Heading1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B3B3B3"/>
          </w:tcPr>
          <w:p w14:paraId="71ED1A4D" w14:textId="77777777" w:rsidR="0014173A" w:rsidRPr="003254CD" w:rsidRDefault="006B61FB" w:rsidP="001A438A">
            <w:pPr>
              <w:pStyle w:val="Heading1"/>
              <w:spacing w:after="120"/>
              <w:jc w:val="center"/>
              <w:rPr>
                <w:b/>
              </w:rPr>
            </w:pPr>
            <w:r>
              <w:rPr>
                <w:b/>
              </w:rPr>
              <w:t>Systemic therapy at time of cf</w:t>
            </w:r>
            <w:r w:rsidR="0014173A">
              <w:rPr>
                <w:b/>
              </w:rPr>
              <w:t>DNA collection</w:t>
            </w:r>
          </w:p>
        </w:tc>
        <w:tc>
          <w:tcPr>
            <w:tcW w:w="1701" w:type="dxa"/>
            <w:shd w:val="clear" w:color="auto" w:fill="B3B3B3"/>
          </w:tcPr>
          <w:p w14:paraId="30170325" w14:textId="77777777" w:rsidR="0014173A" w:rsidRDefault="0014173A" w:rsidP="000673D3">
            <w:pPr>
              <w:pStyle w:val="Heading1"/>
              <w:jc w:val="center"/>
              <w:rPr>
                <w:b/>
              </w:rPr>
            </w:pPr>
          </w:p>
        </w:tc>
      </w:tr>
      <w:tr w:rsidR="0014173A" w:rsidRPr="003254CD" w14:paraId="011840B0" w14:textId="77777777" w:rsidTr="001A438A">
        <w:tc>
          <w:tcPr>
            <w:tcW w:w="3510" w:type="dxa"/>
            <w:shd w:val="clear" w:color="auto" w:fill="B3B3B3"/>
          </w:tcPr>
          <w:p w14:paraId="26353D0A" w14:textId="77777777" w:rsidR="0014173A" w:rsidRPr="003254CD" w:rsidRDefault="0014173A" w:rsidP="00D02867">
            <w:pPr>
              <w:pStyle w:val="Heading1"/>
              <w:rPr>
                <w:b/>
              </w:rPr>
            </w:pPr>
            <w:r>
              <w:rPr>
                <w:b/>
              </w:rPr>
              <w:t>Copy number variation</w:t>
            </w:r>
          </w:p>
        </w:tc>
        <w:tc>
          <w:tcPr>
            <w:tcW w:w="2410" w:type="dxa"/>
            <w:shd w:val="clear" w:color="auto" w:fill="B3B3B3"/>
          </w:tcPr>
          <w:p w14:paraId="6373737C" w14:textId="77777777" w:rsidR="0014173A" w:rsidRPr="003254CD" w:rsidRDefault="0014173A" w:rsidP="000673D3">
            <w:pPr>
              <w:pStyle w:val="Heading1"/>
              <w:rPr>
                <w:b/>
                <w:vertAlign w:val="superscript"/>
              </w:rPr>
            </w:pPr>
            <w:r w:rsidRPr="003254CD">
              <w:rPr>
                <w:b/>
              </w:rPr>
              <w:t>Abiraterone (</w:t>
            </w:r>
            <w:r w:rsidRPr="003254CD">
              <w:rPr>
                <w:b/>
                <w:i/>
              </w:rPr>
              <w:t xml:space="preserve">n </w:t>
            </w:r>
            <w:r>
              <w:rPr>
                <w:b/>
              </w:rPr>
              <w:t>= 29</w:t>
            </w:r>
            <w:r w:rsidRPr="003254CD">
              <w:rPr>
                <w:b/>
              </w:rPr>
              <w:t>)</w:t>
            </w:r>
          </w:p>
        </w:tc>
        <w:tc>
          <w:tcPr>
            <w:tcW w:w="2552" w:type="dxa"/>
            <w:shd w:val="clear" w:color="auto" w:fill="B3B3B3"/>
          </w:tcPr>
          <w:p w14:paraId="5F22477E" w14:textId="77777777" w:rsidR="0014173A" w:rsidRPr="003254CD" w:rsidRDefault="0014173A" w:rsidP="000673D3">
            <w:pPr>
              <w:pStyle w:val="Heading1"/>
              <w:rPr>
                <w:b/>
              </w:rPr>
            </w:pPr>
            <w:r w:rsidRPr="003254CD">
              <w:rPr>
                <w:b/>
              </w:rPr>
              <w:t>Enzalutamide (</w:t>
            </w:r>
            <w:r w:rsidRPr="003254CD">
              <w:rPr>
                <w:b/>
                <w:i/>
              </w:rPr>
              <w:t xml:space="preserve">n </w:t>
            </w:r>
            <w:r w:rsidRPr="003254CD">
              <w:rPr>
                <w:b/>
              </w:rPr>
              <w:t>= 19)</w:t>
            </w:r>
          </w:p>
        </w:tc>
        <w:tc>
          <w:tcPr>
            <w:tcW w:w="1842" w:type="dxa"/>
            <w:shd w:val="clear" w:color="auto" w:fill="B3B3B3"/>
          </w:tcPr>
          <w:p w14:paraId="411D98BF" w14:textId="77777777" w:rsidR="0014173A" w:rsidRPr="003254CD" w:rsidRDefault="0014173A" w:rsidP="000673D3">
            <w:pPr>
              <w:pStyle w:val="Heading1"/>
              <w:rPr>
                <w:b/>
                <w:vertAlign w:val="superscript"/>
              </w:rPr>
            </w:pPr>
            <w:r w:rsidRPr="003254CD">
              <w:rPr>
                <w:b/>
              </w:rPr>
              <w:t>Other (</w:t>
            </w:r>
            <w:r w:rsidRPr="003254CD">
              <w:rPr>
                <w:b/>
                <w:i/>
              </w:rPr>
              <w:t xml:space="preserve">n </w:t>
            </w:r>
            <w:r>
              <w:rPr>
                <w:b/>
              </w:rPr>
              <w:t>= 14</w:t>
            </w:r>
            <w:r w:rsidRPr="003254CD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14:paraId="2779A769" w14:textId="77777777" w:rsidR="0014173A" w:rsidRPr="000673D3" w:rsidRDefault="0014173A" w:rsidP="001A438A">
            <w:pPr>
              <w:pStyle w:val="Heading1"/>
              <w:rPr>
                <w:b/>
              </w:rPr>
            </w:pPr>
            <w:r>
              <w:rPr>
                <w:b/>
                <w:i/>
              </w:rPr>
              <w:t xml:space="preserve">  P</w:t>
            </w:r>
            <w:r>
              <w:rPr>
                <w:b/>
              </w:rPr>
              <w:t xml:space="preserve"> (</w:t>
            </w:r>
            <w:r w:rsidRPr="000673D3">
              <w:rPr>
                <w:b/>
                <w:lang w:val="en-US"/>
              </w:rPr>
              <w:t>Χ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</w:tr>
      <w:tr w:rsidR="0014173A" w14:paraId="13131CEB" w14:textId="77777777" w:rsidTr="001A438A">
        <w:tc>
          <w:tcPr>
            <w:tcW w:w="3510" w:type="dxa"/>
            <w:shd w:val="clear" w:color="auto" w:fill="E6E6E6"/>
          </w:tcPr>
          <w:p w14:paraId="1A7655BD" w14:textId="77777777" w:rsidR="0014173A" w:rsidRDefault="0014173A" w:rsidP="000673D3">
            <w:pPr>
              <w:pStyle w:val="Heading1"/>
              <w:rPr>
                <w:b/>
              </w:rPr>
            </w:pPr>
          </w:p>
          <w:p w14:paraId="48C3F72C" w14:textId="77777777" w:rsidR="0014173A" w:rsidRPr="00E46E24" w:rsidRDefault="0014173A" w:rsidP="000673D3">
            <w:pPr>
              <w:pStyle w:val="Heading1"/>
              <w:rPr>
                <w:b/>
              </w:rPr>
            </w:pPr>
            <w:r>
              <w:rPr>
                <w:b/>
              </w:rPr>
              <w:t>AR amplification</w:t>
            </w:r>
            <w:r w:rsidRPr="00E46E24">
              <w:rPr>
                <w:b/>
              </w:rPr>
              <w:t xml:space="preserve">, </w:t>
            </w:r>
            <w:r w:rsidRPr="00E46E24">
              <w:rPr>
                <w:b/>
                <w:i/>
              </w:rPr>
              <w:t xml:space="preserve">n </w:t>
            </w:r>
            <w:r w:rsidRPr="00E46E24">
              <w:rPr>
                <w:b/>
              </w:rPr>
              <w:t>(%)</w:t>
            </w:r>
          </w:p>
        </w:tc>
        <w:tc>
          <w:tcPr>
            <w:tcW w:w="2410" w:type="dxa"/>
            <w:shd w:val="clear" w:color="auto" w:fill="E6E6E6"/>
          </w:tcPr>
          <w:p w14:paraId="20EE2B37" w14:textId="77777777" w:rsidR="0014173A" w:rsidRDefault="0014173A" w:rsidP="00933A2D">
            <w:pPr>
              <w:pStyle w:val="Heading2"/>
              <w:ind w:left="0"/>
              <w:jc w:val="center"/>
            </w:pPr>
          </w:p>
          <w:p w14:paraId="6BFC9F11" w14:textId="77777777" w:rsidR="0014173A" w:rsidRDefault="0014173A" w:rsidP="00933A2D">
            <w:pPr>
              <w:pStyle w:val="Heading2"/>
              <w:jc w:val="center"/>
            </w:pPr>
            <w:r>
              <w:t>5 (17)</w:t>
            </w:r>
          </w:p>
        </w:tc>
        <w:tc>
          <w:tcPr>
            <w:tcW w:w="2552" w:type="dxa"/>
            <w:shd w:val="clear" w:color="auto" w:fill="E6E6E6"/>
          </w:tcPr>
          <w:p w14:paraId="556F30F5" w14:textId="77777777" w:rsidR="0014173A" w:rsidRDefault="0014173A" w:rsidP="00933A2D">
            <w:pPr>
              <w:pStyle w:val="Heading2"/>
              <w:jc w:val="center"/>
              <w:rPr>
                <w:szCs w:val="32"/>
              </w:rPr>
            </w:pPr>
          </w:p>
          <w:p w14:paraId="25B6027E" w14:textId="77777777" w:rsidR="0014173A" w:rsidRPr="0061301E" w:rsidRDefault="0014173A" w:rsidP="00933A2D">
            <w:pPr>
              <w:pStyle w:val="Heading2"/>
              <w:jc w:val="center"/>
            </w:pPr>
            <w:r>
              <w:t>10 (53)</w:t>
            </w:r>
          </w:p>
        </w:tc>
        <w:tc>
          <w:tcPr>
            <w:tcW w:w="1842" w:type="dxa"/>
            <w:shd w:val="clear" w:color="auto" w:fill="E6E6E6"/>
          </w:tcPr>
          <w:p w14:paraId="528A6D4B" w14:textId="77777777" w:rsidR="0014173A" w:rsidRDefault="0014173A" w:rsidP="00933A2D">
            <w:pPr>
              <w:pStyle w:val="Heading2"/>
              <w:jc w:val="center"/>
              <w:rPr>
                <w:szCs w:val="32"/>
              </w:rPr>
            </w:pPr>
          </w:p>
          <w:p w14:paraId="238FC810" w14:textId="77777777" w:rsidR="0014173A" w:rsidRPr="000673D3" w:rsidRDefault="0014173A" w:rsidP="00933A2D">
            <w:pPr>
              <w:pStyle w:val="Heading2"/>
              <w:jc w:val="center"/>
              <w:rPr>
                <w:szCs w:val="32"/>
              </w:rPr>
            </w:pPr>
            <w:r>
              <w:rPr>
                <w:szCs w:val="32"/>
              </w:rPr>
              <w:t>3 (21)</w:t>
            </w:r>
          </w:p>
        </w:tc>
        <w:tc>
          <w:tcPr>
            <w:tcW w:w="1701" w:type="dxa"/>
            <w:shd w:val="clear" w:color="auto" w:fill="E6E6E6"/>
          </w:tcPr>
          <w:p w14:paraId="5DFAE447" w14:textId="77777777" w:rsidR="0014173A" w:rsidRDefault="0014173A" w:rsidP="000673D3">
            <w:pPr>
              <w:pStyle w:val="Heading2"/>
              <w:rPr>
                <w:szCs w:val="32"/>
              </w:rPr>
            </w:pPr>
          </w:p>
          <w:p w14:paraId="7D146928" w14:textId="77777777" w:rsidR="0014173A" w:rsidRPr="000673D3" w:rsidRDefault="0014173A" w:rsidP="000673D3">
            <w:pPr>
              <w:pStyle w:val="Heading2"/>
              <w:rPr>
                <w:b/>
                <w:szCs w:val="32"/>
              </w:rPr>
            </w:pPr>
            <w:r w:rsidRPr="000673D3">
              <w:rPr>
                <w:b/>
                <w:szCs w:val="32"/>
              </w:rPr>
              <w:t>0.02</w:t>
            </w:r>
          </w:p>
        </w:tc>
      </w:tr>
      <w:tr w:rsidR="0014173A" w14:paraId="2EC0411C" w14:textId="77777777" w:rsidTr="001A438A">
        <w:tc>
          <w:tcPr>
            <w:tcW w:w="3510" w:type="dxa"/>
            <w:shd w:val="clear" w:color="auto" w:fill="E6E6E6"/>
          </w:tcPr>
          <w:p w14:paraId="5F4920BC" w14:textId="77777777" w:rsidR="0014173A" w:rsidRDefault="0014173A" w:rsidP="001A438A">
            <w:pPr>
              <w:pStyle w:val="Heading1"/>
              <w:rPr>
                <w:b/>
              </w:rPr>
            </w:pPr>
          </w:p>
          <w:p w14:paraId="1379C370" w14:textId="77777777" w:rsidR="0014173A" w:rsidRPr="00D27808" w:rsidRDefault="0014173A" w:rsidP="001A438A">
            <w:pPr>
              <w:pStyle w:val="Heading2"/>
              <w:ind w:left="0"/>
            </w:pPr>
            <w:r>
              <w:rPr>
                <w:b/>
              </w:rPr>
              <w:t>AR gain or amplification</w:t>
            </w:r>
            <w:r w:rsidRPr="00E46E24">
              <w:rPr>
                <w:b/>
              </w:rPr>
              <w:t xml:space="preserve">, </w:t>
            </w:r>
            <w:r w:rsidRPr="00E46E24">
              <w:rPr>
                <w:b/>
                <w:i/>
              </w:rPr>
              <w:t xml:space="preserve">n </w:t>
            </w:r>
            <w:r w:rsidRPr="00E46E24">
              <w:rPr>
                <w:b/>
              </w:rPr>
              <w:t>(%)</w:t>
            </w:r>
          </w:p>
        </w:tc>
        <w:tc>
          <w:tcPr>
            <w:tcW w:w="2410" w:type="dxa"/>
            <w:shd w:val="clear" w:color="auto" w:fill="E6E6E6"/>
          </w:tcPr>
          <w:p w14:paraId="414B4BD2" w14:textId="77777777" w:rsidR="0014173A" w:rsidRDefault="0014173A" w:rsidP="00933A2D">
            <w:pPr>
              <w:pStyle w:val="Heading2"/>
              <w:ind w:left="0"/>
              <w:jc w:val="center"/>
            </w:pPr>
          </w:p>
          <w:p w14:paraId="00A8909C" w14:textId="77777777" w:rsidR="0014173A" w:rsidRPr="00D27808" w:rsidRDefault="0014173A" w:rsidP="00933A2D">
            <w:pPr>
              <w:pStyle w:val="Heading2"/>
              <w:ind w:left="0"/>
              <w:jc w:val="center"/>
            </w:pPr>
            <w:r>
              <w:t>10 (34)</w:t>
            </w:r>
          </w:p>
        </w:tc>
        <w:tc>
          <w:tcPr>
            <w:tcW w:w="2552" w:type="dxa"/>
            <w:shd w:val="clear" w:color="auto" w:fill="E6E6E6"/>
          </w:tcPr>
          <w:p w14:paraId="5DC05190" w14:textId="77777777" w:rsidR="0014173A" w:rsidRDefault="0014173A" w:rsidP="00933A2D">
            <w:pPr>
              <w:pStyle w:val="Heading2"/>
              <w:jc w:val="center"/>
              <w:rPr>
                <w:szCs w:val="32"/>
              </w:rPr>
            </w:pPr>
          </w:p>
          <w:p w14:paraId="3605F78D" w14:textId="77777777" w:rsidR="0014173A" w:rsidRPr="005C46E4" w:rsidRDefault="0014173A" w:rsidP="00933A2D">
            <w:pPr>
              <w:pStyle w:val="Heading2"/>
              <w:ind w:left="0"/>
              <w:jc w:val="center"/>
            </w:pPr>
            <w:r>
              <w:t>13 (68)</w:t>
            </w:r>
          </w:p>
        </w:tc>
        <w:tc>
          <w:tcPr>
            <w:tcW w:w="1842" w:type="dxa"/>
            <w:shd w:val="clear" w:color="auto" w:fill="E6E6E6"/>
          </w:tcPr>
          <w:p w14:paraId="1DF6B34B" w14:textId="77777777" w:rsidR="0014173A" w:rsidRDefault="0014173A" w:rsidP="00933A2D">
            <w:pPr>
              <w:pStyle w:val="Heading2"/>
              <w:jc w:val="center"/>
              <w:rPr>
                <w:szCs w:val="32"/>
              </w:rPr>
            </w:pPr>
          </w:p>
          <w:p w14:paraId="1C48FA46" w14:textId="77777777" w:rsidR="0014173A" w:rsidRPr="00D27808" w:rsidRDefault="0014173A" w:rsidP="00933A2D">
            <w:pPr>
              <w:pStyle w:val="Heading2"/>
              <w:jc w:val="center"/>
            </w:pPr>
            <w:r>
              <w:rPr>
                <w:szCs w:val="32"/>
              </w:rPr>
              <w:t>5 (36)</w:t>
            </w:r>
          </w:p>
        </w:tc>
        <w:tc>
          <w:tcPr>
            <w:tcW w:w="1701" w:type="dxa"/>
            <w:shd w:val="clear" w:color="auto" w:fill="E6E6E6"/>
          </w:tcPr>
          <w:p w14:paraId="36B6017C" w14:textId="77777777" w:rsidR="0014173A" w:rsidRDefault="0014173A" w:rsidP="001A438A">
            <w:pPr>
              <w:pStyle w:val="Heading2"/>
              <w:rPr>
                <w:szCs w:val="32"/>
              </w:rPr>
            </w:pPr>
          </w:p>
          <w:p w14:paraId="7F63B268" w14:textId="77777777" w:rsidR="0014173A" w:rsidRPr="00A41A6C" w:rsidRDefault="0014173A" w:rsidP="001A438A">
            <w:pPr>
              <w:pStyle w:val="Heading2"/>
            </w:pPr>
            <w:r w:rsidRPr="00A41A6C">
              <w:rPr>
                <w:szCs w:val="32"/>
              </w:rPr>
              <w:t>0.05</w:t>
            </w:r>
          </w:p>
        </w:tc>
      </w:tr>
    </w:tbl>
    <w:p w14:paraId="208E966E" w14:textId="77777777" w:rsidR="0014173A" w:rsidRDefault="0014173A" w:rsidP="0019067B">
      <w:pPr>
        <w:pStyle w:val="Heading1"/>
      </w:pPr>
    </w:p>
    <w:p w14:paraId="27AF1AE2" w14:textId="77777777" w:rsidR="004E3503" w:rsidRDefault="004E3503" w:rsidP="004E3503"/>
    <w:p w14:paraId="03A72380" w14:textId="77777777" w:rsidR="004E3503" w:rsidRDefault="004E3503" w:rsidP="004E3503"/>
    <w:p w14:paraId="3E099F58" w14:textId="77777777" w:rsidR="004E3503" w:rsidRDefault="004E3503" w:rsidP="004E3503"/>
    <w:p w14:paraId="1232D581" w14:textId="77777777" w:rsidR="004E3503" w:rsidRDefault="004E3503" w:rsidP="004E3503"/>
    <w:p w14:paraId="16D3E5CB" w14:textId="3DCA7CF7" w:rsidR="004E3503" w:rsidRPr="00290A42" w:rsidRDefault="004E3503" w:rsidP="004E3503">
      <w:pPr>
        <w:pStyle w:val="Heading1"/>
        <w:rPr>
          <w:rFonts w:cs="Arial"/>
          <w:b/>
          <w:sz w:val="28"/>
          <w:szCs w:val="28"/>
        </w:rPr>
      </w:pPr>
      <w:r>
        <w:rPr>
          <w:sz w:val="24"/>
          <w:szCs w:val="24"/>
        </w:rPr>
        <w:t xml:space="preserve">NB: </w:t>
      </w:r>
      <w:r w:rsidRPr="004E3503">
        <w:rPr>
          <w:sz w:val="24"/>
          <w:szCs w:val="24"/>
          <w:lang w:val="en-US"/>
        </w:rPr>
        <w:t>GISTIC peak at AR was more significant in the enzalutamide cohort than the abiraterone cohort (Q-bound significance = 0.002 vs. 0.038; G-score =6.657 vs. 4.125 respectively).</w:t>
      </w:r>
      <w:bookmarkStart w:id="0" w:name="_GoBack"/>
      <w:bookmarkEnd w:id="0"/>
    </w:p>
    <w:p w14:paraId="5676637F" w14:textId="77777777" w:rsidR="004E3503" w:rsidRDefault="004E3503" w:rsidP="004E3503"/>
    <w:p w14:paraId="433563DF" w14:textId="77777777" w:rsidR="004E3503" w:rsidRPr="004E3503" w:rsidRDefault="004E3503" w:rsidP="004E3503"/>
    <w:sectPr w:rsidR="004E3503" w:rsidRPr="004E3503" w:rsidSect="007136C1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85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C9E6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31AA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FDE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B067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1EC9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304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2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C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967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13"/>
    <w:rsid w:val="000163BD"/>
    <w:rsid w:val="00054452"/>
    <w:rsid w:val="00056646"/>
    <w:rsid w:val="00063874"/>
    <w:rsid w:val="000673D3"/>
    <w:rsid w:val="000A2FCA"/>
    <w:rsid w:val="000A7719"/>
    <w:rsid w:val="000A7CEA"/>
    <w:rsid w:val="000B71EA"/>
    <w:rsid w:val="00104513"/>
    <w:rsid w:val="00105D3A"/>
    <w:rsid w:val="00115EAC"/>
    <w:rsid w:val="001202AC"/>
    <w:rsid w:val="0014173A"/>
    <w:rsid w:val="001667E1"/>
    <w:rsid w:val="00171FB8"/>
    <w:rsid w:val="00173058"/>
    <w:rsid w:val="0019067B"/>
    <w:rsid w:val="00192F16"/>
    <w:rsid w:val="001934CE"/>
    <w:rsid w:val="001A438A"/>
    <w:rsid w:val="001A4C8C"/>
    <w:rsid w:val="001C36F3"/>
    <w:rsid w:val="001C5667"/>
    <w:rsid w:val="001E31E5"/>
    <w:rsid w:val="001E76B1"/>
    <w:rsid w:val="001F36E7"/>
    <w:rsid w:val="00221B38"/>
    <w:rsid w:val="00252115"/>
    <w:rsid w:val="00255182"/>
    <w:rsid w:val="002659F6"/>
    <w:rsid w:val="00282398"/>
    <w:rsid w:val="00285C55"/>
    <w:rsid w:val="002902BB"/>
    <w:rsid w:val="00290A42"/>
    <w:rsid w:val="0029647B"/>
    <w:rsid w:val="002A05F6"/>
    <w:rsid w:val="002E3861"/>
    <w:rsid w:val="00316BA7"/>
    <w:rsid w:val="003254CD"/>
    <w:rsid w:val="00330016"/>
    <w:rsid w:val="00352DF8"/>
    <w:rsid w:val="00357A7A"/>
    <w:rsid w:val="003611DD"/>
    <w:rsid w:val="003709CC"/>
    <w:rsid w:val="003725B3"/>
    <w:rsid w:val="00392108"/>
    <w:rsid w:val="003B41CD"/>
    <w:rsid w:val="003B59AA"/>
    <w:rsid w:val="003C120E"/>
    <w:rsid w:val="003D0A35"/>
    <w:rsid w:val="003D3BEE"/>
    <w:rsid w:val="003D7EB2"/>
    <w:rsid w:val="003F0D9C"/>
    <w:rsid w:val="00425027"/>
    <w:rsid w:val="00430D9D"/>
    <w:rsid w:val="0046506F"/>
    <w:rsid w:val="00465D2C"/>
    <w:rsid w:val="00473F1A"/>
    <w:rsid w:val="00482009"/>
    <w:rsid w:val="00482BD0"/>
    <w:rsid w:val="004836CB"/>
    <w:rsid w:val="004A14C1"/>
    <w:rsid w:val="004D3FD1"/>
    <w:rsid w:val="004E1DB7"/>
    <w:rsid w:val="004E25B4"/>
    <w:rsid w:val="004E3503"/>
    <w:rsid w:val="004F0099"/>
    <w:rsid w:val="004F5113"/>
    <w:rsid w:val="0050783C"/>
    <w:rsid w:val="0055416F"/>
    <w:rsid w:val="00570807"/>
    <w:rsid w:val="00585C9B"/>
    <w:rsid w:val="00596047"/>
    <w:rsid w:val="005A0855"/>
    <w:rsid w:val="005B0814"/>
    <w:rsid w:val="005B13D6"/>
    <w:rsid w:val="005B6FC4"/>
    <w:rsid w:val="005C46E4"/>
    <w:rsid w:val="005D15A0"/>
    <w:rsid w:val="006111CB"/>
    <w:rsid w:val="0061301E"/>
    <w:rsid w:val="006505EF"/>
    <w:rsid w:val="00657EE3"/>
    <w:rsid w:val="00660189"/>
    <w:rsid w:val="00664A71"/>
    <w:rsid w:val="006747AA"/>
    <w:rsid w:val="00697E96"/>
    <w:rsid w:val="006B61FB"/>
    <w:rsid w:val="006B6240"/>
    <w:rsid w:val="006F397E"/>
    <w:rsid w:val="00704345"/>
    <w:rsid w:val="00707861"/>
    <w:rsid w:val="007133F7"/>
    <w:rsid w:val="007136C1"/>
    <w:rsid w:val="00720491"/>
    <w:rsid w:val="0073487D"/>
    <w:rsid w:val="00754680"/>
    <w:rsid w:val="00762291"/>
    <w:rsid w:val="007911CF"/>
    <w:rsid w:val="00792EBD"/>
    <w:rsid w:val="007A7A6E"/>
    <w:rsid w:val="007B35C5"/>
    <w:rsid w:val="007E5541"/>
    <w:rsid w:val="00807909"/>
    <w:rsid w:val="0081525B"/>
    <w:rsid w:val="00844E26"/>
    <w:rsid w:val="0085203D"/>
    <w:rsid w:val="0085315B"/>
    <w:rsid w:val="0089569E"/>
    <w:rsid w:val="008C7B4B"/>
    <w:rsid w:val="008D6364"/>
    <w:rsid w:val="009172E9"/>
    <w:rsid w:val="00933A2D"/>
    <w:rsid w:val="009703FA"/>
    <w:rsid w:val="00980787"/>
    <w:rsid w:val="009959C8"/>
    <w:rsid w:val="009D3053"/>
    <w:rsid w:val="00A00FF5"/>
    <w:rsid w:val="00A16F5A"/>
    <w:rsid w:val="00A24A21"/>
    <w:rsid w:val="00A264B9"/>
    <w:rsid w:val="00A3739B"/>
    <w:rsid w:val="00A41A6C"/>
    <w:rsid w:val="00A704D8"/>
    <w:rsid w:val="00A846DB"/>
    <w:rsid w:val="00A86DCD"/>
    <w:rsid w:val="00A9789C"/>
    <w:rsid w:val="00AD2A2D"/>
    <w:rsid w:val="00B1072E"/>
    <w:rsid w:val="00B24C88"/>
    <w:rsid w:val="00B2625B"/>
    <w:rsid w:val="00B4101F"/>
    <w:rsid w:val="00B75B8B"/>
    <w:rsid w:val="00B82A92"/>
    <w:rsid w:val="00B83E02"/>
    <w:rsid w:val="00BB3AE0"/>
    <w:rsid w:val="00BB3C73"/>
    <w:rsid w:val="00BB58A4"/>
    <w:rsid w:val="00BD39C6"/>
    <w:rsid w:val="00C12FC5"/>
    <w:rsid w:val="00C52819"/>
    <w:rsid w:val="00C53B19"/>
    <w:rsid w:val="00C92EC8"/>
    <w:rsid w:val="00CA30DD"/>
    <w:rsid w:val="00CA3E17"/>
    <w:rsid w:val="00CD52E7"/>
    <w:rsid w:val="00CE4DB9"/>
    <w:rsid w:val="00CE5F04"/>
    <w:rsid w:val="00D02867"/>
    <w:rsid w:val="00D05DBC"/>
    <w:rsid w:val="00D16C92"/>
    <w:rsid w:val="00D27808"/>
    <w:rsid w:val="00D34CAF"/>
    <w:rsid w:val="00D5057C"/>
    <w:rsid w:val="00D51C0F"/>
    <w:rsid w:val="00D60D3D"/>
    <w:rsid w:val="00D62A9B"/>
    <w:rsid w:val="00D7063B"/>
    <w:rsid w:val="00D72557"/>
    <w:rsid w:val="00D83F99"/>
    <w:rsid w:val="00D97006"/>
    <w:rsid w:val="00DC1EE1"/>
    <w:rsid w:val="00DF2108"/>
    <w:rsid w:val="00E26C75"/>
    <w:rsid w:val="00E46E24"/>
    <w:rsid w:val="00E61F29"/>
    <w:rsid w:val="00E750CC"/>
    <w:rsid w:val="00E93A17"/>
    <w:rsid w:val="00E96EDC"/>
    <w:rsid w:val="00EA0666"/>
    <w:rsid w:val="00EB7035"/>
    <w:rsid w:val="00ED31C7"/>
    <w:rsid w:val="00ED6AD6"/>
    <w:rsid w:val="00EF25E1"/>
    <w:rsid w:val="00F06442"/>
    <w:rsid w:val="00F14660"/>
    <w:rsid w:val="00F3494A"/>
    <w:rsid w:val="00F34FA6"/>
    <w:rsid w:val="00F35877"/>
    <w:rsid w:val="00F8032D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A4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13"/>
    <w:pPr>
      <w:spacing w:after="200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113"/>
    <w:pPr>
      <w:keepNext/>
      <w:keepLines/>
      <w:spacing w:after="0"/>
      <w:outlineLvl w:val="0"/>
    </w:pPr>
    <w:rPr>
      <w:rFonts w:ascii="Arial" w:eastAsia="MS ????" w:hAnsi="Arial"/>
      <w:bCs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113"/>
    <w:pPr>
      <w:keepNext/>
      <w:keepLines/>
      <w:spacing w:after="0"/>
      <w:ind w:left="170"/>
      <w:outlineLvl w:val="1"/>
    </w:pPr>
    <w:rPr>
      <w:rFonts w:ascii="Arial" w:eastAsia="MS ????" w:hAnsi="Arial"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5DBC"/>
    <w:pPr>
      <w:keepNext/>
      <w:keepLines/>
      <w:spacing w:after="0"/>
      <w:ind w:left="284"/>
      <w:outlineLvl w:val="2"/>
    </w:pPr>
    <w:rPr>
      <w:rFonts w:ascii="Arial" w:eastAsia="MS ????" w:hAnsi="Arial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3E02"/>
    <w:pPr>
      <w:keepNext/>
      <w:keepLines/>
      <w:spacing w:after="0"/>
      <w:ind w:left="397"/>
      <w:outlineLvl w:val="3"/>
    </w:pPr>
    <w:rPr>
      <w:rFonts w:ascii="Arial" w:eastAsia="MS ????" w:hAnsi="Arial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5113"/>
    <w:rPr>
      <w:rFonts w:ascii="Arial" w:eastAsia="MS ????" w:hAnsi="Arial" w:cs="Times New Roman"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5113"/>
    <w:rPr>
      <w:rFonts w:ascii="Arial" w:eastAsia="MS ????" w:hAnsi="Arial" w:cs="Times New Roman"/>
      <w:bCs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5DBC"/>
    <w:rPr>
      <w:rFonts w:ascii="Arial" w:eastAsia="MS ????" w:hAnsi="Arial" w:cs="Times New Roman"/>
      <w:bCs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3E02"/>
    <w:rPr>
      <w:rFonts w:ascii="Arial" w:eastAsia="MS ????" w:hAnsi="Arial" w:cs="Times New Roman"/>
      <w:bCs/>
      <w:iCs/>
      <w:sz w:val="22"/>
      <w:szCs w:val="22"/>
      <w:lang w:val="en-AU"/>
    </w:rPr>
  </w:style>
  <w:style w:type="paragraph" w:styleId="NoSpacing">
    <w:name w:val="No Spacing"/>
    <w:uiPriority w:val="99"/>
    <w:qFormat/>
    <w:rsid w:val="004F5113"/>
    <w:rPr>
      <w:rFonts w:ascii="Calibri" w:hAnsi="Calibri"/>
      <w:lang w:val="en-AU"/>
    </w:rPr>
  </w:style>
  <w:style w:type="table" w:styleId="TableGrid">
    <w:name w:val="Table Grid"/>
    <w:basedOn w:val="TableNormal"/>
    <w:uiPriority w:val="99"/>
    <w:rsid w:val="004F5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Response to docetaxel stratified by prior response to abiraterone acetate (AA)</dc:title>
  <dc:subject/>
  <dc:creator>Arun Azad</dc:creator>
  <cp:keywords/>
  <dc:description/>
  <cp:lastModifiedBy>Arun Azad</cp:lastModifiedBy>
  <cp:revision>10</cp:revision>
  <cp:lastPrinted>2013-08-13T21:46:00Z</cp:lastPrinted>
  <dcterms:created xsi:type="dcterms:W3CDTF">2014-02-09T08:15:00Z</dcterms:created>
  <dcterms:modified xsi:type="dcterms:W3CDTF">2015-01-07T08:17:00Z</dcterms:modified>
</cp:coreProperties>
</file>