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9A3" w:rsidRPr="00D41EE8" w:rsidRDefault="00E5619D" w:rsidP="00E5619D">
      <w:pPr>
        <w:adjustRightInd w:val="0"/>
        <w:snapToGrid w:val="0"/>
        <w:spacing w:line="480" w:lineRule="auto"/>
        <w:jc w:val="both"/>
        <w:rPr>
          <w:rFonts w:ascii="Century" w:hAnsi="Century"/>
          <w:b/>
          <w:color w:val="000000" w:themeColor="text1"/>
          <w:sz w:val="24"/>
          <w:szCs w:val="24"/>
          <w:lang w:eastAsia="ja-JP"/>
        </w:rPr>
      </w:pPr>
      <w:r w:rsidRPr="00D41EE8">
        <w:rPr>
          <w:rFonts w:ascii="Century" w:hAnsi="Century"/>
          <w:b/>
          <w:color w:val="000000" w:themeColor="text1"/>
          <w:sz w:val="24"/>
          <w:szCs w:val="24"/>
          <w:lang w:eastAsia="ja-JP"/>
        </w:rPr>
        <w:t>S</w:t>
      </w:r>
      <w:r w:rsidRPr="00D41EE8">
        <w:rPr>
          <w:rFonts w:ascii="Century" w:hAnsi="Century" w:hint="eastAsia"/>
          <w:b/>
          <w:color w:val="000000" w:themeColor="text1"/>
          <w:sz w:val="24"/>
          <w:szCs w:val="24"/>
          <w:lang w:eastAsia="ja-JP"/>
        </w:rPr>
        <w:t xml:space="preserve">upplementary </w:t>
      </w:r>
      <w:r w:rsidR="005178C8" w:rsidRPr="00D41EE8">
        <w:rPr>
          <w:rFonts w:ascii="Century" w:hAnsi="Century" w:hint="eastAsia"/>
          <w:b/>
          <w:color w:val="000000" w:themeColor="text1"/>
          <w:sz w:val="24"/>
          <w:szCs w:val="24"/>
          <w:lang w:eastAsia="ja-JP"/>
        </w:rPr>
        <w:t>L</w:t>
      </w:r>
      <w:r w:rsidR="004D49A3" w:rsidRPr="00D41EE8">
        <w:rPr>
          <w:rFonts w:ascii="Century" w:hAnsi="Century"/>
          <w:b/>
          <w:color w:val="000000" w:themeColor="text1"/>
          <w:sz w:val="24"/>
          <w:szCs w:val="24"/>
          <w:lang w:eastAsia="ja-JP"/>
        </w:rPr>
        <w:t>egend</w:t>
      </w:r>
      <w:r w:rsidR="005178C8" w:rsidRPr="00D41EE8">
        <w:rPr>
          <w:rFonts w:ascii="Century" w:hAnsi="Century" w:hint="eastAsia"/>
          <w:b/>
          <w:color w:val="000000" w:themeColor="text1"/>
          <w:sz w:val="24"/>
          <w:szCs w:val="24"/>
          <w:lang w:eastAsia="ja-JP"/>
        </w:rPr>
        <w:t>s</w:t>
      </w:r>
      <w:r w:rsidR="004D49A3" w:rsidRPr="00D41EE8">
        <w:rPr>
          <w:rFonts w:ascii="Century" w:hAnsi="Century"/>
          <w:b/>
          <w:color w:val="000000" w:themeColor="text1"/>
          <w:sz w:val="24"/>
          <w:szCs w:val="24"/>
          <w:lang w:eastAsia="ja-JP"/>
        </w:rPr>
        <w:t>:</w:t>
      </w:r>
    </w:p>
    <w:p w:rsidR="002C5A16" w:rsidRPr="00D41EE8" w:rsidRDefault="002C5A16" w:rsidP="00E5619D">
      <w:pPr>
        <w:adjustRightInd w:val="0"/>
        <w:snapToGrid w:val="0"/>
        <w:spacing w:line="480" w:lineRule="auto"/>
        <w:jc w:val="both"/>
        <w:rPr>
          <w:rFonts w:ascii="Century" w:hAnsi="Century"/>
          <w:b/>
          <w:color w:val="000000" w:themeColor="text1"/>
          <w:sz w:val="24"/>
          <w:szCs w:val="24"/>
          <w:lang w:eastAsia="ja-JP"/>
        </w:rPr>
      </w:pPr>
    </w:p>
    <w:p w:rsidR="002C5A16" w:rsidRPr="00D41EE8" w:rsidRDefault="002C5A16" w:rsidP="002C5A16">
      <w:pPr>
        <w:adjustRightInd w:val="0"/>
        <w:snapToGrid w:val="0"/>
        <w:spacing w:line="480" w:lineRule="auto"/>
        <w:jc w:val="both"/>
        <w:rPr>
          <w:rFonts w:ascii="Century" w:hAnsi="Century"/>
          <w:b/>
          <w:color w:val="000000" w:themeColor="text1"/>
          <w:sz w:val="24"/>
          <w:szCs w:val="24"/>
          <w:lang w:eastAsia="ja-JP"/>
        </w:rPr>
      </w:pPr>
      <w:r w:rsidRPr="00D41EE8">
        <w:rPr>
          <w:rFonts w:ascii="Century" w:hAnsi="Century"/>
          <w:b/>
          <w:color w:val="000000" w:themeColor="text1"/>
          <w:sz w:val="24"/>
          <w:szCs w:val="24"/>
          <w:lang w:eastAsia="ja-JP"/>
        </w:rPr>
        <w:t>Figure S1</w:t>
      </w:r>
      <w:r w:rsidRPr="00D41EE8">
        <w:rPr>
          <w:rFonts w:ascii="Century" w:hAnsi="Century" w:hint="eastAsia"/>
          <w:b/>
          <w:color w:val="000000" w:themeColor="text1"/>
          <w:sz w:val="24"/>
          <w:szCs w:val="24"/>
          <w:lang w:eastAsia="ja-JP"/>
        </w:rPr>
        <w:t>:</w:t>
      </w:r>
    </w:p>
    <w:p w:rsidR="007377B1" w:rsidRPr="00D41EE8" w:rsidRDefault="002C5A16" w:rsidP="002C5A16">
      <w:pPr>
        <w:adjustRightInd w:val="0"/>
        <w:snapToGrid w:val="0"/>
        <w:spacing w:line="480" w:lineRule="auto"/>
        <w:jc w:val="both"/>
        <w:rPr>
          <w:rFonts w:ascii="Century" w:hAnsi="Century"/>
          <w:color w:val="000000" w:themeColor="text1"/>
          <w:sz w:val="24"/>
          <w:szCs w:val="24"/>
          <w:lang w:eastAsia="ja-JP"/>
        </w:rPr>
      </w:pPr>
      <w:r w:rsidRPr="00D41EE8">
        <w:rPr>
          <w:rFonts w:ascii="Century" w:hAnsi="Century"/>
          <w:color w:val="000000" w:themeColor="text1"/>
          <w:sz w:val="24"/>
          <w:szCs w:val="24"/>
          <w:lang w:eastAsia="ja-JP"/>
        </w:rPr>
        <w:t>Equivalent amplification of human IFN-</w:t>
      </w:r>
      <w:r w:rsidRPr="00C20FE9">
        <w:rPr>
          <w:rFonts w:ascii="Symbol" w:hAnsi="Symbol"/>
          <w:color w:val="000000" w:themeColor="text1"/>
          <w:sz w:val="24"/>
          <w:szCs w:val="24"/>
          <w:lang w:eastAsia="ja-JP"/>
        </w:rPr>
        <w:t></w:t>
      </w:r>
      <w:r w:rsidRPr="00D41EE8">
        <w:rPr>
          <w:rFonts w:ascii="Century" w:hAnsi="Century"/>
          <w:color w:val="000000" w:themeColor="text1"/>
          <w:sz w:val="24"/>
          <w:szCs w:val="24"/>
          <w:lang w:eastAsia="ja-JP"/>
        </w:rPr>
        <w:t xml:space="preserve"> gene and the retrovirus transgene by the quantitative PCR. A standard curve was generated by the use of a plasmid encoding one copy of IFN-</w:t>
      </w:r>
      <w:r w:rsidRPr="00F631F4">
        <w:rPr>
          <w:rFonts w:ascii="Symbol" w:hAnsi="Symbol"/>
          <w:color w:val="000000" w:themeColor="text1"/>
          <w:sz w:val="24"/>
          <w:szCs w:val="24"/>
          <w:lang w:eastAsia="ja-JP"/>
        </w:rPr>
        <w:t></w:t>
      </w:r>
      <w:r w:rsidRPr="00D41EE8">
        <w:rPr>
          <w:rFonts w:ascii="Century" w:hAnsi="Century"/>
          <w:color w:val="000000" w:themeColor="text1"/>
          <w:sz w:val="24"/>
          <w:szCs w:val="24"/>
          <w:lang w:eastAsia="ja-JP"/>
        </w:rPr>
        <w:t xml:space="preserve"> gene and one copy of</w:t>
      </w:r>
      <w:r w:rsidR="00B07AF0">
        <w:rPr>
          <w:rFonts w:ascii="Century" w:hAnsi="Century"/>
          <w:color w:val="000000" w:themeColor="text1"/>
          <w:sz w:val="24"/>
          <w:szCs w:val="24"/>
          <w:lang w:eastAsia="ja-JP"/>
        </w:rPr>
        <w:t xml:space="preserve"> the target pro-virus sequence.</w:t>
      </w:r>
    </w:p>
    <w:p w:rsidR="002C5A16" w:rsidRPr="00D41EE8" w:rsidRDefault="002C5A16" w:rsidP="002C5A16">
      <w:pPr>
        <w:adjustRightInd w:val="0"/>
        <w:snapToGrid w:val="0"/>
        <w:spacing w:line="480" w:lineRule="auto"/>
        <w:jc w:val="both"/>
        <w:rPr>
          <w:rFonts w:ascii="Century" w:hAnsi="Century"/>
          <w:color w:val="000000" w:themeColor="text1"/>
          <w:sz w:val="24"/>
          <w:szCs w:val="24"/>
          <w:lang w:eastAsia="ja-JP"/>
        </w:rPr>
      </w:pPr>
    </w:p>
    <w:p w:rsidR="00E5619D" w:rsidRPr="00D41EE8" w:rsidRDefault="00E5619D" w:rsidP="00E5619D">
      <w:pPr>
        <w:adjustRightInd w:val="0"/>
        <w:snapToGrid w:val="0"/>
        <w:spacing w:line="480" w:lineRule="auto"/>
        <w:jc w:val="both"/>
        <w:rPr>
          <w:rFonts w:ascii="Century" w:hAnsi="Century"/>
          <w:b/>
          <w:color w:val="000000" w:themeColor="text1"/>
          <w:sz w:val="24"/>
          <w:szCs w:val="24"/>
          <w:lang w:eastAsia="ja-JP"/>
        </w:rPr>
      </w:pPr>
      <w:r w:rsidRPr="00D41EE8">
        <w:rPr>
          <w:rFonts w:ascii="Century" w:hAnsi="Century"/>
          <w:b/>
          <w:color w:val="000000" w:themeColor="text1"/>
          <w:sz w:val="24"/>
          <w:szCs w:val="24"/>
          <w:lang w:eastAsia="ja-JP"/>
        </w:rPr>
        <w:t>Figure</w:t>
      </w:r>
      <w:r w:rsidRPr="00D41EE8">
        <w:rPr>
          <w:rFonts w:ascii="Century" w:hAnsi="Century" w:hint="eastAsia"/>
          <w:b/>
          <w:color w:val="000000" w:themeColor="text1"/>
          <w:sz w:val="24"/>
          <w:szCs w:val="24"/>
          <w:lang w:eastAsia="ja-JP"/>
        </w:rPr>
        <w:t xml:space="preserve"> </w:t>
      </w:r>
      <w:r w:rsidR="004D49A3" w:rsidRPr="00D41EE8">
        <w:rPr>
          <w:rFonts w:ascii="Century" w:hAnsi="Century"/>
          <w:b/>
          <w:color w:val="000000" w:themeColor="text1"/>
          <w:sz w:val="24"/>
          <w:szCs w:val="24"/>
          <w:lang w:eastAsia="ja-JP"/>
        </w:rPr>
        <w:t>S</w:t>
      </w:r>
      <w:r w:rsidR="002C5A16" w:rsidRPr="00D41EE8">
        <w:rPr>
          <w:rFonts w:ascii="Century" w:hAnsi="Century" w:hint="eastAsia"/>
          <w:b/>
          <w:color w:val="000000" w:themeColor="text1"/>
          <w:sz w:val="24"/>
          <w:szCs w:val="24"/>
          <w:lang w:eastAsia="ja-JP"/>
        </w:rPr>
        <w:t>2</w:t>
      </w:r>
      <w:r w:rsidR="007377B1" w:rsidRPr="00D41EE8">
        <w:rPr>
          <w:rFonts w:ascii="Century" w:hAnsi="Century"/>
          <w:b/>
          <w:color w:val="000000" w:themeColor="text1"/>
          <w:sz w:val="24"/>
          <w:szCs w:val="24"/>
          <w:lang w:eastAsia="ja-JP"/>
        </w:rPr>
        <w:t>:</w:t>
      </w:r>
      <w:r w:rsidRPr="00D41EE8">
        <w:rPr>
          <w:rFonts w:ascii="Century" w:hAnsi="Century"/>
          <w:b/>
          <w:color w:val="000000" w:themeColor="text1"/>
          <w:sz w:val="24"/>
          <w:szCs w:val="24"/>
          <w:lang w:eastAsia="ja-JP"/>
        </w:rPr>
        <w:t xml:space="preserve"> </w:t>
      </w:r>
    </w:p>
    <w:p w:rsidR="00E5619D" w:rsidRPr="00D41EE8" w:rsidRDefault="00E5619D" w:rsidP="00E5619D">
      <w:pPr>
        <w:adjustRightInd w:val="0"/>
        <w:snapToGrid w:val="0"/>
        <w:spacing w:line="480" w:lineRule="auto"/>
        <w:jc w:val="both"/>
        <w:rPr>
          <w:rFonts w:ascii="Century" w:hAnsi="Century"/>
          <w:b/>
          <w:color w:val="000000" w:themeColor="text1"/>
          <w:sz w:val="24"/>
          <w:szCs w:val="24"/>
          <w:lang w:eastAsia="ja-JP"/>
        </w:rPr>
      </w:pPr>
      <w:r w:rsidRPr="00D41EE8">
        <w:rPr>
          <w:rFonts w:ascii="Century" w:hAnsi="Century"/>
          <w:color w:val="000000" w:themeColor="text1"/>
          <w:sz w:val="24"/>
          <w:szCs w:val="24"/>
          <w:lang w:eastAsia="ja-JP"/>
        </w:rPr>
        <w:t xml:space="preserve">ELISPOT assay to test whether MAGE-A4–targeting TCR cross-reacts with other peptides with sequences similar to that of the MAGE-A4 peptide. Cells of MAGE-A4 CTL clone #2-28 were used as effector cells, targeting T2A24 cells pulsed with </w:t>
      </w:r>
      <w:r w:rsidR="0009056C" w:rsidRPr="00D41EE8">
        <w:rPr>
          <w:rFonts w:ascii="Century" w:hAnsi="Century"/>
          <w:color w:val="000000" w:themeColor="text1"/>
          <w:sz w:val="24"/>
          <w:szCs w:val="24"/>
          <w:lang w:eastAsia="ja-JP"/>
        </w:rPr>
        <w:t>9</w:t>
      </w:r>
      <w:r w:rsidRPr="00D41EE8">
        <w:rPr>
          <w:rFonts w:ascii="Century" w:hAnsi="Century"/>
          <w:color w:val="000000" w:themeColor="text1"/>
          <w:sz w:val="24"/>
          <w:szCs w:val="24"/>
          <w:lang w:eastAsia="ja-JP"/>
        </w:rPr>
        <w:t xml:space="preserve"> peptides (including MAGE-A4 peptide as a positive control, and EBNA3A peptide as a negative control, respectively). No reactivity of the MAGE-A4 CTL clone was observed toward 7 similar peptides.</w:t>
      </w:r>
    </w:p>
    <w:p w:rsidR="00E5619D" w:rsidRPr="00D41EE8" w:rsidRDefault="00E5619D" w:rsidP="00E5619D">
      <w:pPr>
        <w:adjustRightInd w:val="0"/>
        <w:snapToGrid w:val="0"/>
        <w:spacing w:line="480" w:lineRule="auto"/>
        <w:jc w:val="both"/>
        <w:rPr>
          <w:rFonts w:ascii="Century" w:hAnsi="Century"/>
          <w:b/>
          <w:color w:val="000000" w:themeColor="text1"/>
          <w:sz w:val="24"/>
          <w:szCs w:val="24"/>
          <w:lang w:eastAsia="ja-JP"/>
        </w:rPr>
      </w:pPr>
    </w:p>
    <w:p w:rsidR="00E5619D" w:rsidRPr="00D41EE8" w:rsidRDefault="00E5619D" w:rsidP="00E5619D">
      <w:pPr>
        <w:adjustRightInd w:val="0"/>
        <w:snapToGrid w:val="0"/>
        <w:spacing w:line="480" w:lineRule="auto"/>
        <w:jc w:val="both"/>
        <w:rPr>
          <w:rFonts w:ascii="Century" w:hAnsi="Century"/>
          <w:b/>
          <w:color w:val="000000" w:themeColor="text1"/>
          <w:sz w:val="24"/>
          <w:szCs w:val="24"/>
          <w:lang w:eastAsia="ja-JP"/>
        </w:rPr>
      </w:pPr>
      <w:r w:rsidRPr="00D41EE8">
        <w:rPr>
          <w:rFonts w:ascii="Century" w:hAnsi="Century"/>
          <w:b/>
          <w:color w:val="000000" w:themeColor="text1"/>
          <w:sz w:val="24"/>
          <w:szCs w:val="24"/>
          <w:lang w:eastAsia="ja-JP"/>
        </w:rPr>
        <w:t xml:space="preserve">Figure </w:t>
      </w:r>
      <w:r w:rsidR="004D49A3" w:rsidRPr="00D41EE8">
        <w:rPr>
          <w:rFonts w:ascii="Century" w:hAnsi="Century"/>
          <w:b/>
          <w:color w:val="000000" w:themeColor="text1"/>
          <w:sz w:val="24"/>
          <w:szCs w:val="24"/>
          <w:lang w:eastAsia="ja-JP"/>
        </w:rPr>
        <w:t>S</w:t>
      </w:r>
      <w:r w:rsidR="002C5A16" w:rsidRPr="00D41EE8">
        <w:rPr>
          <w:rFonts w:ascii="Century" w:hAnsi="Century"/>
          <w:b/>
          <w:color w:val="000000" w:themeColor="text1"/>
          <w:sz w:val="24"/>
          <w:szCs w:val="24"/>
          <w:lang w:eastAsia="ja-JP"/>
        </w:rPr>
        <w:t>3</w:t>
      </w:r>
      <w:r w:rsidR="007377B1" w:rsidRPr="00D41EE8">
        <w:rPr>
          <w:rFonts w:ascii="Century" w:hAnsi="Century"/>
          <w:b/>
          <w:color w:val="000000" w:themeColor="text1"/>
          <w:sz w:val="24"/>
          <w:szCs w:val="24"/>
          <w:lang w:eastAsia="ja-JP"/>
        </w:rPr>
        <w:t>:</w:t>
      </w:r>
      <w:r w:rsidRPr="00D41EE8">
        <w:rPr>
          <w:rFonts w:ascii="Century" w:hAnsi="Century" w:hint="eastAsia"/>
          <w:b/>
          <w:color w:val="000000" w:themeColor="text1"/>
          <w:sz w:val="24"/>
          <w:szCs w:val="24"/>
          <w:lang w:eastAsia="ja-JP"/>
        </w:rPr>
        <w:t xml:space="preserve"> </w:t>
      </w:r>
    </w:p>
    <w:p w:rsidR="00E5619D" w:rsidRPr="00D41EE8" w:rsidRDefault="00E5619D" w:rsidP="00E5619D">
      <w:pPr>
        <w:adjustRightInd w:val="0"/>
        <w:snapToGrid w:val="0"/>
        <w:spacing w:line="480" w:lineRule="auto"/>
        <w:jc w:val="both"/>
        <w:rPr>
          <w:rFonts w:ascii="Century" w:hAnsi="Century"/>
          <w:color w:val="000000" w:themeColor="text1"/>
          <w:sz w:val="24"/>
          <w:szCs w:val="24"/>
          <w:lang w:eastAsia="ja-JP"/>
        </w:rPr>
      </w:pPr>
      <w:r w:rsidRPr="00D41EE8">
        <w:rPr>
          <w:rFonts w:ascii="Century" w:hAnsi="Century"/>
          <w:color w:val="000000" w:themeColor="text1"/>
          <w:sz w:val="24"/>
          <w:szCs w:val="24"/>
          <w:lang w:eastAsia="ja-JP"/>
        </w:rPr>
        <w:t>Tetramer analysis of the TCR-gene−transduced T cells at pre-infusion.    After TCR gene transduction, the cells were assayed for tetramers of MAGE-A4 peptide/HLA-A*24:02 in all 10 patients. The percentages ranged from 1.8% to 12.6% in CD8+ T cells. In CD8- T cells, 0.</w:t>
      </w:r>
      <w:r w:rsidR="00B07AF0">
        <w:rPr>
          <w:rFonts w:ascii="Century" w:hAnsi="Century" w:hint="eastAsia"/>
          <w:color w:val="000000" w:themeColor="text1"/>
          <w:sz w:val="24"/>
          <w:szCs w:val="24"/>
          <w:lang w:eastAsia="ja-JP"/>
        </w:rPr>
        <w:t>3</w:t>
      </w:r>
      <w:r w:rsidRPr="00D41EE8">
        <w:rPr>
          <w:rFonts w:ascii="Century" w:hAnsi="Century"/>
          <w:color w:val="000000" w:themeColor="text1"/>
          <w:sz w:val="24"/>
          <w:szCs w:val="24"/>
          <w:lang w:eastAsia="ja-JP"/>
        </w:rPr>
        <w:t>% to 8.5% cells were stained.</w:t>
      </w:r>
    </w:p>
    <w:p w:rsidR="00E5619D" w:rsidRPr="00D41EE8" w:rsidRDefault="00E5619D" w:rsidP="00E5619D">
      <w:pPr>
        <w:adjustRightInd w:val="0"/>
        <w:snapToGrid w:val="0"/>
        <w:spacing w:line="480" w:lineRule="auto"/>
        <w:jc w:val="both"/>
        <w:rPr>
          <w:rFonts w:ascii="Century" w:hAnsi="Century"/>
          <w:color w:val="000000" w:themeColor="text1"/>
          <w:sz w:val="24"/>
          <w:szCs w:val="24"/>
          <w:lang w:eastAsia="ja-JP"/>
        </w:rPr>
      </w:pPr>
    </w:p>
    <w:p w:rsidR="00E5619D" w:rsidRPr="00D41EE8" w:rsidRDefault="00E5619D" w:rsidP="00E5619D">
      <w:pPr>
        <w:adjustRightInd w:val="0"/>
        <w:snapToGrid w:val="0"/>
        <w:spacing w:line="480" w:lineRule="auto"/>
        <w:jc w:val="both"/>
        <w:rPr>
          <w:rFonts w:ascii="Century" w:hAnsi="Century"/>
          <w:b/>
          <w:color w:val="000000" w:themeColor="text1"/>
          <w:sz w:val="24"/>
          <w:szCs w:val="24"/>
          <w:lang w:eastAsia="ja-JP"/>
        </w:rPr>
      </w:pPr>
      <w:r w:rsidRPr="00D41EE8">
        <w:rPr>
          <w:rFonts w:ascii="Century" w:hAnsi="Century"/>
          <w:b/>
          <w:color w:val="000000" w:themeColor="text1"/>
          <w:sz w:val="24"/>
          <w:szCs w:val="24"/>
          <w:lang w:eastAsia="ja-JP"/>
        </w:rPr>
        <w:t xml:space="preserve">Figure </w:t>
      </w:r>
      <w:r w:rsidR="004D49A3" w:rsidRPr="00D41EE8">
        <w:rPr>
          <w:rFonts w:ascii="Century" w:hAnsi="Century"/>
          <w:b/>
          <w:color w:val="000000" w:themeColor="text1"/>
          <w:sz w:val="24"/>
          <w:szCs w:val="24"/>
          <w:lang w:eastAsia="ja-JP"/>
        </w:rPr>
        <w:t>S</w:t>
      </w:r>
      <w:r w:rsidR="002C5A16" w:rsidRPr="00D41EE8">
        <w:rPr>
          <w:rFonts w:ascii="Century" w:hAnsi="Century"/>
          <w:b/>
          <w:color w:val="000000" w:themeColor="text1"/>
          <w:sz w:val="24"/>
          <w:szCs w:val="24"/>
          <w:lang w:eastAsia="ja-JP"/>
        </w:rPr>
        <w:t>4</w:t>
      </w:r>
      <w:r w:rsidR="007377B1" w:rsidRPr="00D41EE8">
        <w:rPr>
          <w:rFonts w:ascii="Century" w:hAnsi="Century"/>
          <w:b/>
          <w:color w:val="000000" w:themeColor="text1"/>
          <w:sz w:val="24"/>
          <w:szCs w:val="24"/>
          <w:lang w:eastAsia="ja-JP"/>
        </w:rPr>
        <w:t>:</w:t>
      </w:r>
      <w:r w:rsidRPr="00D41EE8">
        <w:rPr>
          <w:rFonts w:ascii="Century" w:hAnsi="Century" w:hint="eastAsia"/>
          <w:b/>
          <w:color w:val="000000" w:themeColor="text1"/>
          <w:sz w:val="24"/>
          <w:szCs w:val="24"/>
          <w:lang w:eastAsia="ja-JP"/>
        </w:rPr>
        <w:t xml:space="preserve"> </w:t>
      </w:r>
    </w:p>
    <w:p w:rsidR="00E5619D" w:rsidRPr="00D41EE8" w:rsidRDefault="00E5619D" w:rsidP="00E5619D">
      <w:pPr>
        <w:adjustRightInd w:val="0"/>
        <w:snapToGrid w:val="0"/>
        <w:spacing w:line="480" w:lineRule="auto"/>
        <w:jc w:val="both"/>
        <w:rPr>
          <w:rFonts w:ascii="Century" w:hAnsi="Century"/>
          <w:color w:val="000000" w:themeColor="text1"/>
          <w:sz w:val="24"/>
          <w:szCs w:val="24"/>
          <w:lang w:eastAsia="ja-JP"/>
        </w:rPr>
      </w:pPr>
      <w:r w:rsidRPr="00D41EE8">
        <w:rPr>
          <w:rFonts w:ascii="Century" w:hAnsi="Century"/>
          <w:color w:val="000000" w:themeColor="text1"/>
          <w:sz w:val="24"/>
          <w:szCs w:val="24"/>
          <w:lang w:eastAsia="ja-JP"/>
        </w:rPr>
        <w:lastRenderedPageBreak/>
        <w:t>Phenotypes of MAGE-A4-tetramer+/CD8+ T cells after TCR gene-transduced T-cell transfer.</w:t>
      </w:r>
      <w:r w:rsidR="007377B1" w:rsidRPr="00D41EE8">
        <w:rPr>
          <w:rFonts w:ascii="Century" w:hAnsi="Century" w:hint="eastAsia"/>
          <w:color w:val="000000" w:themeColor="text1"/>
          <w:sz w:val="24"/>
          <w:szCs w:val="24"/>
          <w:lang w:eastAsia="ja-JP"/>
        </w:rPr>
        <w:t xml:space="preserve"> </w:t>
      </w:r>
      <w:r w:rsidRPr="00D41EE8">
        <w:rPr>
          <w:rFonts w:ascii="Century" w:hAnsi="Century"/>
          <w:color w:val="000000" w:themeColor="text1"/>
          <w:sz w:val="24"/>
          <w:szCs w:val="24"/>
          <w:lang w:eastAsia="ja-JP"/>
        </w:rPr>
        <w:t xml:space="preserve">PBMCs were collected from TCR-MA-314 and -315 at 12 hours and 14 days after cell transfer. MAGE-A4-tetramer+/CD8+ T cells were selected; CD45RO+/CD45RA- cells were dominant 12 hours after the transfer, and at 14 days the proportion of CD45RO-/CD45RA+ cells had increased. The CCR7+/CD45RA+ fraction was elevated, and the CCR7-/CD62L+ fraction was diminished. </w:t>
      </w:r>
    </w:p>
    <w:p w:rsidR="00E5619D" w:rsidRPr="00D41EE8" w:rsidRDefault="00E5619D" w:rsidP="00E5619D">
      <w:pPr>
        <w:adjustRightInd w:val="0"/>
        <w:snapToGrid w:val="0"/>
        <w:spacing w:line="480" w:lineRule="auto"/>
        <w:jc w:val="both"/>
        <w:rPr>
          <w:rFonts w:ascii="Century" w:hAnsi="Century"/>
          <w:color w:val="000000" w:themeColor="text1"/>
          <w:sz w:val="24"/>
          <w:szCs w:val="24"/>
          <w:lang w:eastAsia="ja-JP"/>
        </w:rPr>
      </w:pPr>
    </w:p>
    <w:p w:rsidR="00E5619D" w:rsidRPr="00D41EE8" w:rsidRDefault="00E5619D" w:rsidP="00E5619D">
      <w:pPr>
        <w:adjustRightInd w:val="0"/>
        <w:snapToGrid w:val="0"/>
        <w:spacing w:line="480" w:lineRule="auto"/>
        <w:jc w:val="both"/>
        <w:rPr>
          <w:rFonts w:ascii="Century" w:hAnsi="Century"/>
          <w:b/>
          <w:color w:val="000000" w:themeColor="text1"/>
          <w:sz w:val="24"/>
          <w:szCs w:val="24"/>
          <w:lang w:eastAsia="ja-JP"/>
        </w:rPr>
      </w:pPr>
      <w:r w:rsidRPr="00D41EE8">
        <w:rPr>
          <w:rFonts w:ascii="Century" w:hAnsi="Century"/>
          <w:b/>
          <w:color w:val="000000" w:themeColor="text1"/>
          <w:sz w:val="24"/>
          <w:szCs w:val="24"/>
          <w:lang w:eastAsia="ja-JP"/>
        </w:rPr>
        <w:t xml:space="preserve">Figure </w:t>
      </w:r>
      <w:r w:rsidR="004D49A3" w:rsidRPr="00D41EE8">
        <w:rPr>
          <w:rFonts w:ascii="Century" w:hAnsi="Century"/>
          <w:b/>
          <w:color w:val="000000" w:themeColor="text1"/>
          <w:sz w:val="24"/>
          <w:szCs w:val="24"/>
          <w:lang w:eastAsia="ja-JP"/>
        </w:rPr>
        <w:t>S</w:t>
      </w:r>
      <w:r w:rsidR="002C5A16" w:rsidRPr="00D41EE8">
        <w:rPr>
          <w:rFonts w:ascii="Century" w:hAnsi="Century"/>
          <w:b/>
          <w:color w:val="000000" w:themeColor="text1"/>
          <w:sz w:val="24"/>
          <w:szCs w:val="24"/>
          <w:lang w:eastAsia="ja-JP"/>
        </w:rPr>
        <w:t>5</w:t>
      </w:r>
      <w:r w:rsidR="007377B1" w:rsidRPr="00D41EE8">
        <w:rPr>
          <w:rFonts w:ascii="Century" w:hAnsi="Century"/>
          <w:b/>
          <w:color w:val="000000" w:themeColor="text1"/>
          <w:sz w:val="24"/>
          <w:szCs w:val="24"/>
          <w:lang w:eastAsia="ja-JP"/>
        </w:rPr>
        <w:t>:</w:t>
      </w:r>
      <w:r w:rsidRPr="00D41EE8">
        <w:rPr>
          <w:rFonts w:ascii="Century" w:hAnsi="Century" w:hint="eastAsia"/>
          <w:b/>
          <w:color w:val="000000" w:themeColor="text1"/>
          <w:sz w:val="24"/>
          <w:szCs w:val="24"/>
          <w:lang w:eastAsia="ja-JP"/>
        </w:rPr>
        <w:t xml:space="preserve"> </w:t>
      </w:r>
    </w:p>
    <w:p w:rsidR="00E5619D" w:rsidRPr="00D41EE8" w:rsidRDefault="00E5619D" w:rsidP="00E5619D">
      <w:pPr>
        <w:adjustRightInd w:val="0"/>
        <w:snapToGrid w:val="0"/>
        <w:spacing w:line="480" w:lineRule="auto"/>
        <w:jc w:val="both"/>
        <w:rPr>
          <w:rFonts w:ascii="Century" w:hAnsi="Century"/>
          <w:color w:val="000000" w:themeColor="text1"/>
          <w:sz w:val="24"/>
          <w:szCs w:val="24"/>
          <w:lang w:eastAsia="ja-JP"/>
        </w:rPr>
      </w:pPr>
      <w:r w:rsidRPr="00D41EE8">
        <w:rPr>
          <w:rFonts w:ascii="Century" w:hAnsi="Century"/>
          <w:color w:val="000000" w:themeColor="text1"/>
          <w:sz w:val="24"/>
          <w:szCs w:val="24"/>
          <w:lang w:eastAsia="ja-JP"/>
        </w:rPr>
        <w:t>Infiltration of TCR gene-transferred T cells in esophageal tumor sites.</w:t>
      </w:r>
      <w:r w:rsidR="007377B1" w:rsidRPr="00D41EE8">
        <w:rPr>
          <w:rFonts w:ascii="Century" w:hAnsi="Century" w:hint="eastAsia"/>
          <w:color w:val="000000" w:themeColor="text1"/>
          <w:sz w:val="24"/>
          <w:szCs w:val="24"/>
          <w:lang w:eastAsia="ja-JP"/>
        </w:rPr>
        <w:t xml:space="preserve"> </w:t>
      </w:r>
      <w:r w:rsidRPr="00D41EE8">
        <w:rPr>
          <w:rFonts w:ascii="Century" w:hAnsi="Century"/>
          <w:color w:val="000000" w:themeColor="text1"/>
          <w:sz w:val="24"/>
          <w:szCs w:val="24"/>
          <w:lang w:eastAsia="ja-JP"/>
        </w:rPr>
        <w:t>Tumor samples were biops</w:t>
      </w:r>
      <w:r w:rsidR="005618FC">
        <w:rPr>
          <w:rFonts w:ascii="Century" w:hAnsi="Century"/>
          <w:color w:val="000000" w:themeColor="text1"/>
          <w:sz w:val="24"/>
          <w:szCs w:val="24"/>
          <w:lang w:eastAsia="ja-JP"/>
        </w:rPr>
        <w:t>ied on day 35 (TCR-MA-104, -106</w:t>
      </w:r>
      <w:r w:rsidR="008318CE">
        <w:rPr>
          <w:rFonts w:ascii="Century" w:hAnsi="Century"/>
          <w:color w:val="000000" w:themeColor="text1"/>
          <w:sz w:val="24"/>
          <w:szCs w:val="24"/>
          <w:lang w:eastAsia="ja-JP"/>
        </w:rPr>
        <w:t>,</w:t>
      </w:r>
      <w:r w:rsidRPr="00D41EE8">
        <w:rPr>
          <w:rFonts w:ascii="Century" w:hAnsi="Century"/>
          <w:color w:val="000000" w:themeColor="text1"/>
          <w:sz w:val="24"/>
          <w:szCs w:val="24"/>
          <w:lang w:eastAsia="ja-JP"/>
        </w:rPr>
        <w:t xml:space="preserve"> and -210). In TCR-MA-104, TCR-transduced T cells were detected in the tumor tissues. The detection limit of the transduced cells is 100 copies/10</w:t>
      </w:r>
      <w:r w:rsidRPr="00D41EE8">
        <w:rPr>
          <w:rFonts w:ascii="Century" w:hAnsi="Century"/>
          <w:color w:val="000000" w:themeColor="text1"/>
          <w:sz w:val="24"/>
          <w:szCs w:val="24"/>
          <w:vertAlign w:val="superscript"/>
          <w:lang w:eastAsia="ja-JP"/>
        </w:rPr>
        <w:t>5</w:t>
      </w:r>
      <w:r w:rsidRPr="00D41EE8">
        <w:rPr>
          <w:rFonts w:ascii="Century" w:hAnsi="Century"/>
          <w:color w:val="000000" w:themeColor="text1"/>
          <w:sz w:val="24"/>
          <w:szCs w:val="24"/>
          <w:lang w:eastAsia="ja-JP"/>
        </w:rPr>
        <w:t xml:space="preserve"> cells. At the same time, we re-assessed MAGE-A4 expression levels by quantitative PCR, revealing that antigen expression was still high in the case in which TCR gene-transduced T cells could be detected. </w:t>
      </w:r>
    </w:p>
    <w:p w:rsidR="00E5619D" w:rsidRPr="00D41EE8" w:rsidRDefault="00E5619D" w:rsidP="00E5619D">
      <w:pPr>
        <w:adjustRightInd w:val="0"/>
        <w:snapToGrid w:val="0"/>
        <w:spacing w:line="480" w:lineRule="auto"/>
        <w:jc w:val="both"/>
        <w:rPr>
          <w:rFonts w:ascii="Century" w:hAnsi="Century"/>
          <w:b/>
          <w:color w:val="000000" w:themeColor="text1"/>
          <w:sz w:val="24"/>
          <w:szCs w:val="24"/>
          <w:lang w:eastAsia="ja-JP"/>
        </w:rPr>
      </w:pPr>
    </w:p>
    <w:p w:rsidR="00E5619D" w:rsidRPr="00D41EE8" w:rsidRDefault="00E5619D" w:rsidP="00E5619D">
      <w:pPr>
        <w:adjustRightInd w:val="0"/>
        <w:snapToGrid w:val="0"/>
        <w:spacing w:line="480" w:lineRule="auto"/>
        <w:jc w:val="both"/>
        <w:rPr>
          <w:rFonts w:ascii="Century" w:hAnsi="Century"/>
          <w:b/>
          <w:color w:val="000000" w:themeColor="text1"/>
          <w:sz w:val="24"/>
          <w:szCs w:val="24"/>
          <w:lang w:eastAsia="ja-JP"/>
        </w:rPr>
      </w:pPr>
      <w:r w:rsidRPr="00D41EE8">
        <w:rPr>
          <w:rFonts w:ascii="Century" w:hAnsi="Century"/>
          <w:b/>
          <w:color w:val="000000" w:themeColor="text1"/>
          <w:sz w:val="24"/>
          <w:szCs w:val="24"/>
          <w:lang w:eastAsia="ja-JP"/>
        </w:rPr>
        <w:t xml:space="preserve">Figure </w:t>
      </w:r>
      <w:r w:rsidR="004D49A3" w:rsidRPr="00D41EE8">
        <w:rPr>
          <w:rFonts w:ascii="Century" w:hAnsi="Century"/>
          <w:b/>
          <w:color w:val="000000" w:themeColor="text1"/>
          <w:sz w:val="24"/>
          <w:szCs w:val="24"/>
          <w:lang w:eastAsia="ja-JP"/>
        </w:rPr>
        <w:t>S</w:t>
      </w:r>
      <w:r w:rsidR="002C5A16" w:rsidRPr="00D41EE8">
        <w:rPr>
          <w:rFonts w:ascii="Century" w:hAnsi="Century"/>
          <w:b/>
          <w:color w:val="000000" w:themeColor="text1"/>
          <w:sz w:val="24"/>
          <w:szCs w:val="24"/>
          <w:lang w:eastAsia="ja-JP"/>
        </w:rPr>
        <w:t>6</w:t>
      </w:r>
      <w:r w:rsidR="007377B1" w:rsidRPr="00D41EE8">
        <w:rPr>
          <w:rFonts w:ascii="Century" w:hAnsi="Century"/>
          <w:b/>
          <w:color w:val="000000" w:themeColor="text1"/>
          <w:sz w:val="24"/>
          <w:szCs w:val="24"/>
          <w:lang w:eastAsia="ja-JP"/>
        </w:rPr>
        <w:t>:</w:t>
      </w:r>
      <w:r w:rsidRPr="00D41EE8">
        <w:rPr>
          <w:rFonts w:ascii="Century" w:hAnsi="Century"/>
          <w:b/>
          <w:color w:val="000000" w:themeColor="text1"/>
          <w:sz w:val="24"/>
          <w:szCs w:val="24"/>
          <w:lang w:eastAsia="ja-JP"/>
        </w:rPr>
        <w:t xml:space="preserve"> </w:t>
      </w:r>
    </w:p>
    <w:p w:rsidR="00E5619D" w:rsidRPr="00D41EE8" w:rsidRDefault="00E5619D" w:rsidP="00E5619D">
      <w:pPr>
        <w:adjustRightInd w:val="0"/>
        <w:snapToGrid w:val="0"/>
        <w:spacing w:line="480" w:lineRule="auto"/>
        <w:jc w:val="both"/>
        <w:rPr>
          <w:rFonts w:ascii="Century" w:hAnsi="Century"/>
          <w:color w:val="000000" w:themeColor="text1"/>
          <w:sz w:val="24"/>
          <w:szCs w:val="24"/>
          <w:lang w:eastAsia="ja-JP"/>
        </w:rPr>
      </w:pPr>
      <w:r w:rsidRPr="00D41EE8">
        <w:rPr>
          <w:rFonts w:ascii="Century" w:hAnsi="Century"/>
          <w:color w:val="000000" w:themeColor="text1"/>
          <w:sz w:val="24"/>
          <w:szCs w:val="24"/>
          <w:lang w:eastAsia="ja-JP"/>
        </w:rPr>
        <w:t>Disease progression and overall survival of 10 patients who received transfer of TCR-transduced lymphocytes. After the transfer, 9 patients received peptide vaccinations until the time-points indicated.</w:t>
      </w:r>
      <w:r w:rsidRPr="00D41EE8">
        <w:rPr>
          <w:rFonts w:ascii="Century" w:hAnsi="Century" w:hint="eastAsia"/>
          <w:color w:val="000000" w:themeColor="text1"/>
          <w:sz w:val="24"/>
          <w:szCs w:val="24"/>
          <w:lang w:eastAsia="ja-JP"/>
        </w:rPr>
        <w:t xml:space="preserve"> </w:t>
      </w:r>
      <w:r w:rsidRPr="00D41EE8">
        <w:rPr>
          <w:rFonts w:ascii="Century" w:hAnsi="Century"/>
          <w:color w:val="000000" w:themeColor="text1"/>
          <w:sz w:val="24"/>
          <w:szCs w:val="24"/>
          <w:lang w:eastAsia="ja-JP"/>
        </w:rPr>
        <w:t xml:space="preserve">Seven patients developed progressive disease (PD) within 2 months. These patients survived for a median of 9 months (range, 3–15 months). After tumor progression, 6 </w:t>
      </w:r>
      <w:r w:rsidRPr="00D41EE8">
        <w:rPr>
          <w:rFonts w:ascii="Century" w:hAnsi="Century"/>
          <w:color w:val="000000" w:themeColor="text1"/>
          <w:sz w:val="24"/>
          <w:szCs w:val="24"/>
          <w:lang w:eastAsia="ja-JP"/>
        </w:rPr>
        <w:lastRenderedPageBreak/>
        <w:t>patients received subsequent chemotherapies. One patient, TCR-MA-208, was free from disease for 2</w:t>
      </w:r>
      <w:r w:rsidR="00496D1D" w:rsidRPr="00D41EE8">
        <w:rPr>
          <w:rFonts w:ascii="Century" w:hAnsi="Century" w:hint="eastAsia"/>
          <w:color w:val="000000" w:themeColor="text1"/>
          <w:sz w:val="24"/>
          <w:szCs w:val="24"/>
          <w:lang w:eastAsia="ja-JP"/>
        </w:rPr>
        <w:t>1</w:t>
      </w:r>
      <w:r w:rsidRPr="00D41EE8">
        <w:rPr>
          <w:rFonts w:ascii="Century" w:hAnsi="Century"/>
          <w:color w:val="000000" w:themeColor="text1"/>
          <w:sz w:val="24"/>
          <w:szCs w:val="24"/>
          <w:lang w:eastAsia="ja-JP"/>
        </w:rPr>
        <w:t xml:space="preserve"> months. In 2 patients, TCR-MA-212 and -213, who had minimal lesions at baseline, no disease progression was observed at </w:t>
      </w:r>
      <w:r w:rsidR="007B643A">
        <w:rPr>
          <w:rFonts w:ascii="Century" w:hAnsi="Century" w:hint="eastAsia"/>
          <w:color w:val="000000" w:themeColor="text1"/>
          <w:sz w:val="24"/>
          <w:szCs w:val="24"/>
          <w:lang w:eastAsia="ja-JP"/>
        </w:rPr>
        <w:t>2</w:t>
      </w:r>
      <w:r w:rsidR="00881110">
        <w:rPr>
          <w:rFonts w:ascii="Century" w:hAnsi="Century" w:hint="eastAsia"/>
          <w:color w:val="000000" w:themeColor="text1"/>
          <w:sz w:val="24"/>
          <w:szCs w:val="24"/>
          <w:lang w:eastAsia="ja-JP"/>
        </w:rPr>
        <w:t>6</w:t>
      </w:r>
      <w:r w:rsidR="007B643A">
        <w:rPr>
          <w:rFonts w:ascii="Century" w:hAnsi="Century"/>
          <w:color w:val="000000" w:themeColor="text1"/>
          <w:sz w:val="24"/>
          <w:szCs w:val="24"/>
          <w:lang w:eastAsia="ja-JP"/>
        </w:rPr>
        <w:t xml:space="preserve"> or </w:t>
      </w:r>
      <w:r w:rsidR="007B643A">
        <w:rPr>
          <w:rFonts w:ascii="Century" w:hAnsi="Century" w:hint="eastAsia"/>
          <w:color w:val="000000" w:themeColor="text1"/>
          <w:sz w:val="24"/>
          <w:szCs w:val="24"/>
          <w:lang w:eastAsia="ja-JP"/>
        </w:rPr>
        <w:t>24</w:t>
      </w:r>
      <w:r w:rsidRPr="00D41EE8">
        <w:rPr>
          <w:rFonts w:ascii="Century" w:hAnsi="Century"/>
          <w:color w:val="000000" w:themeColor="text1"/>
          <w:sz w:val="24"/>
          <w:szCs w:val="24"/>
          <w:lang w:eastAsia="ja-JP"/>
        </w:rPr>
        <w:t xml:space="preserve"> months (still ongoing).</w:t>
      </w:r>
    </w:p>
    <w:p w:rsidR="00E5619D" w:rsidRPr="00D41EE8" w:rsidRDefault="00E5619D" w:rsidP="00E5619D">
      <w:pPr>
        <w:adjustRightInd w:val="0"/>
        <w:snapToGrid w:val="0"/>
        <w:spacing w:line="480" w:lineRule="auto"/>
        <w:jc w:val="both"/>
        <w:rPr>
          <w:rFonts w:ascii="Century" w:hAnsi="Century"/>
          <w:b/>
          <w:color w:val="000000" w:themeColor="text1"/>
          <w:sz w:val="24"/>
          <w:szCs w:val="24"/>
          <w:lang w:eastAsia="ja-JP"/>
        </w:rPr>
      </w:pPr>
    </w:p>
    <w:p w:rsidR="00E5619D" w:rsidRPr="00D41EE8" w:rsidRDefault="00E5619D" w:rsidP="00E5619D">
      <w:pPr>
        <w:adjustRightInd w:val="0"/>
        <w:snapToGrid w:val="0"/>
        <w:spacing w:line="480" w:lineRule="auto"/>
        <w:jc w:val="both"/>
        <w:rPr>
          <w:rFonts w:ascii="Century" w:hAnsi="Century"/>
          <w:b/>
          <w:color w:val="000000" w:themeColor="text1"/>
          <w:sz w:val="24"/>
          <w:szCs w:val="24"/>
          <w:lang w:eastAsia="ja-JP"/>
        </w:rPr>
      </w:pPr>
      <w:r w:rsidRPr="00D41EE8">
        <w:rPr>
          <w:rFonts w:ascii="Century" w:hAnsi="Century"/>
          <w:b/>
          <w:color w:val="000000" w:themeColor="text1"/>
          <w:sz w:val="24"/>
          <w:szCs w:val="24"/>
          <w:lang w:eastAsia="ja-JP"/>
        </w:rPr>
        <w:t xml:space="preserve">Figure </w:t>
      </w:r>
      <w:r w:rsidR="00660668" w:rsidRPr="00D41EE8">
        <w:rPr>
          <w:rFonts w:ascii="Century" w:hAnsi="Century"/>
          <w:b/>
          <w:color w:val="000000" w:themeColor="text1"/>
          <w:sz w:val="24"/>
          <w:szCs w:val="24"/>
          <w:lang w:eastAsia="ja-JP"/>
        </w:rPr>
        <w:t>S</w:t>
      </w:r>
      <w:r w:rsidR="002C5A16" w:rsidRPr="00D41EE8">
        <w:rPr>
          <w:rFonts w:ascii="Century" w:hAnsi="Century"/>
          <w:b/>
          <w:color w:val="000000" w:themeColor="text1"/>
          <w:sz w:val="24"/>
          <w:szCs w:val="24"/>
          <w:lang w:eastAsia="ja-JP"/>
        </w:rPr>
        <w:t>7</w:t>
      </w:r>
      <w:r w:rsidR="007377B1" w:rsidRPr="00D41EE8">
        <w:rPr>
          <w:rFonts w:ascii="Century" w:hAnsi="Century"/>
          <w:b/>
          <w:color w:val="000000" w:themeColor="text1"/>
          <w:sz w:val="24"/>
          <w:szCs w:val="24"/>
          <w:lang w:eastAsia="ja-JP"/>
        </w:rPr>
        <w:t>:</w:t>
      </w:r>
      <w:r w:rsidRPr="00D41EE8">
        <w:rPr>
          <w:rFonts w:ascii="Century" w:hAnsi="Century"/>
          <w:b/>
          <w:color w:val="000000" w:themeColor="text1"/>
          <w:sz w:val="24"/>
          <w:szCs w:val="24"/>
          <w:lang w:eastAsia="ja-JP"/>
        </w:rPr>
        <w:t xml:space="preserve"> </w:t>
      </w:r>
    </w:p>
    <w:p w:rsidR="00E5619D" w:rsidRPr="00D41EE8" w:rsidRDefault="00E5619D" w:rsidP="002A2990">
      <w:pPr>
        <w:adjustRightInd w:val="0"/>
        <w:snapToGrid w:val="0"/>
        <w:spacing w:line="480" w:lineRule="auto"/>
        <w:jc w:val="both"/>
        <w:rPr>
          <w:rFonts w:ascii="Century" w:hAnsi="Century"/>
          <w:color w:val="000000" w:themeColor="text1"/>
          <w:sz w:val="24"/>
          <w:szCs w:val="24"/>
          <w:lang w:eastAsia="ja-JP"/>
        </w:rPr>
      </w:pPr>
      <w:r w:rsidRPr="00D41EE8">
        <w:rPr>
          <w:rFonts w:ascii="Century" w:hAnsi="Century"/>
          <w:color w:val="000000" w:themeColor="text1"/>
          <w:sz w:val="24"/>
          <w:szCs w:val="24"/>
          <w:lang w:eastAsia="ja-JP"/>
        </w:rPr>
        <w:t>CT and PET scan images from TCR-MA-213. TCR-MA-213 had metastatic tumors in the cervical lymph nodes and was treated with radiotherapy and chemotherapy. Evaluation o</w:t>
      </w:r>
      <w:bookmarkStart w:id="0" w:name="_GoBack"/>
      <w:bookmarkEnd w:id="0"/>
      <w:r w:rsidRPr="00D41EE8">
        <w:rPr>
          <w:rFonts w:ascii="Century" w:hAnsi="Century"/>
          <w:color w:val="000000" w:themeColor="text1"/>
          <w:sz w:val="24"/>
          <w:szCs w:val="24"/>
          <w:lang w:eastAsia="ja-JP"/>
        </w:rPr>
        <w:t>f tumor responses revealed residual tumors, which were confirmed by CT and FDG-PET scans. The tumor has not enlarged for 2</w:t>
      </w:r>
      <w:r w:rsidR="00397471" w:rsidRPr="00D41EE8">
        <w:rPr>
          <w:rFonts w:ascii="Century" w:hAnsi="Century"/>
          <w:color w:val="000000" w:themeColor="text1"/>
          <w:sz w:val="24"/>
          <w:szCs w:val="24"/>
          <w:lang w:eastAsia="ja-JP"/>
        </w:rPr>
        <w:t>4</w:t>
      </w:r>
      <w:r w:rsidRPr="00D41EE8">
        <w:rPr>
          <w:rFonts w:ascii="Century" w:hAnsi="Century"/>
          <w:color w:val="000000" w:themeColor="text1"/>
          <w:sz w:val="24"/>
          <w:szCs w:val="24"/>
          <w:lang w:eastAsia="ja-JP"/>
        </w:rPr>
        <w:t xml:space="preserve"> months after transfer of TCR-transduced lymphocytes. The uptake of FDG was still active 3 months after the transfer.</w:t>
      </w:r>
    </w:p>
    <w:p w:rsidR="00A33950" w:rsidRPr="00D41EE8" w:rsidRDefault="00A33950" w:rsidP="002A2990">
      <w:pPr>
        <w:spacing w:line="480" w:lineRule="auto"/>
        <w:rPr>
          <w:color w:val="000000" w:themeColor="text1"/>
        </w:rPr>
      </w:pPr>
    </w:p>
    <w:p w:rsidR="00EA4464" w:rsidRPr="00D41EE8" w:rsidRDefault="00EA4464" w:rsidP="002A2990">
      <w:pPr>
        <w:spacing w:line="480" w:lineRule="auto"/>
        <w:rPr>
          <w:rFonts w:asciiTheme="minorHAnsi" w:hAnsiTheme="minorHAnsi"/>
          <w:b/>
          <w:color w:val="000000" w:themeColor="text1"/>
          <w:sz w:val="24"/>
        </w:rPr>
      </w:pPr>
      <w:r w:rsidRPr="00D41EE8">
        <w:rPr>
          <w:rFonts w:asciiTheme="minorHAnsi" w:hAnsiTheme="minorHAnsi"/>
          <w:b/>
          <w:color w:val="000000" w:themeColor="text1"/>
          <w:sz w:val="24"/>
        </w:rPr>
        <w:t xml:space="preserve">Table S1: </w:t>
      </w:r>
    </w:p>
    <w:p w:rsidR="00EA4464" w:rsidRPr="00D41EE8" w:rsidRDefault="00EA4464" w:rsidP="002A2990">
      <w:pPr>
        <w:spacing w:line="480" w:lineRule="auto"/>
        <w:rPr>
          <w:rFonts w:asciiTheme="minorHAnsi" w:hAnsiTheme="minorHAnsi"/>
          <w:color w:val="000000" w:themeColor="text1"/>
          <w:sz w:val="24"/>
        </w:rPr>
      </w:pPr>
      <w:r w:rsidRPr="00D41EE8">
        <w:rPr>
          <w:rFonts w:asciiTheme="minorHAnsi" w:hAnsiTheme="minorHAnsi"/>
          <w:color w:val="000000" w:themeColor="text1"/>
          <w:sz w:val="24"/>
        </w:rPr>
        <w:t>Peptides which have homologue sequences with MAGE-A4</w:t>
      </w:r>
      <w:r w:rsidRPr="00D41EE8">
        <w:rPr>
          <w:rFonts w:asciiTheme="minorHAnsi" w:hAnsiTheme="minorHAnsi"/>
          <w:color w:val="000000" w:themeColor="text1"/>
          <w:sz w:val="24"/>
          <w:vertAlign w:val="subscript"/>
        </w:rPr>
        <w:t>143-151</w:t>
      </w:r>
      <w:r w:rsidRPr="00D41EE8">
        <w:rPr>
          <w:rFonts w:asciiTheme="minorHAnsi" w:hAnsiTheme="minorHAnsi"/>
          <w:color w:val="000000" w:themeColor="text1"/>
          <w:sz w:val="24"/>
        </w:rPr>
        <w:t xml:space="preserve"> peptide</w:t>
      </w:r>
    </w:p>
    <w:sectPr w:rsidR="00EA4464" w:rsidRPr="00D41EE8" w:rsidSect="00297CBA">
      <w:headerReference w:type="default" r:id="rId8"/>
      <w:footerReference w:type="default" r:id="rId9"/>
      <w:type w:val="continuous"/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C44" w:rsidRDefault="00524C44">
      <w:r>
        <w:separator/>
      </w:r>
    </w:p>
  </w:endnote>
  <w:endnote w:type="continuationSeparator" w:id="0">
    <w:p w:rsidR="00524C44" w:rsidRDefault="0052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ÇlÇrê¿.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118" w:rsidRDefault="00297CB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A2990" w:rsidRPr="002A2990">
      <w:rPr>
        <w:noProof/>
        <w:lang w:val="ja-JP" w:eastAsia="ja-JP"/>
      </w:rPr>
      <w:t>3</w:t>
    </w:r>
    <w:r>
      <w:rPr>
        <w:noProof/>
        <w:lang w:val="ja-JP" w:eastAsia="ja-JP"/>
      </w:rPr>
      <w:fldChar w:fldCharType="end"/>
    </w:r>
  </w:p>
  <w:p w:rsidR="00941118" w:rsidRDefault="00524C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C44" w:rsidRDefault="00524C44">
      <w:r>
        <w:separator/>
      </w:r>
    </w:p>
  </w:footnote>
  <w:footnote w:type="continuationSeparator" w:id="0">
    <w:p w:rsidR="00524C44" w:rsidRDefault="00524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D33" w:rsidRPr="00D32C1C" w:rsidRDefault="00B92E93" w:rsidP="00D32C1C">
    <w:pPr>
      <w:tabs>
        <w:tab w:val="right" w:pos="8505"/>
      </w:tabs>
      <w:autoSpaceDE w:val="0"/>
      <w:autoSpaceDN w:val="0"/>
      <w:adjustRightInd w:val="0"/>
      <w:spacing w:line="480" w:lineRule="auto"/>
      <w:jc w:val="both"/>
      <w:rPr>
        <w:rFonts w:asciiTheme="minorHAnsi" w:eastAsia="ＭＳ Ｐゴシック" w:hAnsiTheme="minorHAnsi" w:cs="Arial"/>
        <w:color w:val="000000" w:themeColor="text1"/>
        <w:szCs w:val="24"/>
        <w:lang w:eastAsia="ja-JP"/>
      </w:rPr>
    </w:pPr>
    <w:r w:rsidRPr="00750678">
      <w:rPr>
        <w:rFonts w:asciiTheme="minorHAnsi" w:eastAsia="ＭＳ Ｐゴシック" w:hAnsiTheme="minorHAnsi" w:cs="Arial"/>
        <w:color w:val="000000" w:themeColor="text1"/>
        <w:szCs w:val="24"/>
        <w:lang w:eastAsia="ja-JP"/>
      </w:rPr>
      <w:t>MAGE-A4 TCR-transduced T cell Transfer for Esophageal Cancer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A6AAB"/>
    <w:multiLevelType w:val="hybridMultilevel"/>
    <w:tmpl w:val="D502370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5C65654"/>
    <w:multiLevelType w:val="hybridMultilevel"/>
    <w:tmpl w:val="8B06E21E"/>
    <w:lvl w:ilvl="0" w:tplc="BABA1DB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9295582"/>
    <w:multiLevelType w:val="hybridMultilevel"/>
    <w:tmpl w:val="422E60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BA"/>
    <w:rsid w:val="0000421E"/>
    <w:rsid w:val="00005E38"/>
    <w:rsid w:val="00017E8E"/>
    <w:rsid w:val="00025896"/>
    <w:rsid w:val="000262D8"/>
    <w:rsid w:val="00027497"/>
    <w:rsid w:val="000346D0"/>
    <w:rsid w:val="000459CF"/>
    <w:rsid w:val="00066DB2"/>
    <w:rsid w:val="000841E2"/>
    <w:rsid w:val="0009056C"/>
    <w:rsid w:val="00094FDA"/>
    <w:rsid w:val="000A3E7E"/>
    <w:rsid w:val="000A7645"/>
    <w:rsid w:val="000B6D3B"/>
    <w:rsid w:val="000C1CD4"/>
    <w:rsid w:val="000D0850"/>
    <w:rsid w:val="000D2697"/>
    <w:rsid w:val="000D3447"/>
    <w:rsid w:val="000D6B04"/>
    <w:rsid w:val="000D758A"/>
    <w:rsid w:val="000E2583"/>
    <w:rsid w:val="0010495C"/>
    <w:rsid w:val="0010537D"/>
    <w:rsid w:val="00112879"/>
    <w:rsid w:val="00115301"/>
    <w:rsid w:val="00122FED"/>
    <w:rsid w:val="001260A7"/>
    <w:rsid w:val="00130F3E"/>
    <w:rsid w:val="00136CD0"/>
    <w:rsid w:val="00144013"/>
    <w:rsid w:val="0015448D"/>
    <w:rsid w:val="00154938"/>
    <w:rsid w:val="00156591"/>
    <w:rsid w:val="00157EA9"/>
    <w:rsid w:val="00161253"/>
    <w:rsid w:val="00175A23"/>
    <w:rsid w:val="001815B8"/>
    <w:rsid w:val="001836CA"/>
    <w:rsid w:val="00185A3B"/>
    <w:rsid w:val="001957FB"/>
    <w:rsid w:val="001A2972"/>
    <w:rsid w:val="001A4000"/>
    <w:rsid w:val="001A5055"/>
    <w:rsid w:val="001A6E04"/>
    <w:rsid w:val="001C029D"/>
    <w:rsid w:val="001D3A6D"/>
    <w:rsid w:val="001D4491"/>
    <w:rsid w:val="001D5717"/>
    <w:rsid w:val="001E13B8"/>
    <w:rsid w:val="001E6A2E"/>
    <w:rsid w:val="001F4C75"/>
    <w:rsid w:val="00200ED9"/>
    <w:rsid w:val="00200EDA"/>
    <w:rsid w:val="00201CB8"/>
    <w:rsid w:val="00214040"/>
    <w:rsid w:val="00216DEE"/>
    <w:rsid w:val="00226BBB"/>
    <w:rsid w:val="00227DA9"/>
    <w:rsid w:val="00240E42"/>
    <w:rsid w:val="00242A42"/>
    <w:rsid w:val="00253804"/>
    <w:rsid w:val="00297CBA"/>
    <w:rsid w:val="002A1048"/>
    <w:rsid w:val="002A2990"/>
    <w:rsid w:val="002A6011"/>
    <w:rsid w:val="002A7BF0"/>
    <w:rsid w:val="002B123D"/>
    <w:rsid w:val="002C3DC9"/>
    <w:rsid w:val="002C5A16"/>
    <w:rsid w:val="002C72B4"/>
    <w:rsid w:val="002D6115"/>
    <w:rsid w:val="002D705D"/>
    <w:rsid w:val="002E2040"/>
    <w:rsid w:val="002E47DA"/>
    <w:rsid w:val="002E7DF9"/>
    <w:rsid w:val="00304A07"/>
    <w:rsid w:val="003053FA"/>
    <w:rsid w:val="003204A7"/>
    <w:rsid w:val="00323630"/>
    <w:rsid w:val="0032747B"/>
    <w:rsid w:val="00343839"/>
    <w:rsid w:val="00354060"/>
    <w:rsid w:val="00354A03"/>
    <w:rsid w:val="00356D79"/>
    <w:rsid w:val="00362F76"/>
    <w:rsid w:val="00365829"/>
    <w:rsid w:val="003803BE"/>
    <w:rsid w:val="00397471"/>
    <w:rsid w:val="003A767C"/>
    <w:rsid w:val="003B7982"/>
    <w:rsid w:val="003B7E44"/>
    <w:rsid w:val="003C2E9E"/>
    <w:rsid w:val="003D1683"/>
    <w:rsid w:val="003E1216"/>
    <w:rsid w:val="003E383A"/>
    <w:rsid w:val="003E4800"/>
    <w:rsid w:val="003E5B4B"/>
    <w:rsid w:val="003E5FAC"/>
    <w:rsid w:val="003E6A10"/>
    <w:rsid w:val="003F1D8F"/>
    <w:rsid w:val="003F422E"/>
    <w:rsid w:val="00400E7F"/>
    <w:rsid w:val="004019FF"/>
    <w:rsid w:val="00403EBD"/>
    <w:rsid w:val="0041116C"/>
    <w:rsid w:val="004141BA"/>
    <w:rsid w:val="00420059"/>
    <w:rsid w:val="00420F82"/>
    <w:rsid w:val="004248B1"/>
    <w:rsid w:val="00434242"/>
    <w:rsid w:val="0045435B"/>
    <w:rsid w:val="00456611"/>
    <w:rsid w:val="00467392"/>
    <w:rsid w:val="00485446"/>
    <w:rsid w:val="004861AD"/>
    <w:rsid w:val="00496D1D"/>
    <w:rsid w:val="004A2560"/>
    <w:rsid w:val="004B3582"/>
    <w:rsid w:val="004B4C51"/>
    <w:rsid w:val="004D49A3"/>
    <w:rsid w:val="004E04F1"/>
    <w:rsid w:val="00513D69"/>
    <w:rsid w:val="00514836"/>
    <w:rsid w:val="00514DF3"/>
    <w:rsid w:val="00515FD1"/>
    <w:rsid w:val="005178C8"/>
    <w:rsid w:val="00522A03"/>
    <w:rsid w:val="00524C44"/>
    <w:rsid w:val="00540B8B"/>
    <w:rsid w:val="005502B5"/>
    <w:rsid w:val="00557169"/>
    <w:rsid w:val="005618FC"/>
    <w:rsid w:val="005625A5"/>
    <w:rsid w:val="00574FFF"/>
    <w:rsid w:val="00580A72"/>
    <w:rsid w:val="005813AB"/>
    <w:rsid w:val="00583090"/>
    <w:rsid w:val="00590A38"/>
    <w:rsid w:val="005A4891"/>
    <w:rsid w:val="005C678F"/>
    <w:rsid w:val="005D0EAA"/>
    <w:rsid w:val="005D55DF"/>
    <w:rsid w:val="005D69E9"/>
    <w:rsid w:val="005F17A4"/>
    <w:rsid w:val="0060062A"/>
    <w:rsid w:val="006117A1"/>
    <w:rsid w:val="00611D33"/>
    <w:rsid w:val="00613D69"/>
    <w:rsid w:val="006401B6"/>
    <w:rsid w:val="00641786"/>
    <w:rsid w:val="006428DD"/>
    <w:rsid w:val="00642CC6"/>
    <w:rsid w:val="0065264D"/>
    <w:rsid w:val="0065784F"/>
    <w:rsid w:val="00660668"/>
    <w:rsid w:val="0066380E"/>
    <w:rsid w:val="00670680"/>
    <w:rsid w:val="00676E8C"/>
    <w:rsid w:val="006863E3"/>
    <w:rsid w:val="006B5BC6"/>
    <w:rsid w:val="006B65F2"/>
    <w:rsid w:val="006C313F"/>
    <w:rsid w:val="006D314C"/>
    <w:rsid w:val="006E7F67"/>
    <w:rsid w:val="006F7BED"/>
    <w:rsid w:val="0070206C"/>
    <w:rsid w:val="007139EA"/>
    <w:rsid w:val="00715E86"/>
    <w:rsid w:val="00716F0A"/>
    <w:rsid w:val="00717F7A"/>
    <w:rsid w:val="007254D6"/>
    <w:rsid w:val="007278BE"/>
    <w:rsid w:val="007377B1"/>
    <w:rsid w:val="00753653"/>
    <w:rsid w:val="00757F86"/>
    <w:rsid w:val="00764BA2"/>
    <w:rsid w:val="007766FA"/>
    <w:rsid w:val="0079344C"/>
    <w:rsid w:val="007954D7"/>
    <w:rsid w:val="007A393E"/>
    <w:rsid w:val="007A3EF0"/>
    <w:rsid w:val="007B031F"/>
    <w:rsid w:val="007B4E5F"/>
    <w:rsid w:val="007B6289"/>
    <w:rsid w:val="007B643A"/>
    <w:rsid w:val="007C6D08"/>
    <w:rsid w:val="007E3F78"/>
    <w:rsid w:val="007F16A2"/>
    <w:rsid w:val="007F603E"/>
    <w:rsid w:val="00801109"/>
    <w:rsid w:val="0080736B"/>
    <w:rsid w:val="00810B10"/>
    <w:rsid w:val="00812DFB"/>
    <w:rsid w:val="008143EA"/>
    <w:rsid w:val="008145A2"/>
    <w:rsid w:val="0082070C"/>
    <w:rsid w:val="00823638"/>
    <w:rsid w:val="00823E45"/>
    <w:rsid w:val="00825317"/>
    <w:rsid w:val="008318CE"/>
    <w:rsid w:val="00867CEC"/>
    <w:rsid w:val="00881110"/>
    <w:rsid w:val="00885E90"/>
    <w:rsid w:val="00886D4F"/>
    <w:rsid w:val="008921DA"/>
    <w:rsid w:val="00897145"/>
    <w:rsid w:val="008A65E9"/>
    <w:rsid w:val="008A6B5C"/>
    <w:rsid w:val="008D066E"/>
    <w:rsid w:val="009017FF"/>
    <w:rsid w:val="00906386"/>
    <w:rsid w:val="00907AE9"/>
    <w:rsid w:val="00923AFD"/>
    <w:rsid w:val="0093055F"/>
    <w:rsid w:val="00931AC2"/>
    <w:rsid w:val="00935123"/>
    <w:rsid w:val="00962547"/>
    <w:rsid w:val="00964BE8"/>
    <w:rsid w:val="00972B6E"/>
    <w:rsid w:val="0097656D"/>
    <w:rsid w:val="00985B58"/>
    <w:rsid w:val="0098677A"/>
    <w:rsid w:val="009C5319"/>
    <w:rsid w:val="009E2A90"/>
    <w:rsid w:val="009F15B7"/>
    <w:rsid w:val="00A0697A"/>
    <w:rsid w:val="00A06E54"/>
    <w:rsid w:val="00A111F7"/>
    <w:rsid w:val="00A33950"/>
    <w:rsid w:val="00A36B4A"/>
    <w:rsid w:val="00A43CD5"/>
    <w:rsid w:val="00A55A9A"/>
    <w:rsid w:val="00A64E88"/>
    <w:rsid w:val="00A72EA4"/>
    <w:rsid w:val="00A72FF4"/>
    <w:rsid w:val="00A744CF"/>
    <w:rsid w:val="00A75977"/>
    <w:rsid w:val="00A8164C"/>
    <w:rsid w:val="00A83EAD"/>
    <w:rsid w:val="00A93D2E"/>
    <w:rsid w:val="00A942CA"/>
    <w:rsid w:val="00A94FB9"/>
    <w:rsid w:val="00AA1971"/>
    <w:rsid w:val="00AA347A"/>
    <w:rsid w:val="00AA3E13"/>
    <w:rsid w:val="00AD6607"/>
    <w:rsid w:val="00B07963"/>
    <w:rsid w:val="00B07AF0"/>
    <w:rsid w:val="00B10DA3"/>
    <w:rsid w:val="00B12611"/>
    <w:rsid w:val="00B16009"/>
    <w:rsid w:val="00B20CC9"/>
    <w:rsid w:val="00B20CCD"/>
    <w:rsid w:val="00B21AB7"/>
    <w:rsid w:val="00B35A6C"/>
    <w:rsid w:val="00B36CEC"/>
    <w:rsid w:val="00B41A5F"/>
    <w:rsid w:val="00B52B31"/>
    <w:rsid w:val="00B57998"/>
    <w:rsid w:val="00B63239"/>
    <w:rsid w:val="00B63DD0"/>
    <w:rsid w:val="00B92E93"/>
    <w:rsid w:val="00B96330"/>
    <w:rsid w:val="00BA4395"/>
    <w:rsid w:val="00BC76C1"/>
    <w:rsid w:val="00BD4FF2"/>
    <w:rsid w:val="00BE133F"/>
    <w:rsid w:val="00BE200E"/>
    <w:rsid w:val="00C132F2"/>
    <w:rsid w:val="00C14B36"/>
    <w:rsid w:val="00C20658"/>
    <w:rsid w:val="00C20FE9"/>
    <w:rsid w:val="00C228ED"/>
    <w:rsid w:val="00C24361"/>
    <w:rsid w:val="00C32E38"/>
    <w:rsid w:val="00C42D99"/>
    <w:rsid w:val="00C45330"/>
    <w:rsid w:val="00C532ED"/>
    <w:rsid w:val="00C7106C"/>
    <w:rsid w:val="00C82936"/>
    <w:rsid w:val="00C87EE2"/>
    <w:rsid w:val="00C90344"/>
    <w:rsid w:val="00C91118"/>
    <w:rsid w:val="00C94000"/>
    <w:rsid w:val="00C960F6"/>
    <w:rsid w:val="00C96E75"/>
    <w:rsid w:val="00CA33DA"/>
    <w:rsid w:val="00CA4A9F"/>
    <w:rsid w:val="00CD1DFE"/>
    <w:rsid w:val="00CD3D15"/>
    <w:rsid w:val="00CD7C1D"/>
    <w:rsid w:val="00CF0B97"/>
    <w:rsid w:val="00CF15E0"/>
    <w:rsid w:val="00D0157A"/>
    <w:rsid w:val="00D069A9"/>
    <w:rsid w:val="00D108CB"/>
    <w:rsid w:val="00D1430F"/>
    <w:rsid w:val="00D32C1C"/>
    <w:rsid w:val="00D34885"/>
    <w:rsid w:val="00D3641E"/>
    <w:rsid w:val="00D36697"/>
    <w:rsid w:val="00D41EE8"/>
    <w:rsid w:val="00D5013A"/>
    <w:rsid w:val="00D67738"/>
    <w:rsid w:val="00D81D33"/>
    <w:rsid w:val="00D828E5"/>
    <w:rsid w:val="00D87DAE"/>
    <w:rsid w:val="00DA3E50"/>
    <w:rsid w:val="00DC546F"/>
    <w:rsid w:val="00DC6285"/>
    <w:rsid w:val="00DD0212"/>
    <w:rsid w:val="00DD4133"/>
    <w:rsid w:val="00DE6E04"/>
    <w:rsid w:val="00DE74AB"/>
    <w:rsid w:val="00DF54F3"/>
    <w:rsid w:val="00DF7A09"/>
    <w:rsid w:val="00E03016"/>
    <w:rsid w:val="00E04185"/>
    <w:rsid w:val="00E0677D"/>
    <w:rsid w:val="00E24CC7"/>
    <w:rsid w:val="00E26139"/>
    <w:rsid w:val="00E26B36"/>
    <w:rsid w:val="00E33C90"/>
    <w:rsid w:val="00E35BC1"/>
    <w:rsid w:val="00E371B6"/>
    <w:rsid w:val="00E45B63"/>
    <w:rsid w:val="00E5619D"/>
    <w:rsid w:val="00E63327"/>
    <w:rsid w:val="00E71941"/>
    <w:rsid w:val="00E76674"/>
    <w:rsid w:val="00E7772E"/>
    <w:rsid w:val="00E80128"/>
    <w:rsid w:val="00EA4464"/>
    <w:rsid w:val="00EA551B"/>
    <w:rsid w:val="00EB22B0"/>
    <w:rsid w:val="00EB4805"/>
    <w:rsid w:val="00EB6B04"/>
    <w:rsid w:val="00EC6375"/>
    <w:rsid w:val="00ED301D"/>
    <w:rsid w:val="00EE316F"/>
    <w:rsid w:val="00EE4491"/>
    <w:rsid w:val="00EF4967"/>
    <w:rsid w:val="00EF49A5"/>
    <w:rsid w:val="00F0320D"/>
    <w:rsid w:val="00F168A6"/>
    <w:rsid w:val="00F23B9F"/>
    <w:rsid w:val="00F30070"/>
    <w:rsid w:val="00F3019D"/>
    <w:rsid w:val="00F334B6"/>
    <w:rsid w:val="00F5531F"/>
    <w:rsid w:val="00F631F4"/>
    <w:rsid w:val="00F67E25"/>
    <w:rsid w:val="00F81608"/>
    <w:rsid w:val="00F83AB1"/>
    <w:rsid w:val="00F966E3"/>
    <w:rsid w:val="00FC3376"/>
    <w:rsid w:val="00FC4335"/>
    <w:rsid w:val="00FD2FCA"/>
    <w:rsid w:val="00FE75B7"/>
    <w:rsid w:val="00FF1202"/>
    <w:rsid w:val="00FF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90A27B2-D52D-4A8F-8284-E18E99B9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CBA"/>
    <w:rPr>
      <w:rFonts w:ascii="Times New Roman" w:eastAsia="ＭＳ 明朝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Summary">
    <w:name w:val="Abstract/Summary"/>
    <w:basedOn w:val="a"/>
    <w:rsid w:val="00297CBA"/>
    <w:pPr>
      <w:spacing w:before="120"/>
    </w:pPr>
    <w:rPr>
      <w:rFonts w:eastAsia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297CBA"/>
    <w:pPr>
      <w:spacing w:before="120"/>
      <w:ind w:firstLine="720"/>
    </w:pPr>
    <w:rPr>
      <w:rFonts w:eastAsia="Times New Roman"/>
      <w:sz w:val="24"/>
      <w:szCs w:val="24"/>
    </w:rPr>
  </w:style>
  <w:style w:type="paragraph" w:customStyle="1" w:styleId="Head">
    <w:name w:val="Head"/>
    <w:basedOn w:val="a"/>
    <w:rsid w:val="00297CBA"/>
    <w:pPr>
      <w:keepNext/>
      <w:spacing w:before="120" w:after="120"/>
      <w:jc w:val="center"/>
      <w:outlineLvl w:val="0"/>
    </w:pPr>
    <w:rPr>
      <w:rFonts w:eastAsia="Times New Roman"/>
      <w:b/>
      <w:bCs/>
      <w:kern w:val="28"/>
      <w:sz w:val="28"/>
      <w:szCs w:val="28"/>
    </w:rPr>
  </w:style>
  <w:style w:type="paragraph" w:customStyle="1" w:styleId="Teaser">
    <w:name w:val="Teaser"/>
    <w:basedOn w:val="a"/>
    <w:rsid w:val="00297CBA"/>
    <w:pPr>
      <w:spacing w:before="120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97C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CBA"/>
    <w:rPr>
      <w:rFonts w:ascii="Times New Roman" w:eastAsia="ＭＳ 明朝" w:hAnsi="Times New Roman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297C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CBA"/>
    <w:rPr>
      <w:rFonts w:ascii="Times New Roman" w:eastAsia="ＭＳ 明朝" w:hAnsi="Times New Roman" w:cs="Times New Roman"/>
      <w:kern w:val="0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97C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7CBA"/>
    <w:rPr>
      <w:rFonts w:ascii="Arial" w:eastAsia="ＭＳ ゴシック" w:hAnsi="Arial" w:cs="Times New Roman"/>
      <w:kern w:val="0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297CB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97CB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a">
    <w:name w:val="Hyperlink"/>
    <w:uiPriority w:val="99"/>
    <w:unhideWhenUsed/>
    <w:rsid w:val="00297CBA"/>
    <w:rPr>
      <w:color w:val="0000FF"/>
      <w:u w:val="single"/>
    </w:rPr>
  </w:style>
  <w:style w:type="character" w:customStyle="1" w:styleId="jrnl">
    <w:name w:val="jrnl"/>
    <w:basedOn w:val="a0"/>
    <w:rsid w:val="00297CBA"/>
  </w:style>
  <w:style w:type="paragraph" w:customStyle="1" w:styleId="Default">
    <w:name w:val="Default"/>
    <w:rsid w:val="00297CBA"/>
    <w:pPr>
      <w:autoSpaceDE w:val="0"/>
      <w:autoSpaceDN w:val="0"/>
      <w:adjustRightInd w:val="0"/>
    </w:pPr>
    <w:rPr>
      <w:rFonts w:ascii="ÇlÇrê¿." w:eastAsia="ＭＳ 明朝" w:hAnsi="ÇlÇrê¿." w:cs="ÇlÇrê¿.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297CB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97CBA"/>
  </w:style>
  <w:style w:type="character" w:customStyle="1" w:styleId="ad">
    <w:name w:val="コメント文字列 (文字)"/>
    <w:basedOn w:val="a0"/>
    <w:link w:val="ac"/>
    <w:uiPriority w:val="99"/>
    <w:semiHidden/>
    <w:rsid w:val="00297CBA"/>
    <w:rPr>
      <w:rFonts w:ascii="Times New Roman" w:eastAsia="ＭＳ 明朝" w:hAnsi="Times New Roman" w:cs="Times New Roman"/>
      <w:kern w:val="0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97CB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97CBA"/>
    <w:rPr>
      <w:rFonts w:ascii="Times New Roman" w:eastAsia="ＭＳ 明朝" w:hAnsi="Times New Roman" w:cs="Times New Roman"/>
      <w:b/>
      <w:bCs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9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DABB2-3352-4605-81B6-CFC5AB3AD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skageyama</dc:creator>
  <cp:lastModifiedBy>影山慎一</cp:lastModifiedBy>
  <cp:revision>13</cp:revision>
  <dcterms:created xsi:type="dcterms:W3CDTF">2015-02-10T07:19:00Z</dcterms:created>
  <dcterms:modified xsi:type="dcterms:W3CDTF">2015-02-10T21:33:00Z</dcterms:modified>
</cp:coreProperties>
</file>