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88" w:rsidRPr="00586D03" w:rsidRDefault="002B5388" w:rsidP="00D8161B">
      <w:pPr>
        <w:spacing w:line="480" w:lineRule="auto"/>
        <w:contextualSpacing/>
        <w:rPr>
          <w:rFonts w:ascii="Times New Roman" w:hAnsi="Times New Roman"/>
          <w:b/>
          <w:sz w:val="24"/>
          <w:szCs w:val="24"/>
        </w:rPr>
      </w:pPr>
      <w:r w:rsidRPr="00586D03">
        <w:rPr>
          <w:rFonts w:ascii="Times New Roman" w:hAnsi="Times New Roman"/>
          <w:b/>
          <w:sz w:val="24"/>
          <w:szCs w:val="24"/>
        </w:rPr>
        <w:t>Supplementary Methods</w:t>
      </w:r>
    </w:p>
    <w:p w:rsidR="002B5388" w:rsidRPr="00586D03" w:rsidRDefault="002B5388" w:rsidP="00A748E5">
      <w:pPr>
        <w:spacing w:line="480" w:lineRule="auto"/>
        <w:contextualSpacing/>
        <w:rPr>
          <w:rFonts w:ascii="Times New Roman" w:hAnsi="Times New Roman"/>
          <w:b/>
          <w:sz w:val="24"/>
          <w:szCs w:val="24"/>
        </w:rPr>
      </w:pPr>
      <w:r w:rsidRPr="00586D03">
        <w:rPr>
          <w:rFonts w:ascii="Times New Roman" w:hAnsi="Times New Roman"/>
          <w:b/>
          <w:sz w:val="24"/>
          <w:szCs w:val="24"/>
        </w:rPr>
        <w:t>Lentivirus production</w:t>
      </w:r>
    </w:p>
    <w:p w:rsidR="002B5388" w:rsidRPr="00586D03" w:rsidRDefault="002B5388" w:rsidP="00075F94">
      <w:pPr>
        <w:spacing w:line="480" w:lineRule="auto"/>
        <w:ind w:firstLineChars="100" w:firstLine="31680"/>
        <w:contextualSpacing/>
        <w:rPr>
          <w:rFonts w:ascii="Times New Roman" w:hAnsi="Times New Roman"/>
          <w:kern w:val="0"/>
          <w:sz w:val="24"/>
          <w:szCs w:val="24"/>
        </w:rPr>
      </w:pPr>
      <w:r w:rsidRPr="00586D03">
        <w:rPr>
          <w:rFonts w:ascii="Times New Roman" w:hAnsi="Times New Roman"/>
          <w:kern w:val="0"/>
          <w:sz w:val="24"/>
          <w:szCs w:val="24"/>
        </w:rPr>
        <w:t>Human embryonic kidney 293T cells were seeded at 5 × 10</w:t>
      </w:r>
      <w:r w:rsidRPr="00586D03">
        <w:rPr>
          <w:rFonts w:ascii="Times New Roman" w:hAnsi="Times New Roman"/>
          <w:kern w:val="0"/>
          <w:sz w:val="24"/>
          <w:szCs w:val="24"/>
          <w:vertAlign w:val="superscript"/>
        </w:rPr>
        <w:t>6</w:t>
      </w:r>
      <w:r w:rsidRPr="00586D03">
        <w:rPr>
          <w:rFonts w:ascii="Times New Roman" w:hAnsi="Times New Roman"/>
          <w:kern w:val="0"/>
          <w:sz w:val="24"/>
          <w:szCs w:val="24"/>
        </w:rPr>
        <w:t xml:space="preserve"> per 10-cm dish prior to 24 h of transduction. All plasmid DNA was purified using the QIAGEN Endo-Free Maxi prep kit (Qiagen, Valencia, CA). The 293T cells were transfected with 20 μg of the empty vector (mock) or the recombinant expression vector in addition to the 15 μg of packaging plasmid psPAX2 and 5 μg of the vesicular stomatitis virus (VSV-G) envelope plasmid pMD2.G (generous gifts from Dr. T. Didier) using a calcium phosphate transfection system (1)</w:t>
      </w:r>
      <w:r w:rsidRPr="00586D03">
        <w:rPr>
          <w:rFonts w:ascii="Times New Roman" w:hAnsi="Times New Roman"/>
          <w:sz w:val="24"/>
          <w:szCs w:val="24"/>
        </w:rPr>
        <w:t>.</w:t>
      </w:r>
      <w:r w:rsidRPr="00586D03">
        <w:rPr>
          <w:rFonts w:ascii="Times New Roman" w:hAnsi="Times New Roman"/>
          <w:kern w:val="0"/>
          <w:sz w:val="24"/>
          <w:szCs w:val="24"/>
          <w:vertAlign w:val="superscript"/>
        </w:rPr>
        <w:t xml:space="preserve"> </w:t>
      </w:r>
      <w:r w:rsidRPr="00586D03">
        <w:rPr>
          <w:rFonts w:ascii="Times New Roman" w:hAnsi="Times New Roman"/>
          <w:kern w:val="0"/>
          <w:sz w:val="24"/>
          <w:szCs w:val="24"/>
        </w:rPr>
        <w:t xml:space="preserve">The viral supernatant was harvested at 48 or 72 h after transfection. </w:t>
      </w:r>
    </w:p>
    <w:p w:rsidR="002B5388" w:rsidRPr="00586D03" w:rsidRDefault="002B5388" w:rsidP="00D73A43">
      <w:pPr>
        <w:spacing w:line="480" w:lineRule="auto"/>
        <w:contextualSpacing/>
        <w:rPr>
          <w:rFonts w:ascii="Times New Roman" w:hAnsi="Times New Roman"/>
          <w:sz w:val="24"/>
          <w:szCs w:val="24"/>
        </w:rPr>
      </w:pPr>
    </w:p>
    <w:p w:rsidR="002B5388" w:rsidRPr="00586D03" w:rsidRDefault="002B5388" w:rsidP="00A748E5">
      <w:pPr>
        <w:spacing w:line="480" w:lineRule="auto"/>
        <w:contextualSpacing/>
        <w:rPr>
          <w:rFonts w:ascii="Times New Roman" w:hAnsi="Times New Roman"/>
          <w:sz w:val="24"/>
          <w:szCs w:val="24"/>
        </w:rPr>
      </w:pPr>
      <w:r w:rsidRPr="00586D03">
        <w:rPr>
          <w:rFonts w:ascii="Times New Roman" w:hAnsi="Times New Roman"/>
          <w:b/>
          <w:sz w:val="24"/>
          <w:szCs w:val="24"/>
        </w:rPr>
        <w:t>Western blot analysis</w:t>
      </w:r>
    </w:p>
    <w:p w:rsidR="002B5388" w:rsidRPr="00586D03" w:rsidRDefault="002B5388" w:rsidP="00075F94">
      <w:pPr>
        <w:spacing w:line="480" w:lineRule="auto"/>
        <w:ind w:firstLineChars="100" w:firstLine="31680"/>
        <w:contextualSpacing/>
        <w:rPr>
          <w:rFonts w:ascii="Times New Roman" w:hAnsi="Times New Roman"/>
          <w:sz w:val="24"/>
          <w:szCs w:val="24"/>
        </w:rPr>
      </w:pPr>
      <w:r w:rsidRPr="00586D03">
        <w:rPr>
          <w:rFonts w:ascii="Times New Roman" w:hAnsi="Times New Roman"/>
          <w:sz w:val="24"/>
          <w:szCs w:val="24"/>
        </w:rPr>
        <w:t>To confirm the levels of GPC3 expression in various HCC cell lines, 5 × 10</w:t>
      </w:r>
      <w:r w:rsidRPr="00586D03">
        <w:rPr>
          <w:rFonts w:ascii="Times New Roman" w:hAnsi="Times New Roman"/>
          <w:sz w:val="24"/>
          <w:szCs w:val="24"/>
          <w:vertAlign w:val="superscript"/>
        </w:rPr>
        <w:t xml:space="preserve">6 </w:t>
      </w:r>
      <w:r w:rsidRPr="00586D03">
        <w:rPr>
          <w:rFonts w:ascii="Times New Roman" w:hAnsi="Times New Roman"/>
          <w:sz w:val="24"/>
          <w:szCs w:val="24"/>
        </w:rPr>
        <w:t>HCC cells were lysed in 100 µl lysis buffer for 30 min on ice. Cell lysate was then removed by centrifugation at 12,000 × g for 10 min. Each sample was denatured under reducing conditions (in the presence of DTT) and electrophoresed by 12% SDS–PAGE. The samples were then transferred to a nitrocellulose membrane (Bio-Rad, Hercules, CA) and immunoblotted with the mAb 9C2 against GPC3 (Abcam, Cambridge, MA). To confirm whether the expression of Bcl-X</w:t>
      </w:r>
      <w:r w:rsidRPr="00586D03">
        <w:rPr>
          <w:rFonts w:ascii="Times New Roman" w:hAnsi="Times New Roman"/>
          <w:sz w:val="24"/>
          <w:szCs w:val="24"/>
          <w:vertAlign w:val="subscript"/>
        </w:rPr>
        <w:t>L</w:t>
      </w:r>
      <w:r w:rsidRPr="00586D03">
        <w:rPr>
          <w:rFonts w:ascii="Times New Roman" w:hAnsi="Times New Roman"/>
          <w:sz w:val="24"/>
          <w:szCs w:val="24"/>
        </w:rPr>
        <w:t xml:space="preserve"> in </w:t>
      </w:r>
      <w:r w:rsidRPr="00586D03">
        <w:rPr>
          <w:rFonts w:ascii="Times New Roman" w:hAnsi="Times New Roman"/>
          <w:kern w:val="0"/>
          <w:sz w:val="24"/>
          <w:szCs w:val="24"/>
        </w:rPr>
        <w:t>αGPC3-28BBZ CAR</w:t>
      </w:r>
      <w:r w:rsidRPr="00586D03">
        <w:rPr>
          <w:rFonts w:ascii="Times New Roman" w:hAnsi="Times New Roman"/>
          <w:sz w:val="24"/>
          <w:szCs w:val="24"/>
        </w:rPr>
        <w:t xml:space="preserve"> T cells was increased in the presence of GPC3 protein, we cocultured the GPC3-targeted CAR or 2D3-28BBZ CAR CD8</w:t>
      </w:r>
      <w:r w:rsidRPr="00586D03">
        <w:rPr>
          <w:rFonts w:ascii="Times New Roman" w:hAnsi="Times New Roman"/>
          <w:sz w:val="24"/>
          <w:szCs w:val="24"/>
          <w:vertAlign w:val="superscript"/>
        </w:rPr>
        <w:t>+</w:t>
      </w:r>
      <w:r w:rsidRPr="00586D03">
        <w:rPr>
          <w:rFonts w:ascii="Times New Roman" w:hAnsi="Times New Roman"/>
          <w:sz w:val="24"/>
          <w:szCs w:val="24"/>
        </w:rPr>
        <w:t xml:space="preserve"> T cells with GPC3-positive Huh-7 or GPC3-negative</w:t>
      </w:r>
      <w:r w:rsidRPr="00586D03" w:rsidDel="008E1840">
        <w:rPr>
          <w:rFonts w:ascii="Times New Roman" w:hAnsi="Times New Roman"/>
          <w:sz w:val="24"/>
          <w:szCs w:val="24"/>
          <w:vertAlign w:val="superscript"/>
        </w:rPr>
        <w:t xml:space="preserve"> </w:t>
      </w:r>
      <w:r w:rsidRPr="00586D03">
        <w:rPr>
          <w:rFonts w:ascii="Times New Roman" w:hAnsi="Times New Roman"/>
          <w:sz w:val="24"/>
          <w:szCs w:val="24"/>
        </w:rPr>
        <w:t>SK-HEP-1 cells for 24 h at an effector : target ratio of 3 : 1. The T cells were then isolated, lysed and immunoblotted using anti-Bcl-X</w:t>
      </w:r>
      <w:r w:rsidRPr="00586D03">
        <w:rPr>
          <w:rFonts w:ascii="Times New Roman" w:hAnsi="Times New Roman"/>
          <w:sz w:val="24"/>
          <w:szCs w:val="24"/>
          <w:vertAlign w:val="subscript"/>
        </w:rPr>
        <w:t>L</w:t>
      </w:r>
      <w:r w:rsidRPr="00586D03">
        <w:rPr>
          <w:rFonts w:ascii="Times New Roman" w:hAnsi="Times New Roman"/>
          <w:sz w:val="24"/>
          <w:szCs w:val="24"/>
        </w:rPr>
        <w:t xml:space="preserve"> antibody (Cell Signaling Technology, USA), β-actin was as a reliable loading control.</w:t>
      </w:r>
      <w:r w:rsidRPr="00586D03" w:rsidDel="0049096A">
        <w:rPr>
          <w:rFonts w:ascii="Times New Roman" w:hAnsi="Times New Roman"/>
          <w:sz w:val="24"/>
          <w:szCs w:val="24"/>
        </w:rPr>
        <w:t xml:space="preserve"> </w:t>
      </w:r>
      <w:r w:rsidRPr="00586D03">
        <w:rPr>
          <w:rFonts w:ascii="Times New Roman" w:hAnsi="Times New Roman"/>
          <w:sz w:val="24"/>
          <w:szCs w:val="24"/>
        </w:rPr>
        <w:t xml:space="preserve">The blots were incubated with horseradish peroxidase-conjugated anti-mouse or rabbit IgG (Kangchen Biotech, Shanghai, China) and detected using the ECL western blot analysis system (Pierce, Thermo Scientific, Rockford, IL) in accordance with the manufacturer’s instructions. </w:t>
      </w:r>
    </w:p>
    <w:p w:rsidR="002B5388" w:rsidRPr="00586D03" w:rsidRDefault="002B5388" w:rsidP="00A748E5">
      <w:pPr>
        <w:spacing w:line="480" w:lineRule="auto"/>
        <w:contextualSpacing/>
        <w:rPr>
          <w:rFonts w:ascii="Times New Roman" w:hAnsi="Times New Roman"/>
          <w:sz w:val="24"/>
          <w:szCs w:val="24"/>
        </w:rPr>
      </w:pPr>
    </w:p>
    <w:p w:rsidR="002B5388" w:rsidRPr="00586D03" w:rsidRDefault="002B5388" w:rsidP="00A748E5">
      <w:pPr>
        <w:spacing w:line="480" w:lineRule="auto"/>
        <w:contextualSpacing/>
        <w:rPr>
          <w:rFonts w:ascii="Times New Roman" w:hAnsi="Times New Roman"/>
          <w:b/>
          <w:sz w:val="24"/>
          <w:szCs w:val="24"/>
        </w:rPr>
      </w:pPr>
      <w:r w:rsidRPr="00586D03">
        <w:rPr>
          <w:rFonts w:ascii="Times New Roman" w:hAnsi="Times New Roman"/>
          <w:b/>
          <w:sz w:val="24"/>
          <w:szCs w:val="24"/>
        </w:rPr>
        <w:t>Flow cytometric analysis</w:t>
      </w:r>
    </w:p>
    <w:p w:rsidR="002B5388" w:rsidRPr="00586D03" w:rsidRDefault="002B5388" w:rsidP="00075F94">
      <w:pPr>
        <w:spacing w:line="480" w:lineRule="auto"/>
        <w:ind w:firstLineChars="100" w:firstLine="31680"/>
        <w:contextualSpacing/>
        <w:rPr>
          <w:rFonts w:ascii="Times New Roman" w:hAnsi="Times New Roman"/>
          <w:sz w:val="24"/>
          <w:szCs w:val="24"/>
        </w:rPr>
      </w:pPr>
      <w:r w:rsidRPr="00586D03">
        <w:rPr>
          <w:rFonts w:ascii="Times New Roman" w:hAnsi="Times New Roman"/>
          <w:sz w:val="24"/>
          <w:szCs w:val="24"/>
        </w:rPr>
        <w:t>Surface expression of GPC3 on HCC cells was detected by the mAb 9C2 (Abcam, Cambridge, MA), using normal mouse IgG as a negative control, followed by FITC-conjugated goat anti-mouse IgG (Kangchen Biotech, Shanghai, China). The transduction efficiencies of the various genetically modified T cells were detected using the autofluorescence of eGFP. Untreated T cells were used as negative control. The following conjugated antibodies were purchased from BD Biosciences: mouse anti-human CD3 (FITC or PerCP), anti-human CD4 (FITC), anti-human CD8 (PE), anti-human CD64 (PE), anti-human CD86 (PE), isotype-matched control antibodies The expression of CD64 or CD86 on K562 cells transduced with lentiviral vectors encoding the membrane-binding extra-domains of CD64 or CD86 was detected by PE-labeled CD64 or PE labeled CD86. PE labeled isotype control antibody was used in all analyses. In T cells transfer experiments, peripheral blood was collected from retro-orbital bleeding, and the absolute number of human CD3</w:t>
      </w:r>
      <w:r w:rsidRPr="00586D03">
        <w:rPr>
          <w:rFonts w:ascii="Times New Roman" w:hAnsi="Times New Roman"/>
          <w:sz w:val="24"/>
          <w:szCs w:val="24"/>
          <w:vertAlign w:val="superscript"/>
        </w:rPr>
        <w:t>+</w:t>
      </w:r>
      <w:r w:rsidRPr="00586D03">
        <w:rPr>
          <w:rFonts w:ascii="Times New Roman" w:hAnsi="Times New Roman"/>
          <w:sz w:val="24"/>
          <w:szCs w:val="24"/>
        </w:rPr>
        <w:t>, CD4</w:t>
      </w:r>
      <w:r w:rsidRPr="00586D03">
        <w:rPr>
          <w:rFonts w:ascii="Times New Roman" w:hAnsi="Times New Roman"/>
          <w:sz w:val="24"/>
          <w:szCs w:val="24"/>
          <w:vertAlign w:val="superscript"/>
        </w:rPr>
        <w:t>+</w:t>
      </w:r>
      <w:r w:rsidRPr="00586D03">
        <w:rPr>
          <w:rFonts w:ascii="Times New Roman" w:hAnsi="Times New Roman"/>
          <w:sz w:val="24"/>
          <w:szCs w:val="24"/>
        </w:rPr>
        <w:t>, and CD8</w:t>
      </w:r>
      <w:r w:rsidRPr="00586D03">
        <w:rPr>
          <w:rFonts w:ascii="Times New Roman" w:hAnsi="Times New Roman"/>
          <w:sz w:val="24"/>
          <w:szCs w:val="24"/>
          <w:vertAlign w:val="superscript"/>
        </w:rPr>
        <w:t>+</w:t>
      </w:r>
      <w:r w:rsidRPr="00586D03">
        <w:rPr>
          <w:rFonts w:ascii="Times New Roman" w:hAnsi="Times New Roman"/>
          <w:sz w:val="24"/>
          <w:szCs w:val="24"/>
        </w:rPr>
        <w:t xml:space="preserve"> T cells was determined. After gating on the human CD3</w:t>
      </w:r>
      <w:r w:rsidRPr="00586D03">
        <w:rPr>
          <w:rFonts w:ascii="Times New Roman" w:hAnsi="Times New Roman"/>
          <w:sz w:val="24"/>
          <w:szCs w:val="24"/>
          <w:vertAlign w:val="superscript"/>
        </w:rPr>
        <w:t>+</w:t>
      </w:r>
      <w:r w:rsidRPr="00586D03">
        <w:rPr>
          <w:rFonts w:ascii="Times New Roman" w:hAnsi="Times New Roman"/>
          <w:sz w:val="24"/>
          <w:szCs w:val="24"/>
        </w:rPr>
        <w:t xml:space="preserve"> population, the CD4</w:t>
      </w:r>
      <w:r w:rsidRPr="00586D03">
        <w:rPr>
          <w:rFonts w:ascii="Times New Roman" w:hAnsi="Times New Roman"/>
          <w:sz w:val="24"/>
          <w:szCs w:val="24"/>
          <w:vertAlign w:val="superscript"/>
        </w:rPr>
        <w:t>+</w:t>
      </w:r>
      <w:r w:rsidRPr="00586D03">
        <w:rPr>
          <w:rFonts w:ascii="Times New Roman" w:hAnsi="Times New Roman"/>
          <w:sz w:val="24"/>
          <w:szCs w:val="24"/>
        </w:rPr>
        <w:t xml:space="preserve"> and CD8</w:t>
      </w:r>
      <w:r w:rsidRPr="00586D03">
        <w:rPr>
          <w:rFonts w:ascii="Times New Roman" w:hAnsi="Times New Roman"/>
          <w:sz w:val="24"/>
          <w:szCs w:val="24"/>
          <w:vertAlign w:val="superscript"/>
        </w:rPr>
        <w:t>+</w:t>
      </w:r>
      <w:r w:rsidRPr="00586D03">
        <w:rPr>
          <w:rFonts w:ascii="Times New Roman" w:hAnsi="Times New Roman"/>
          <w:sz w:val="24"/>
          <w:szCs w:val="24"/>
        </w:rPr>
        <w:t xml:space="preserve"> T cells were quantified using TruCount tubes (BD Biosciences, San Jose, CA) as described in the manufacturer’s instructions. GFP-positive T cells were directly analyzed using TruCount tubes. Flow cytometric data were analyzed by WinMDI 2.9 software.</w:t>
      </w:r>
    </w:p>
    <w:p w:rsidR="002B5388" w:rsidRPr="00586D03" w:rsidRDefault="002B5388" w:rsidP="00A748E5">
      <w:pPr>
        <w:spacing w:line="480" w:lineRule="auto"/>
        <w:contextualSpacing/>
        <w:rPr>
          <w:rFonts w:ascii="Times New Roman" w:hAnsi="Times New Roman"/>
          <w:b/>
          <w:sz w:val="24"/>
          <w:szCs w:val="24"/>
        </w:rPr>
      </w:pPr>
    </w:p>
    <w:p w:rsidR="002B5388" w:rsidRPr="00586D03" w:rsidRDefault="002B5388" w:rsidP="00A748E5">
      <w:pPr>
        <w:spacing w:line="480" w:lineRule="auto"/>
        <w:contextualSpacing/>
        <w:rPr>
          <w:rFonts w:ascii="Times New Roman" w:hAnsi="Times New Roman"/>
          <w:sz w:val="24"/>
          <w:szCs w:val="24"/>
        </w:rPr>
      </w:pPr>
      <w:r w:rsidRPr="00586D03">
        <w:rPr>
          <w:rFonts w:ascii="Times New Roman" w:hAnsi="Times New Roman"/>
          <w:b/>
          <w:sz w:val="24"/>
          <w:szCs w:val="24"/>
        </w:rPr>
        <w:t>Cytokine release assay</w:t>
      </w:r>
    </w:p>
    <w:p w:rsidR="002B5388" w:rsidRPr="00586D03" w:rsidRDefault="002B5388" w:rsidP="00075F94">
      <w:pPr>
        <w:spacing w:line="480" w:lineRule="auto"/>
        <w:ind w:firstLineChars="100" w:firstLine="31680"/>
        <w:contextualSpacing/>
        <w:rPr>
          <w:rFonts w:ascii="Times New Roman" w:hAnsi="Times New Roman"/>
          <w:sz w:val="24"/>
          <w:szCs w:val="24"/>
        </w:rPr>
      </w:pPr>
      <w:r w:rsidRPr="00586D03">
        <w:rPr>
          <w:rFonts w:ascii="Times New Roman" w:hAnsi="Times New Roman"/>
          <w:sz w:val="24"/>
          <w:szCs w:val="24"/>
        </w:rPr>
        <w:t>Cytokine measurements were performed through the coculture of 4 × 10</w:t>
      </w:r>
      <w:r w:rsidRPr="00586D03">
        <w:rPr>
          <w:rFonts w:ascii="Times New Roman" w:hAnsi="Times New Roman"/>
          <w:sz w:val="24"/>
          <w:szCs w:val="24"/>
          <w:vertAlign w:val="superscript"/>
        </w:rPr>
        <w:t>4</w:t>
      </w:r>
      <w:r w:rsidRPr="00586D03">
        <w:rPr>
          <w:rFonts w:ascii="Times New Roman" w:hAnsi="Times New Roman"/>
          <w:sz w:val="24"/>
          <w:szCs w:val="24"/>
        </w:rPr>
        <w:t xml:space="preserve"> transduced T cells with 4 × 10</w:t>
      </w:r>
      <w:r w:rsidRPr="00586D03">
        <w:rPr>
          <w:rFonts w:ascii="Times New Roman" w:hAnsi="Times New Roman"/>
          <w:sz w:val="24"/>
          <w:szCs w:val="24"/>
          <w:vertAlign w:val="superscript"/>
        </w:rPr>
        <w:t xml:space="preserve">4 </w:t>
      </w:r>
      <w:r w:rsidRPr="00586D03">
        <w:rPr>
          <w:rFonts w:ascii="Times New Roman" w:hAnsi="Times New Roman"/>
          <w:sz w:val="24"/>
          <w:szCs w:val="24"/>
        </w:rPr>
        <w:t>target cells per well, in triplicate wells of 96-well plates in a final volume of 200 μl of T cell medium. After inoculation for 24 h, the IFN-γ and IL-2 cytokines secreted by the genetically modified T cells that were stimulated by the targeted HCC cells were measured using an ELISA kit according to the manufacturer’s instructions (MultiSciences Biotechnology, Hangzhou, China).</w:t>
      </w:r>
    </w:p>
    <w:p w:rsidR="002B5388" w:rsidRPr="00586D03" w:rsidRDefault="002B5388" w:rsidP="00075F94">
      <w:pPr>
        <w:spacing w:line="480" w:lineRule="auto"/>
        <w:ind w:firstLineChars="200" w:firstLine="31680"/>
        <w:contextualSpacing/>
        <w:jc w:val="left"/>
        <w:rPr>
          <w:rFonts w:ascii="Times New Roman" w:hAnsi="Times New Roman"/>
          <w:sz w:val="24"/>
          <w:szCs w:val="24"/>
        </w:rPr>
      </w:pPr>
    </w:p>
    <w:p w:rsidR="002B5388" w:rsidRPr="00586D03" w:rsidRDefault="002B5388" w:rsidP="00A748E5">
      <w:pPr>
        <w:spacing w:line="480" w:lineRule="auto"/>
        <w:contextualSpacing/>
        <w:rPr>
          <w:rFonts w:ascii="Times New Roman" w:hAnsi="Times New Roman"/>
          <w:b/>
          <w:sz w:val="24"/>
          <w:szCs w:val="24"/>
        </w:rPr>
      </w:pPr>
      <w:r w:rsidRPr="00586D03">
        <w:rPr>
          <w:rFonts w:ascii="Times New Roman" w:hAnsi="Times New Roman"/>
          <w:b/>
          <w:sz w:val="24"/>
          <w:szCs w:val="24"/>
        </w:rPr>
        <w:t>Immunohistochemistry</w:t>
      </w:r>
    </w:p>
    <w:p w:rsidR="002B5388" w:rsidRPr="00586D03" w:rsidRDefault="002B5388" w:rsidP="00075F94">
      <w:pPr>
        <w:spacing w:line="480" w:lineRule="auto"/>
        <w:ind w:firstLineChars="100" w:firstLine="31680"/>
        <w:contextualSpacing/>
        <w:rPr>
          <w:rFonts w:ascii="Times New Roman" w:hAnsi="Times New Roman"/>
          <w:sz w:val="24"/>
          <w:szCs w:val="24"/>
        </w:rPr>
      </w:pPr>
      <w:r w:rsidRPr="00586D03">
        <w:rPr>
          <w:rFonts w:ascii="Times New Roman" w:hAnsi="Times New Roman"/>
          <w:sz w:val="24"/>
          <w:szCs w:val="24"/>
        </w:rPr>
        <w:t xml:space="preserve">The </w:t>
      </w:r>
      <w:r w:rsidRPr="00586D03">
        <w:rPr>
          <w:rFonts w:ascii="Times New Roman" w:hAnsi="Times New Roman"/>
          <w:bCs/>
          <w:sz w:val="24"/>
          <w:szCs w:val="24"/>
        </w:rPr>
        <w:t xml:space="preserve">HLiv-HCC150CS-01 microarray (Outdo Biotech, Shanghai, China) containing 75 primary HCC samples and the sections of the normal kidney (n=10) and gastric glands (n=10) were </w:t>
      </w:r>
      <w:r w:rsidRPr="00586D03">
        <w:rPr>
          <w:rFonts w:ascii="Times New Roman" w:hAnsi="Times New Roman"/>
          <w:sz w:val="24"/>
          <w:szCs w:val="24"/>
        </w:rPr>
        <w:t>immunostained using an anti-GPC3 antibody (mAb 1G12, BioMosaics Inc, Burlington, VT)</w:t>
      </w:r>
      <w:r w:rsidRPr="00586D03">
        <w:rPr>
          <w:rFonts w:ascii="Times New Roman" w:hAnsi="Times New Roman"/>
          <w:bCs/>
          <w:sz w:val="24"/>
          <w:szCs w:val="24"/>
        </w:rPr>
        <w:t xml:space="preserve"> to determine the expression of GPC3. </w:t>
      </w:r>
      <w:r w:rsidRPr="00586D03">
        <w:rPr>
          <w:rFonts w:ascii="Times New Roman" w:hAnsi="Times New Roman"/>
          <w:sz w:val="24"/>
          <w:szCs w:val="24"/>
        </w:rPr>
        <w:t>To assess the persistence of human T cells in tumors, formalin-ﬁxed, parafﬁn-embedded tumor tissues were immunostained using an anti-CD3 antibody (Thermo Scientific RM-9107-S0). A normal rabbit IgG served as an isotype control. The procedures were performed as previously described (5). Briefly, after deparafﬁnization and rehydration, the sections were exposed to 3% H</w:t>
      </w:r>
      <w:r w:rsidRPr="00586D03">
        <w:rPr>
          <w:rFonts w:ascii="Times New Roman" w:hAnsi="Times New Roman"/>
          <w:sz w:val="24"/>
          <w:szCs w:val="24"/>
          <w:vertAlign w:val="subscript"/>
        </w:rPr>
        <w:t>2</w:t>
      </w:r>
      <w:r w:rsidRPr="00586D03">
        <w:rPr>
          <w:rFonts w:ascii="Times New Roman" w:hAnsi="Times New Roman"/>
          <w:sz w:val="24"/>
          <w:szCs w:val="24"/>
        </w:rPr>
        <w:t>O</w:t>
      </w:r>
      <w:r w:rsidRPr="00586D03">
        <w:rPr>
          <w:rFonts w:ascii="Times New Roman" w:hAnsi="Times New Roman"/>
          <w:sz w:val="24"/>
          <w:szCs w:val="24"/>
          <w:vertAlign w:val="subscript"/>
        </w:rPr>
        <w:t>2</w:t>
      </w:r>
      <w:r w:rsidRPr="00586D03">
        <w:rPr>
          <w:rFonts w:ascii="Times New Roman" w:hAnsi="Times New Roman"/>
          <w:sz w:val="24"/>
          <w:szCs w:val="24"/>
        </w:rPr>
        <w:t xml:space="preserve"> in methanol to eliminate endogenous peroxidase activity. Bovine serum albumin (1%) was used to block for 30 min at room temperature (RT). The primary rabbit anti-human CD3 monoclonal antibody was incubated overnight at 4°C. Sections were then washed with PBS and incubated with an HRP-conjugated goat anti-rat secondary antibody (Kangchen Biotech, Shanghai, China) for 45 min at RT. The sections were visualized using a diaminobenzidine staining kit (Tiangen Biotech, Beijing, China) and then counterstained with hematoxylin, dehydrated, cleared, mounted and photographed. In evaluating CD3 expression, brown membrane staining was considered positive. </w:t>
      </w:r>
    </w:p>
    <w:p w:rsidR="002B5388" w:rsidRPr="00586D03" w:rsidRDefault="002B5388" w:rsidP="00A748E5">
      <w:pPr>
        <w:spacing w:line="480" w:lineRule="auto"/>
        <w:contextualSpacing/>
        <w:rPr>
          <w:rFonts w:ascii="Times New Roman" w:hAnsi="Times New Roman"/>
          <w:sz w:val="24"/>
          <w:szCs w:val="24"/>
        </w:rPr>
      </w:pPr>
    </w:p>
    <w:p w:rsidR="002B5388" w:rsidRPr="00586D03" w:rsidRDefault="002B5388" w:rsidP="00E4659F">
      <w:pPr>
        <w:widowControl/>
        <w:spacing w:line="480" w:lineRule="auto"/>
        <w:jc w:val="left"/>
        <w:rPr>
          <w:rFonts w:ascii="Times New Roman" w:hAnsi="Times New Roman"/>
          <w:b/>
          <w:sz w:val="24"/>
          <w:szCs w:val="24"/>
        </w:rPr>
      </w:pPr>
      <w:r w:rsidRPr="00586D03">
        <w:rPr>
          <w:rFonts w:ascii="Times New Roman" w:hAnsi="Times New Roman"/>
          <w:b/>
          <w:sz w:val="24"/>
          <w:szCs w:val="24"/>
        </w:rPr>
        <w:t>References</w:t>
      </w:r>
    </w:p>
    <w:p w:rsidR="002B5388" w:rsidRPr="00586D03" w:rsidRDefault="002B5388" w:rsidP="00E4659F">
      <w:pPr>
        <w:pStyle w:val="ListParagraph"/>
        <w:numPr>
          <w:ilvl w:val="0"/>
          <w:numId w:val="2"/>
          <w:numberingChange w:id="0" w:author="Unknown" w:date="2014-07-30T19:34:00Z" w:original="%1:1:0:."/>
        </w:numPr>
        <w:spacing w:line="480" w:lineRule="auto"/>
        <w:ind w:firstLineChars="0"/>
        <w:contextualSpacing/>
        <w:rPr>
          <w:rFonts w:ascii="Times New Roman" w:hAnsi="Times New Roman"/>
          <w:sz w:val="24"/>
          <w:szCs w:val="24"/>
        </w:rPr>
      </w:pPr>
      <w:r w:rsidRPr="00586D03">
        <w:rPr>
          <w:rFonts w:ascii="Times New Roman" w:hAnsi="Times New Roman"/>
          <w:kern w:val="0"/>
          <w:sz w:val="24"/>
          <w:szCs w:val="24"/>
          <w:lang w:val="fr-FR"/>
        </w:rPr>
        <w:t xml:space="preserve">Wang H, Zhou M, Shi BZ, et al. </w:t>
      </w:r>
      <w:r w:rsidRPr="00586D03">
        <w:rPr>
          <w:rFonts w:ascii="Times New Roman" w:hAnsi="Times New Roman"/>
          <w:kern w:val="0"/>
          <w:sz w:val="24"/>
          <w:szCs w:val="24"/>
        </w:rPr>
        <w:t>Identification of an exon 4-deletion variant of epidermal growth factor receptor with increased metastasis-promoting capacity. Neoplasia 2011;13:461-471.</w:t>
      </w:r>
    </w:p>
    <w:p w:rsidR="002B5388" w:rsidRPr="00586D03" w:rsidRDefault="002B5388" w:rsidP="00DE030E">
      <w:pPr>
        <w:pStyle w:val="ListParagraph"/>
        <w:numPr>
          <w:ilvl w:val="0"/>
          <w:numId w:val="2"/>
          <w:numberingChange w:id="1" w:author="Unknown" w:date="2014-07-30T01:09:00Z" w:original="%1:2:0:."/>
        </w:numPr>
        <w:spacing w:line="480" w:lineRule="auto"/>
        <w:ind w:firstLineChars="0"/>
        <w:contextualSpacing/>
      </w:pPr>
      <w:r w:rsidRPr="00586D03">
        <w:rPr>
          <w:rFonts w:ascii="Times New Roman" w:hAnsi="Times New Roman"/>
          <w:sz w:val="24"/>
          <w:szCs w:val="24"/>
        </w:rPr>
        <w:t xml:space="preserve">Zhang PN, Zhang PF, Shi BZ, et al. Galectin-1 overexpression promotes progression and chemoresistance to cisplatin in epithelial ovarian cancer. </w:t>
      </w:r>
      <w:r w:rsidRPr="00586D03">
        <w:rPr>
          <w:rFonts w:ascii="Times New Roman" w:hAnsi="Times New Roman"/>
          <w:sz w:val="24"/>
          <w:szCs w:val="24"/>
          <w:lang w:val="fr-FR"/>
        </w:rPr>
        <w:t>Cell Death Dis 2014; 5:e991.</w:t>
      </w:r>
    </w:p>
    <w:sectPr w:rsidR="002B5388" w:rsidRPr="00586D03" w:rsidSect="000006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88" w:rsidRDefault="002B5388" w:rsidP="002424AD">
      <w:r>
        <w:separator/>
      </w:r>
    </w:p>
  </w:endnote>
  <w:endnote w:type="continuationSeparator" w:id="0">
    <w:p w:rsidR="002B5388" w:rsidRDefault="002B5388" w:rsidP="0024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388" w:rsidRDefault="002B5388">
    <w:pPr>
      <w:pStyle w:val="Footer"/>
      <w:jc w:val="center"/>
    </w:pPr>
    <w:fldSimple w:instr=" PAGE   \* MERGEFORMAT ">
      <w:r w:rsidRPr="00075F94">
        <w:rPr>
          <w:noProof/>
          <w:lang w:val="zh-CN"/>
        </w:rPr>
        <w:t>3</w:t>
      </w:r>
    </w:fldSimple>
  </w:p>
  <w:p w:rsidR="002B5388" w:rsidRDefault="002B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88" w:rsidRDefault="002B5388" w:rsidP="002424AD">
      <w:r>
        <w:separator/>
      </w:r>
    </w:p>
  </w:footnote>
  <w:footnote w:type="continuationSeparator" w:id="0">
    <w:p w:rsidR="002B5388" w:rsidRDefault="002B5388" w:rsidP="00242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536C"/>
    <w:multiLevelType w:val="hybridMultilevel"/>
    <w:tmpl w:val="157EFF10"/>
    <w:lvl w:ilvl="0" w:tplc="F2FC66C6">
      <w:start w:val="1"/>
      <w:numFmt w:val="decimal"/>
      <w:lvlText w:val="%1."/>
      <w:lvlJc w:val="left"/>
      <w:pPr>
        <w:ind w:left="420" w:hanging="420"/>
      </w:pPr>
      <w:rPr>
        <w:rFonts w:cs="Times New Roman" w:hint="eastAsia"/>
        <w:vertAlign w:val="baseline"/>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1">
    <w:nsid w:val="385021FF"/>
    <w:multiLevelType w:val="hybridMultilevel"/>
    <w:tmpl w:val="A866F1E0"/>
    <w:lvl w:ilvl="0" w:tplc="9712F3E8">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F1B3736"/>
    <w:multiLevelType w:val="hybridMultilevel"/>
    <w:tmpl w:val="B87E4CD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1375875"/>
    <w:multiLevelType w:val="hybridMultilevel"/>
    <w:tmpl w:val="0D2A5B28"/>
    <w:lvl w:ilvl="0" w:tplc="9A9CD98A">
      <w:start w:val="1"/>
      <w:numFmt w:val="decimal"/>
      <w:pStyle w:val="EndnoteText"/>
      <w:lvlText w:val="%1."/>
      <w:lvlJc w:val="left"/>
      <w:pPr>
        <w:ind w:left="420" w:hanging="420"/>
      </w:pPr>
      <w:rPr>
        <w:rFonts w:cs="Times New Roman"/>
        <w:vertAlign w:val="baseli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4AD"/>
    <w:rsid w:val="00000672"/>
    <w:rsid w:val="00000FD1"/>
    <w:rsid w:val="000022AB"/>
    <w:rsid w:val="00012AA8"/>
    <w:rsid w:val="00017422"/>
    <w:rsid w:val="00022408"/>
    <w:rsid w:val="00033BB9"/>
    <w:rsid w:val="0005077E"/>
    <w:rsid w:val="00052DC9"/>
    <w:rsid w:val="00057765"/>
    <w:rsid w:val="0006168C"/>
    <w:rsid w:val="00061C3E"/>
    <w:rsid w:val="000626F1"/>
    <w:rsid w:val="00075F94"/>
    <w:rsid w:val="000A42C8"/>
    <w:rsid w:val="000B5192"/>
    <w:rsid w:val="000B7DED"/>
    <w:rsid w:val="000C4D63"/>
    <w:rsid w:val="000E473F"/>
    <w:rsid w:val="000F0FA1"/>
    <w:rsid w:val="000F2929"/>
    <w:rsid w:val="000F2D21"/>
    <w:rsid w:val="001050EC"/>
    <w:rsid w:val="00126ABE"/>
    <w:rsid w:val="00127512"/>
    <w:rsid w:val="00130051"/>
    <w:rsid w:val="001329F4"/>
    <w:rsid w:val="001668FA"/>
    <w:rsid w:val="00191DE7"/>
    <w:rsid w:val="001B0B12"/>
    <w:rsid w:val="001B6608"/>
    <w:rsid w:val="001C3219"/>
    <w:rsid w:val="001C3804"/>
    <w:rsid w:val="001C7C8B"/>
    <w:rsid w:val="001D1A22"/>
    <w:rsid w:val="001F06C0"/>
    <w:rsid w:val="00200DD8"/>
    <w:rsid w:val="00211D27"/>
    <w:rsid w:val="00220931"/>
    <w:rsid w:val="00230C63"/>
    <w:rsid w:val="00231155"/>
    <w:rsid w:val="00240234"/>
    <w:rsid w:val="002424AD"/>
    <w:rsid w:val="00262D0C"/>
    <w:rsid w:val="00263842"/>
    <w:rsid w:val="002757BC"/>
    <w:rsid w:val="002776F8"/>
    <w:rsid w:val="002906E0"/>
    <w:rsid w:val="0029150D"/>
    <w:rsid w:val="002A134F"/>
    <w:rsid w:val="002B5388"/>
    <w:rsid w:val="002B76CA"/>
    <w:rsid w:val="002C1B56"/>
    <w:rsid w:val="002D0621"/>
    <w:rsid w:val="002E5AFC"/>
    <w:rsid w:val="002E7376"/>
    <w:rsid w:val="002F7BE6"/>
    <w:rsid w:val="00306895"/>
    <w:rsid w:val="0031071A"/>
    <w:rsid w:val="0031796F"/>
    <w:rsid w:val="003247B2"/>
    <w:rsid w:val="00327FCB"/>
    <w:rsid w:val="00334D1A"/>
    <w:rsid w:val="00337EB2"/>
    <w:rsid w:val="003421DE"/>
    <w:rsid w:val="00344003"/>
    <w:rsid w:val="00353D52"/>
    <w:rsid w:val="003578D6"/>
    <w:rsid w:val="003A02BF"/>
    <w:rsid w:val="003A2636"/>
    <w:rsid w:val="003B6DB3"/>
    <w:rsid w:val="003C0F9D"/>
    <w:rsid w:val="003C5550"/>
    <w:rsid w:val="003C64C8"/>
    <w:rsid w:val="003D5706"/>
    <w:rsid w:val="00405F80"/>
    <w:rsid w:val="00413CE8"/>
    <w:rsid w:val="00423544"/>
    <w:rsid w:val="00424381"/>
    <w:rsid w:val="00431F0B"/>
    <w:rsid w:val="00440BBE"/>
    <w:rsid w:val="00441BB0"/>
    <w:rsid w:val="00441CB0"/>
    <w:rsid w:val="00466ABB"/>
    <w:rsid w:val="004845CE"/>
    <w:rsid w:val="00484745"/>
    <w:rsid w:val="0049096A"/>
    <w:rsid w:val="004B1294"/>
    <w:rsid w:val="004B1F75"/>
    <w:rsid w:val="004D1A55"/>
    <w:rsid w:val="004E534C"/>
    <w:rsid w:val="004F4A00"/>
    <w:rsid w:val="0050224A"/>
    <w:rsid w:val="00515965"/>
    <w:rsid w:val="005167F5"/>
    <w:rsid w:val="005303AF"/>
    <w:rsid w:val="00543751"/>
    <w:rsid w:val="00543842"/>
    <w:rsid w:val="00553ECF"/>
    <w:rsid w:val="00560EA7"/>
    <w:rsid w:val="005715F4"/>
    <w:rsid w:val="0057544C"/>
    <w:rsid w:val="00575840"/>
    <w:rsid w:val="005773A8"/>
    <w:rsid w:val="00583DCB"/>
    <w:rsid w:val="0058457E"/>
    <w:rsid w:val="00586D03"/>
    <w:rsid w:val="00590A0D"/>
    <w:rsid w:val="00591AE1"/>
    <w:rsid w:val="00593C63"/>
    <w:rsid w:val="00595C69"/>
    <w:rsid w:val="005A3D07"/>
    <w:rsid w:val="005C0429"/>
    <w:rsid w:val="005C54A8"/>
    <w:rsid w:val="005F7693"/>
    <w:rsid w:val="005F7B63"/>
    <w:rsid w:val="0060054B"/>
    <w:rsid w:val="006010F0"/>
    <w:rsid w:val="00602A99"/>
    <w:rsid w:val="00602C35"/>
    <w:rsid w:val="00606816"/>
    <w:rsid w:val="00606F6A"/>
    <w:rsid w:val="0061610E"/>
    <w:rsid w:val="00625C5C"/>
    <w:rsid w:val="0063072E"/>
    <w:rsid w:val="006315B4"/>
    <w:rsid w:val="006333E6"/>
    <w:rsid w:val="00642B67"/>
    <w:rsid w:val="00647912"/>
    <w:rsid w:val="00665E31"/>
    <w:rsid w:val="00667536"/>
    <w:rsid w:val="00672A34"/>
    <w:rsid w:val="00673823"/>
    <w:rsid w:val="006C486F"/>
    <w:rsid w:val="006F1AE4"/>
    <w:rsid w:val="006F331C"/>
    <w:rsid w:val="007045AD"/>
    <w:rsid w:val="00710C63"/>
    <w:rsid w:val="00712466"/>
    <w:rsid w:val="00726753"/>
    <w:rsid w:val="00741FFA"/>
    <w:rsid w:val="0074602D"/>
    <w:rsid w:val="00771894"/>
    <w:rsid w:val="00772E0D"/>
    <w:rsid w:val="00784D31"/>
    <w:rsid w:val="007A6C96"/>
    <w:rsid w:val="007B0B66"/>
    <w:rsid w:val="007B37C3"/>
    <w:rsid w:val="007C2924"/>
    <w:rsid w:val="007D6C40"/>
    <w:rsid w:val="007F4681"/>
    <w:rsid w:val="007F533F"/>
    <w:rsid w:val="007F6871"/>
    <w:rsid w:val="00802E3C"/>
    <w:rsid w:val="00804DA4"/>
    <w:rsid w:val="00806298"/>
    <w:rsid w:val="0083627A"/>
    <w:rsid w:val="00836CD0"/>
    <w:rsid w:val="00843C65"/>
    <w:rsid w:val="0084675B"/>
    <w:rsid w:val="00846F86"/>
    <w:rsid w:val="008734E8"/>
    <w:rsid w:val="00881F37"/>
    <w:rsid w:val="008A5758"/>
    <w:rsid w:val="008B1413"/>
    <w:rsid w:val="008B733D"/>
    <w:rsid w:val="008C5A9F"/>
    <w:rsid w:val="008E1840"/>
    <w:rsid w:val="008F77E3"/>
    <w:rsid w:val="009132AA"/>
    <w:rsid w:val="009150D8"/>
    <w:rsid w:val="0092713F"/>
    <w:rsid w:val="00942CC7"/>
    <w:rsid w:val="009458EE"/>
    <w:rsid w:val="00964E37"/>
    <w:rsid w:val="00973FAB"/>
    <w:rsid w:val="00984561"/>
    <w:rsid w:val="009B67CB"/>
    <w:rsid w:val="009D65BC"/>
    <w:rsid w:val="009E3D36"/>
    <w:rsid w:val="009E7040"/>
    <w:rsid w:val="009F4E83"/>
    <w:rsid w:val="00A31137"/>
    <w:rsid w:val="00A37BFA"/>
    <w:rsid w:val="00A44FE4"/>
    <w:rsid w:val="00A5065D"/>
    <w:rsid w:val="00A748E5"/>
    <w:rsid w:val="00A856FD"/>
    <w:rsid w:val="00A87DF0"/>
    <w:rsid w:val="00A9387D"/>
    <w:rsid w:val="00AA4EEB"/>
    <w:rsid w:val="00AB6865"/>
    <w:rsid w:val="00AC7AA9"/>
    <w:rsid w:val="00AE288D"/>
    <w:rsid w:val="00AF28AA"/>
    <w:rsid w:val="00B04B26"/>
    <w:rsid w:val="00B544FE"/>
    <w:rsid w:val="00B669DC"/>
    <w:rsid w:val="00B743B8"/>
    <w:rsid w:val="00B901BE"/>
    <w:rsid w:val="00BA2B8C"/>
    <w:rsid w:val="00BA5C4D"/>
    <w:rsid w:val="00BB2357"/>
    <w:rsid w:val="00BB488A"/>
    <w:rsid w:val="00BC7B86"/>
    <w:rsid w:val="00BC7E6D"/>
    <w:rsid w:val="00BD2325"/>
    <w:rsid w:val="00BE27EB"/>
    <w:rsid w:val="00BF5732"/>
    <w:rsid w:val="00C02F39"/>
    <w:rsid w:val="00C042EA"/>
    <w:rsid w:val="00C110B4"/>
    <w:rsid w:val="00C24F8D"/>
    <w:rsid w:val="00C2517A"/>
    <w:rsid w:val="00C36583"/>
    <w:rsid w:val="00C72B7C"/>
    <w:rsid w:val="00C76918"/>
    <w:rsid w:val="00C81D75"/>
    <w:rsid w:val="00C87B69"/>
    <w:rsid w:val="00C90F5B"/>
    <w:rsid w:val="00C9112D"/>
    <w:rsid w:val="00C915C1"/>
    <w:rsid w:val="00CA3919"/>
    <w:rsid w:val="00CB5468"/>
    <w:rsid w:val="00CC2461"/>
    <w:rsid w:val="00CF1F1F"/>
    <w:rsid w:val="00CF26D7"/>
    <w:rsid w:val="00D05522"/>
    <w:rsid w:val="00D11DF8"/>
    <w:rsid w:val="00D14524"/>
    <w:rsid w:val="00D20DF3"/>
    <w:rsid w:val="00D31C36"/>
    <w:rsid w:val="00D34FEC"/>
    <w:rsid w:val="00D351D7"/>
    <w:rsid w:val="00D6054C"/>
    <w:rsid w:val="00D720B1"/>
    <w:rsid w:val="00D73A43"/>
    <w:rsid w:val="00D8161B"/>
    <w:rsid w:val="00D8240A"/>
    <w:rsid w:val="00DC6D1F"/>
    <w:rsid w:val="00DD7BBA"/>
    <w:rsid w:val="00DD7D4E"/>
    <w:rsid w:val="00DE030E"/>
    <w:rsid w:val="00DE4545"/>
    <w:rsid w:val="00DE57B1"/>
    <w:rsid w:val="00DF2D30"/>
    <w:rsid w:val="00E011BA"/>
    <w:rsid w:val="00E04D44"/>
    <w:rsid w:val="00E211BC"/>
    <w:rsid w:val="00E3678B"/>
    <w:rsid w:val="00E449B8"/>
    <w:rsid w:val="00E4659F"/>
    <w:rsid w:val="00E55F0D"/>
    <w:rsid w:val="00E56A68"/>
    <w:rsid w:val="00E60B8C"/>
    <w:rsid w:val="00E73617"/>
    <w:rsid w:val="00E76344"/>
    <w:rsid w:val="00E80C79"/>
    <w:rsid w:val="00E86D3B"/>
    <w:rsid w:val="00E87EA0"/>
    <w:rsid w:val="00EA25BA"/>
    <w:rsid w:val="00EB118E"/>
    <w:rsid w:val="00EB7F6F"/>
    <w:rsid w:val="00EC660E"/>
    <w:rsid w:val="00EE20E9"/>
    <w:rsid w:val="00EE5B36"/>
    <w:rsid w:val="00EF02B2"/>
    <w:rsid w:val="00F05190"/>
    <w:rsid w:val="00F30E28"/>
    <w:rsid w:val="00F311FF"/>
    <w:rsid w:val="00F40CBC"/>
    <w:rsid w:val="00F53BD5"/>
    <w:rsid w:val="00F569CE"/>
    <w:rsid w:val="00F57EAD"/>
    <w:rsid w:val="00F61415"/>
    <w:rsid w:val="00F6242A"/>
    <w:rsid w:val="00F65E58"/>
    <w:rsid w:val="00F677E2"/>
    <w:rsid w:val="00F769E1"/>
    <w:rsid w:val="00F8244C"/>
    <w:rsid w:val="00F84027"/>
    <w:rsid w:val="00F86332"/>
    <w:rsid w:val="00F87F54"/>
    <w:rsid w:val="00F9256F"/>
    <w:rsid w:val="00F925E2"/>
    <w:rsid w:val="00F936BA"/>
    <w:rsid w:val="00F94BEB"/>
    <w:rsid w:val="00FB02F5"/>
    <w:rsid w:val="00FB6011"/>
    <w:rsid w:val="00FB7EE4"/>
    <w:rsid w:val="00FD0B16"/>
    <w:rsid w:val="00FD39B5"/>
    <w:rsid w:val="00FD74E6"/>
    <w:rsid w:val="00FE3FFB"/>
    <w:rsid w:val="00FE40AD"/>
    <w:rsid w:val="00FE57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A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4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424AD"/>
    <w:rPr>
      <w:rFonts w:cs="Times New Roman"/>
      <w:sz w:val="18"/>
      <w:szCs w:val="18"/>
    </w:rPr>
  </w:style>
  <w:style w:type="paragraph" w:styleId="Footer">
    <w:name w:val="footer"/>
    <w:basedOn w:val="Normal"/>
    <w:link w:val="FooterChar"/>
    <w:uiPriority w:val="99"/>
    <w:rsid w:val="002424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424AD"/>
    <w:rPr>
      <w:rFonts w:cs="Times New Roman"/>
      <w:sz w:val="18"/>
      <w:szCs w:val="18"/>
    </w:rPr>
  </w:style>
  <w:style w:type="character" w:styleId="Emphasis">
    <w:name w:val="Emphasis"/>
    <w:basedOn w:val="DefaultParagraphFont"/>
    <w:uiPriority w:val="99"/>
    <w:qFormat/>
    <w:rsid w:val="002424AD"/>
    <w:rPr>
      <w:rFonts w:cs="Times New Roman"/>
      <w:i/>
    </w:rPr>
  </w:style>
  <w:style w:type="paragraph" w:styleId="EndnoteText">
    <w:name w:val="endnote text"/>
    <w:basedOn w:val="Normal"/>
    <w:link w:val="EndnoteTextChar"/>
    <w:uiPriority w:val="99"/>
    <w:rsid w:val="00F769E1"/>
    <w:pPr>
      <w:numPr>
        <w:numId w:val="2"/>
      </w:numPr>
      <w:contextualSpacing/>
      <w:jc w:val="left"/>
    </w:pPr>
    <w:rPr>
      <w:rFonts w:ascii="Times New Roman" w:hAnsi="Times New Roman"/>
      <w:sz w:val="18"/>
      <w:szCs w:val="18"/>
    </w:rPr>
  </w:style>
  <w:style w:type="character" w:customStyle="1" w:styleId="EndnoteTextChar">
    <w:name w:val="Endnote Text Char"/>
    <w:basedOn w:val="DefaultParagraphFont"/>
    <w:link w:val="EndnoteText"/>
    <w:uiPriority w:val="99"/>
    <w:locked/>
    <w:rsid w:val="00F769E1"/>
    <w:rPr>
      <w:rFonts w:ascii="Times New Roman" w:eastAsia="宋体" w:hAnsi="Times New Roman" w:cs="Times New Roman"/>
      <w:sz w:val="18"/>
      <w:szCs w:val="18"/>
    </w:rPr>
  </w:style>
  <w:style w:type="character" w:styleId="EndnoteReference">
    <w:name w:val="endnote reference"/>
    <w:basedOn w:val="DefaultParagraphFont"/>
    <w:uiPriority w:val="99"/>
    <w:rsid w:val="002424AD"/>
    <w:rPr>
      <w:rFonts w:cs="Times New Roman"/>
      <w:vertAlign w:val="superscript"/>
    </w:rPr>
  </w:style>
  <w:style w:type="character" w:customStyle="1" w:styleId="apple-converted-space">
    <w:name w:val="apple-converted-space"/>
    <w:basedOn w:val="DefaultParagraphFont"/>
    <w:uiPriority w:val="99"/>
    <w:rsid w:val="002424AD"/>
    <w:rPr>
      <w:rFonts w:cs="Times New Roman"/>
    </w:rPr>
  </w:style>
  <w:style w:type="paragraph" w:styleId="ListParagraph">
    <w:name w:val="List Paragraph"/>
    <w:basedOn w:val="Normal"/>
    <w:uiPriority w:val="99"/>
    <w:qFormat/>
    <w:rsid w:val="00EB7F6F"/>
    <w:pPr>
      <w:ind w:firstLineChars="200" w:firstLine="420"/>
    </w:pPr>
  </w:style>
  <w:style w:type="paragraph" w:styleId="FootnoteText">
    <w:name w:val="footnote text"/>
    <w:basedOn w:val="Normal"/>
    <w:link w:val="FootnoteTextChar"/>
    <w:uiPriority w:val="99"/>
    <w:semiHidden/>
    <w:rsid w:val="00EB7F6F"/>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EB7F6F"/>
    <w:rPr>
      <w:rFonts w:ascii="Calibri" w:eastAsia="宋体" w:hAnsi="Calibri" w:cs="Times New Roman"/>
      <w:sz w:val="18"/>
      <w:szCs w:val="18"/>
    </w:rPr>
  </w:style>
  <w:style w:type="character" w:styleId="FootnoteReference">
    <w:name w:val="footnote reference"/>
    <w:basedOn w:val="DefaultParagraphFont"/>
    <w:uiPriority w:val="99"/>
    <w:semiHidden/>
    <w:rsid w:val="00EB7F6F"/>
    <w:rPr>
      <w:rFonts w:cs="Times New Roman"/>
      <w:vertAlign w:val="superscript"/>
    </w:rPr>
  </w:style>
  <w:style w:type="paragraph" w:styleId="DocumentMap">
    <w:name w:val="Document Map"/>
    <w:basedOn w:val="Normal"/>
    <w:link w:val="DocumentMapChar"/>
    <w:uiPriority w:val="99"/>
    <w:semiHidden/>
    <w:rsid w:val="00F769E1"/>
    <w:rPr>
      <w:rFonts w:ascii="宋体"/>
      <w:sz w:val="18"/>
      <w:szCs w:val="18"/>
    </w:rPr>
  </w:style>
  <w:style w:type="character" w:customStyle="1" w:styleId="DocumentMapChar">
    <w:name w:val="Document Map Char"/>
    <w:basedOn w:val="DefaultParagraphFont"/>
    <w:link w:val="DocumentMap"/>
    <w:uiPriority w:val="99"/>
    <w:semiHidden/>
    <w:locked/>
    <w:rsid w:val="00F769E1"/>
    <w:rPr>
      <w:rFonts w:ascii="宋体" w:eastAsia="宋体" w:hAnsi="Calibri" w:cs="Times New Roman"/>
      <w:sz w:val="18"/>
      <w:szCs w:val="18"/>
    </w:rPr>
  </w:style>
  <w:style w:type="paragraph" w:styleId="BalloonText">
    <w:name w:val="Balloon Text"/>
    <w:basedOn w:val="Normal"/>
    <w:link w:val="BalloonTextChar"/>
    <w:uiPriority w:val="99"/>
    <w:semiHidden/>
    <w:rsid w:val="00A5065D"/>
    <w:rPr>
      <w:sz w:val="18"/>
      <w:szCs w:val="18"/>
    </w:rPr>
  </w:style>
  <w:style w:type="character" w:customStyle="1" w:styleId="BalloonTextChar">
    <w:name w:val="Balloon Text Char"/>
    <w:basedOn w:val="DefaultParagraphFont"/>
    <w:link w:val="BalloonText"/>
    <w:uiPriority w:val="99"/>
    <w:semiHidden/>
    <w:locked/>
    <w:rsid w:val="00A5065D"/>
    <w:rPr>
      <w:rFonts w:ascii="Calibri" w:eastAsia="宋体" w:hAnsi="Calibri" w:cs="Times New Roman"/>
      <w:sz w:val="18"/>
      <w:szCs w:val="18"/>
    </w:rPr>
  </w:style>
  <w:style w:type="paragraph" w:styleId="NoSpacing">
    <w:name w:val="No Spacing"/>
    <w:link w:val="NoSpacingChar"/>
    <w:uiPriority w:val="99"/>
    <w:qFormat/>
    <w:rsid w:val="008A5758"/>
    <w:rPr>
      <w:kern w:val="0"/>
      <w:sz w:val="22"/>
    </w:rPr>
  </w:style>
  <w:style w:type="character" w:customStyle="1" w:styleId="NoSpacingChar">
    <w:name w:val="No Spacing Char"/>
    <w:basedOn w:val="DefaultParagraphFont"/>
    <w:link w:val="NoSpacing"/>
    <w:uiPriority w:val="99"/>
    <w:locked/>
    <w:rsid w:val="008A5758"/>
    <w:rPr>
      <w:rFonts w:cs="Times New Roman"/>
      <w:sz w:val="22"/>
      <w:szCs w:val="22"/>
      <w:lang w:val="en-US" w:eastAsia="zh-CN" w:bidi="ar-SA"/>
    </w:rPr>
  </w:style>
  <w:style w:type="paragraph" w:customStyle="1" w:styleId="a">
    <w:name w:val="列出段落"/>
    <w:basedOn w:val="Normal"/>
    <w:uiPriority w:val="99"/>
    <w:rsid w:val="00E011BA"/>
    <w:pPr>
      <w:ind w:firstLineChars="200" w:firstLine="420"/>
    </w:pPr>
  </w:style>
</w:styles>
</file>

<file path=word/webSettings.xml><?xml version="1.0" encoding="utf-8"?>
<w:webSettings xmlns:r="http://schemas.openxmlformats.org/officeDocument/2006/relationships" xmlns:w="http://schemas.openxmlformats.org/wordprocessingml/2006/main">
  <w:divs>
    <w:div w:id="746997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818</Words>
  <Characters>4665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dc:title>
  <dc:subject/>
  <dc:creator>微软用户</dc:creator>
  <cp:keywords/>
  <dc:description/>
  <cp:lastModifiedBy>ghp</cp:lastModifiedBy>
  <cp:revision>5</cp:revision>
  <dcterms:created xsi:type="dcterms:W3CDTF">2014-07-30T11:33:00Z</dcterms:created>
  <dcterms:modified xsi:type="dcterms:W3CDTF">2014-08-25T02:33:00Z</dcterms:modified>
</cp:coreProperties>
</file>