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F9" w:rsidRPr="00353AF9" w:rsidRDefault="00353AF9" w:rsidP="00353AF9">
      <w:pPr>
        <w:spacing w:line="480" w:lineRule="auto"/>
        <w:jc w:val="both"/>
        <w:rPr>
          <w:b/>
          <w:lang w:val="en-GB"/>
        </w:rPr>
      </w:pPr>
      <w:r w:rsidRPr="00353AF9">
        <w:rPr>
          <w:b/>
          <w:lang w:val="en-US"/>
        </w:rPr>
        <w:t>Supplementary Methods</w:t>
      </w:r>
    </w:p>
    <w:p w:rsidR="00353AF9" w:rsidRDefault="00353AF9" w:rsidP="00353AF9">
      <w:pPr>
        <w:spacing w:line="480" w:lineRule="auto"/>
        <w:jc w:val="both"/>
        <w:rPr>
          <w:b/>
          <w:lang w:val="en-GB"/>
        </w:rPr>
      </w:pPr>
    </w:p>
    <w:p w:rsidR="00BE63ED" w:rsidRPr="00DA520E" w:rsidRDefault="00BE63ED" w:rsidP="00BE63ED">
      <w:pPr>
        <w:spacing w:line="480" w:lineRule="auto"/>
        <w:jc w:val="both"/>
        <w:rPr>
          <w:b/>
          <w:lang w:val="en-US"/>
        </w:rPr>
      </w:pPr>
      <w:r w:rsidRPr="00DA520E">
        <w:rPr>
          <w:b/>
          <w:lang w:val="en-US"/>
        </w:rPr>
        <w:t>HLA Genotyping</w:t>
      </w:r>
    </w:p>
    <w:p w:rsidR="00BE63ED" w:rsidRDefault="00BE63ED" w:rsidP="00BE63ED">
      <w:pPr>
        <w:spacing w:line="480" w:lineRule="auto"/>
        <w:jc w:val="both"/>
        <w:rPr>
          <w:lang w:val="en-GB"/>
        </w:rPr>
      </w:pPr>
      <w:r w:rsidRPr="00454AB9">
        <w:rPr>
          <w:lang w:val="en-US"/>
        </w:rPr>
        <w:t xml:space="preserve">Genomic DNA was isolated </w:t>
      </w:r>
      <w:r>
        <w:rPr>
          <w:lang w:val="en-US"/>
        </w:rPr>
        <w:t xml:space="preserve">from non-fixed peripheral blood cells and melanoma cell lines </w:t>
      </w:r>
      <w:r w:rsidRPr="00454AB9">
        <w:rPr>
          <w:lang w:val="en-US"/>
        </w:rPr>
        <w:t xml:space="preserve">using the </w:t>
      </w:r>
      <w:proofErr w:type="spellStart"/>
      <w:r w:rsidRPr="00454AB9">
        <w:rPr>
          <w:lang w:val="en-US"/>
        </w:rPr>
        <w:t>QIAamp</w:t>
      </w:r>
      <w:proofErr w:type="spellEnd"/>
      <w:r w:rsidRPr="00454AB9">
        <w:rPr>
          <w:lang w:val="en-US"/>
        </w:rPr>
        <w:t xml:space="preserve"> DNA Mini Kit (</w:t>
      </w:r>
      <w:proofErr w:type="spellStart"/>
      <w:r w:rsidRPr="00454AB9">
        <w:rPr>
          <w:lang w:val="en-US"/>
        </w:rPr>
        <w:t>Qiagen</w:t>
      </w:r>
      <w:proofErr w:type="spellEnd"/>
      <w:r w:rsidRPr="00454AB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54AB9">
            <w:rPr>
              <w:lang w:val="en-US"/>
            </w:rPr>
            <w:t>Hilden</w:t>
          </w:r>
        </w:smartTag>
        <w:r w:rsidRPr="00454AB9">
          <w:rPr>
            <w:lang w:val="en-US"/>
          </w:rPr>
          <w:t xml:space="preserve">, </w:t>
        </w:r>
        <w:smartTag w:uri="urn:schemas-microsoft-com:office:smarttags" w:element="country-region">
          <w:r w:rsidRPr="00454AB9">
            <w:rPr>
              <w:lang w:val="en-US"/>
            </w:rPr>
            <w:t>Germany</w:t>
          </w:r>
        </w:smartTag>
      </w:smartTag>
      <w:r w:rsidRPr="00454AB9">
        <w:rPr>
          <w:lang w:val="en-US"/>
        </w:rPr>
        <w:t>) according to the manufacturer’s instructions.</w:t>
      </w:r>
      <w:r>
        <w:rPr>
          <w:lang w:val="en-US"/>
        </w:rPr>
        <w:t xml:space="preserve"> </w:t>
      </w:r>
      <w:r w:rsidRPr="003C5E18">
        <w:rPr>
          <w:lang w:val="en-US"/>
        </w:rPr>
        <w:t xml:space="preserve">Molecular HLA class I </w:t>
      </w:r>
      <w:r>
        <w:rPr>
          <w:lang w:val="en-US"/>
        </w:rPr>
        <w:t>geno</w:t>
      </w:r>
      <w:r w:rsidRPr="003C5E18">
        <w:rPr>
          <w:lang w:val="en-US"/>
        </w:rPr>
        <w:t>typing was performed at the Institute for Immunology and Genetics Kaiserslautern (Kaiserslautern, Germany)</w:t>
      </w:r>
      <w:r>
        <w:rPr>
          <w:lang w:val="en-US"/>
        </w:rPr>
        <w:t>.</w:t>
      </w:r>
    </w:p>
    <w:p w:rsidR="00BE63ED" w:rsidRDefault="00BE63ED" w:rsidP="00353AF9">
      <w:pPr>
        <w:spacing w:line="480" w:lineRule="auto"/>
        <w:jc w:val="both"/>
        <w:rPr>
          <w:b/>
          <w:lang w:val="en-GB"/>
        </w:rPr>
      </w:pPr>
    </w:p>
    <w:p w:rsidR="000427CB" w:rsidRDefault="000427CB" w:rsidP="000427CB">
      <w:pPr>
        <w:pStyle w:val="Textkrper"/>
        <w:rPr>
          <w:b/>
          <w:sz w:val="24"/>
          <w:lang w:val="en-US"/>
        </w:rPr>
      </w:pPr>
      <w:r w:rsidRPr="00A31E6C">
        <w:rPr>
          <w:b/>
          <w:sz w:val="24"/>
          <w:lang w:val="en-US"/>
        </w:rPr>
        <w:t>Immunohistochemistry</w:t>
      </w:r>
    </w:p>
    <w:p w:rsidR="000427CB" w:rsidRDefault="000427CB" w:rsidP="000427CB">
      <w:pPr>
        <w:pStyle w:val="Textkrper"/>
        <w:rPr>
          <w:sz w:val="24"/>
          <w:lang w:val="en-GB"/>
        </w:rPr>
      </w:pPr>
      <w:r>
        <w:rPr>
          <w:sz w:val="24"/>
          <w:lang w:val="en-GB"/>
        </w:rPr>
        <w:t xml:space="preserve">On serial </w:t>
      </w:r>
      <w:r w:rsidRPr="00A31E6C">
        <w:rPr>
          <w:sz w:val="24"/>
          <w:lang w:val="en-GB"/>
        </w:rPr>
        <w:t>cryostat tiss</w:t>
      </w:r>
      <w:r>
        <w:rPr>
          <w:sz w:val="24"/>
          <w:lang w:val="en-GB"/>
        </w:rPr>
        <w:t xml:space="preserve">ue sections expression of specific marker proteins was detected with the indicated primary </w:t>
      </w:r>
      <w:proofErr w:type="spellStart"/>
      <w:r>
        <w:rPr>
          <w:sz w:val="24"/>
          <w:lang w:val="en-GB"/>
        </w:rPr>
        <w:t>mAb</w:t>
      </w:r>
      <w:proofErr w:type="spellEnd"/>
      <w:r>
        <w:rPr>
          <w:sz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 combination with a </w:t>
      </w:r>
      <w:proofErr w:type="spellStart"/>
      <w:r>
        <w:rPr>
          <w:sz w:val="24"/>
          <w:lang w:val="en-GB"/>
        </w:rPr>
        <w:t>biotinylated</w:t>
      </w:r>
      <w:proofErr w:type="spellEnd"/>
      <w:r>
        <w:rPr>
          <w:sz w:val="24"/>
          <w:lang w:val="en-GB"/>
        </w:rPr>
        <w:t xml:space="preserve"> goat anti-mouse antibody (Jackson </w:t>
      </w:r>
      <w:proofErr w:type="spellStart"/>
      <w:r>
        <w:rPr>
          <w:sz w:val="24"/>
          <w:lang w:val="en-GB"/>
        </w:rPr>
        <w:t>ImmunoResearch</w:t>
      </w:r>
      <w:proofErr w:type="spellEnd"/>
      <w:r>
        <w:rPr>
          <w:sz w:val="24"/>
          <w:lang w:val="en-GB"/>
        </w:rPr>
        <w:t xml:space="preserve">). Antibody binding was </w:t>
      </w:r>
      <w:r w:rsidRPr="007934BB">
        <w:rPr>
          <w:sz w:val="24"/>
          <w:szCs w:val="24"/>
          <w:lang w:val="en-US"/>
        </w:rPr>
        <w:t xml:space="preserve">visualized using </w:t>
      </w:r>
      <w:r w:rsidRPr="007934BB">
        <w:rPr>
          <w:sz w:val="24"/>
          <w:szCs w:val="24"/>
          <w:lang w:val="en-GB"/>
        </w:rPr>
        <w:t xml:space="preserve">the </w:t>
      </w:r>
      <w:bookmarkStart w:id="0" w:name="OLE_LINK5"/>
      <w:bookmarkStart w:id="1" w:name="OLE_LINK6"/>
      <w:proofErr w:type="spellStart"/>
      <w:r w:rsidRPr="007934BB">
        <w:rPr>
          <w:sz w:val="24"/>
          <w:szCs w:val="24"/>
          <w:lang w:val="en-GB"/>
        </w:rPr>
        <w:t>Vectastain</w:t>
      </w:r>
      <w:proofErr w:type="spellEnd"/>
      <w:r>
        <w:rPr>
          <w:sz w:val="24"/>
          <w:lang w:val="en-GB"/>
        </w:rPr>
        <w:t xml:space="preserve"> ABC-AP kit </w:t>
      </w:r>
      <w:bookmarkEnd w:id="0"/>
      <w:bookmarkEnd w:id="1"/>
      <w:r>
        <w:rPr>
          <w:sz w:val="24"/>
          <w:lang w:val="en-GB"/>
        </w:rPr>
        <w:t>(Vector) according to the manufacturer’s instructions.</w:t>
      </w:r>
    </w:p>
    <w:p w:rsidR="000427CB" w:rsidRDefault="000427CB" w:rsidP="00353AF9">
      <w:pPr>
        <w:spacing w:line="480" w:lineRule="auto"/>
        <w:jc w:val="both"/>
        <w:rPr>
          <w:b/>
          <w:lang w:val="en-GB"/>
        </w:rPr>
      </w:pPr>
    </w:p>
    <w:p w:rsidR="004A6C97" w:rsidRDefault="004A6C97" w:rsidP="004A6C97">
      <w:pPr>
        <w:spacing w:line="480" w:lineRule="auto"/>
        <w:jc w:val="both"/>
        <w:rPr>
          <w:b/>
          <w:lang w:val="en-US"/>
        </w:rPr>
      </w:pPr>
      <w:r w:rsidRPr="00040777">
        <w:rPr>
          <w:b/>
          <w:lang w:val="en-US"/>
        </w:rPr>
        <w:t>Western blot</w:t>
      </w:r>
      <w:r>
        <w:rPr>
          <w:b/>
          <w:lang w:val="en-US"/>
        </w:rPr>
        <w:t xml:space="preserve"> analysis</w:t>
      </w:r>
    </w:p>
    <w:p w:rsidR="004A6C97" w:rsidRDefault="004A6C97" w:rsidP="004A6C97">
      <w:pPr>
        <w:spacing w:line="480" w:lineRule="auto"/>
        <w:jc w:val="both"/>
        <w:rPr>
          <w:lang w:val="en-US"/>
        </w:rPr>
      </w:pPr>
      <w:r>
        <w:rPr>
          <w:lang w:val="en-US"/>
        </w:rPr>
        <w:t>Proteins from t</w:t>
      </w:r>
      <w:r w:rsidRPr="00040777">
        <w:rPr>
          <w:lang w:val="en-US"/>
        </w:rPr>
        <w:t>umor cell</w:t>
      </w:r>
      <w:r>
        <w:rPr>
          <w:lang w:val="en-US"/>
        </w:rPr>
        <w:t xml:space="preserve"> lysates</w:t>
      </w:r>
      <w:r w:rsidRPr="00040777">
        <w:rPr>
          <w:lang w:val="en-US"/>
        </w:rPr>
        <w:t xml:space="preserve"> were separated </w:t>
      </w:r>
      <w:r>
        <w:rPr>
          <w:lang w:val="en-US"/>
        </w:rPr>
        <w:t>by</w:t>
      </w:r>
      <w:r w:rsidRPr="00040777">
        <w:rPr>
          <w:lang w:val="en-US"/>
        </w:rPr>
        <w:t xml:space="preserve"> SDS</w:t>
      </w:r>
      <w:r>
        <w:rPr>
          <w:lang w:val="en-US"/>
        </w:rPr>
        <w:t xml:space="preserve">-PAGE, </w:t>
      </w:r>
      <w:r w:rsidRPr="00040777">
        <w:rPr>
          <w:lang w:val="en-US"/>
        </w:rPr>
        <w:t>blotted</w:t>
      </w:r>
      <w:r>
        <w:rPr>
          <w:lang w:val="en-US"/>
        </w:rPr>
        <w:t xml:space="preserve"> on nitrocellulose membranes and</w:t>
      </w:r>
      <w:r w:rsidRPr="00040777">
        <w:rPr>
          <w:lang w:val="en-US"/>
        </w:rPr>
        <w:t xml:space="preserve"> probed </w:t>
      </w:r>
      <w:r>
        <w:rPr>
          <w:lang w:val="en-US"/>
        </w:rPr>
        <w:t>with</w:t>
      </w:r>
      <w:r w:rsidRPr="00040777">
        <w:rPr>
          <w:lang w:val="en-US"/>
        </w:rPr>
        <w:t xml:space="preserve"> the </w:t>
      </w:r>
      <w:r>
        <w:rPr>
          <w:lang w:val="en-US"/>
        </w:rPr>
        <w:t xml:space="preserve">specific </w:t>
      </w:r>
      <w:r w:rsidRPr="00040777">
        <w:rPr>
          <w:lang w:val="en-US"/>
        </w:rPr>
        <w:t>primary antibodies</w:t>
      </w:r>
      <w:r>
        <w:rPr>
          <w:lang w:val="en-US"/>
        </w:rPr>
        <w:t xml:space="preserve">. </w:t>
      </w:r>
      <w:r w:rsidRPr="000A1C20">
        <w:rPr>
          <w:lang w:val="en-US"/>
        </w:rPr>
        <w:t>After washing, membranes wer</w:t>
      </w:r>
      <w:r w:rsidRPr="00040777">
        <w:rPr>
          <w:lang w:val="en-US"/>
        </w:rPr>
        <w:t xml:space="preserve">e </w:t>
      </w:r>
      <w:r>
        <w:rPr>
          <w:lang w:val="en-US"/>
        </w:rPr>
        <w:t>incubated</w:t>
      </w:r>
      <w:r w:rsidRPr="00040777">
        <w:rPr>
          <w:lang w:val="en-US"/>
        </w:rPr>
        <w:t xml:space="preserve"> with the appropriate secondary antibodies linked to horseradish peroxidase (HRP). Antibody binding was visualized </w:t>
      </w:r>
      <w:r>
        <w:rPr>
          <w:lang w:val="en-US"/>
        </w:rPr>
        <w:t xml:space="preserve">with </w:t>
      </w:r>
      <w:r w:rsidRPr="00040777">
        <w:rPr>
          <w:lang w:val="en-US"/>
        </w:rPr>
        <w:t xml:space="preserve">the ECL </w:t>
      </w:r>
      <w:proofErr w:type="spellStart"/>
      <w:r w:rsidRPr="00040777">
        <w:rPr>
          <w:lang w:val="en-US"/>
        </w:rPr>
        <w:t>chemiluminescence</w:t>
      </w:r>
      <w:proofErr w:type="spellEnd"/>
      <w:r w:rsidRPr="00040777">
        <w:rPr>
          <w:lang w:val="en-US"/>
        </w:rPr>
        <w:t xml:space="preserve"> system. </w:t>
      </w:r>
    </w:p>
    <w:p w:rsidR="004A6C97" w:rsidRDefault="004A6C97" w:rsidP="00353AF9">
      <w:pPr>
        <w:spacing w:line="480" w:lineRule="auto"/>
        <w:jc w:val="both"/>
        <w:rPr>
          <w:b/>
          <w:lang w:val="en-GB"/>
        </w:rPr>
      </w:pPr>
    </w:p>
    <w:p w:rsidR="004D34EF" w:rsidRPr="00141FD0" w:rsidRDefault="004D34EF" w:rsidP="004D34EF">
      <w:pPr>
        <w:spacing w:line="480" w:lineRule="auto"/>
        <w:jc w:val="both"/>
        <w:rPr>
          <w:b/>
          <w:lang w:val="en-GB"/>
        </w:rPr>
      </w:pPr>
      <w:r w:rsidRPr="00141FD0">
        <w:rPr>
          <w:b/>
          <w:lang w:val="en-GB"/>
        </w:rPr>
        <w:t>Flow cytometry</w:t>
      </w:r>
    </w:p>
    <w:p w:rsidR="004D34EF" w:rsidRPr="00141FD0" w:rsidRDefault="004D34EF" w:rsidP="004D34EF">
      <w:pPr>
        <w:spacing w:line="480" w:lineRule="auto"/>
        <w:jc w:val="both"/>
        <w:rPr>
          <w:lang w:val="en-GB"/>
        </w:rPr>
      </w:pPr>
      <w:r w:rsidRPr="00141FD0">
        <w:rPr>
          <w:lang w:val="en-GB"/>
        </w:rPr>
        <w:t xml:space="preserve">Cells were stained for surface marker expression with either directly labelled antibodies or non-labelled antibodies in combination with a secondary PE-labelled goat anti-mouse </w:t>
      </w:r>
      <w:proofErr w:type="spellStart"/>
      <w:r w:rsidRPr="00141FD0">
        <w:rPr>
          <w:lang w:val="en-GB"/>
        </w:rPr>
        <w:t>mAb</w:t>
      </w:r>
      <w:proofErr w:type="spellEnd"/>
      <w:r w:rsidRPr="00141FD0">
        <w:rPr>
          <w:lang w:val="en-GB"/>
        </w:rPr>
        <w:t xml:space="preserve"> (Beckmann Coulter) or Cy5-labelled goat anti-mouse </w:t>
      </w:r>
      <w:proofErr w:type="spellStart"/>
      <w:r w:rsidRPr="00141FD0">
        <w:rPr>
          <w:lang w:val="en-GB"/>
        </w:rPr>
        <w:t>mAb</w:t>
      </w:r>
      <w:proofErr w:type="spellEnd"/>
      <w:r w:rsidRPr="00141FD0">
        <w:rPr>
          <w:lang w:val="en-GB"/>
        </w:rPr>
        <w:t xml:space="preserve"> (Jackson </w:t>
      </w:r>
      <w:proofErr w:type="spellStart"/>
      <w:r w:rsidRPr="00141FD0">
        <w:rPr>
          <w:lang w:val="en-GB"/>
        </w:rPr>
        <w:t>ImmunoResearch</w:t>
      </w:r>
      <w:proofErr w:type="spellEnd"/>
      <w:r w:rsidRPr="00141FD0">
        <w:rPr>
          <w:lang w:val="en-GB"/>
        </w:rPr>
        <w:t xml:space="preserve">). Stained cells were analysed either in a </w:t>
      </w:r>
      <w:proofErr w:type="spellStart"/>
      <w:r w:rsidRPr="00141FD0">
        <w:rPr>
          <w:lang w:val="en-GB"/>
        </w:rPr>
        <w:t>Calibur</w:t>
      </w:r>
      <w:proofErr w:type="spellEnd"/>
      <w:r w:rsidRPr="00141FD0">
        <w:rPr>
          <w:lang w:val="en-GB"/>
        </w:rPr>
        <w:t xml:space="preserve"> (Becton Dickinson) or </w:t>
      </w:r>
      <w:proofErr w:type="spellStart"/>
      <w:r w:rsidRPr="00141FD0">
        <w:rPr>
          <w:lang w:val="en-US"/>
        </w:rPr>
        <w:t>Gallios</w:t>
      </w:r>
      <w:proofErr w:type="spellEnd"/>
      <w:r w:rsidRPr="00141FD0">
        <w:rPr>
          <w:lang w:val="en-US"/>
        </w:rPr>
        <w:t xml:space="preserve"> (Beckmann Coulter) flow cytometer </w:t>
      </w:r>
      <w:r w:rsidRPr="00141FD0">
        <w:rPr>
          <w:lang w:val="en-GB"/>
        </w:rPr>
        <w:t xml:space="preserve">using </w:t>
      </w:r>
      <w:proofErr w:type="spellStart"/>
      <w:r w:rsidRPr="00141FD0">
        <w:rPr>
          <w:lang w:val="en-GB"/>
        </w:rPr>
        <w:t>CellQuest</w:t>
      </w:r>
      <w:proofErr w:type="spellEnd"/>
      <w:r w:rsidRPr="00141FD0">
        <w:rPr>
          <w:vertAlign w:val="superscript"/>
          <w:lang w:val="en-GB"/>
        </w:rPr>
        <w:t xml:space="preserve"> </w:t>
      </w:r>
      <w:r w:rsidRPr="00141FD0">
        <w:rPr>
          <w:lang w:val="en-GB"/>
        </w:rPr>
        <w:t xml:space="preserve">(Becton Dickinson) and </w:t>
      </w:r>
      <w:proofErr w:type="spellStart"/>
      <w:r w:rsidRPr="00141FD0">
        <w:rPr>
          <w:lang w:val="en-US"/>
        </w:rPr>
        <w:t>Kaluza</w:t>
      </w:r>
      <w:proofErr w:type="spellEnd"/>
      <w:r w:rsidRPr="00141FD0">
        <w:rPr>
          <w:lang w:val="en-US"/>
        </w:rPr>
        <w:t xml:space="preserve"> (Beckman Coulter) </w:t>
      </w:r>
      <w:r w:rsidRPr="00141FD0">
        <w:rPr>
          <w:lang w:val="en-US"/>
        </w:rPr>
        <w:lastRenderedPageBreak/>
        <w:t xml:space="preserve">software, respectively, for data analysis. </w:t>
      </w:r>
      <w:r w:rsidRPr="00141FD0">
        <w:rPr>
          <w:lang w:val="en-GB"/>
        </w:rPr>
        <w:t>To determine the impact of interferons on the expression of specific surface molecules, cells were treated for 48 h with 1000 U/ml IFN-</w:t>
      </w:r>
      <w:r w:rsidRPr="00141FD0">
        <w:sym w:font="Symbol" w:char="F061"/>
      </w:r>
      <w:r w:rsidRPr="00141FD0">
        <w:rPr>
          <w:lang w:val="en-GB"/>
        </w:rPr>
        <w:t xml:space="preserve"> or 500 U/ml IFN-</w:t>
      </w:r>
      <w:r w:rsidRPr="00141FD0">
        <w:sym w:font="Symbol" w:char="F067"/>
      </w:r>
      <w:r w:rsidRPr="00141FD0">
        <w:rPr>
          <w:lang w:val="en-GB"/>
        </w:rPr>
        <w:t>.</w:t>
      </w:r>
    </w:p>
    <w:p w:rsidR="004D34EF" w:rsidRDefault="004D34EF" w:rsidP="004D34EF">
      <w:pPr>
        <w:spacing w:line="480" w:lineRule="auto"/>
        <w:jc w:val="both"/>
        <w:rPr>
          <w:b/>
          <w:highlight w:val="yellow"/>
          <w:lang w:val="en-US"/>
        </w:rPr>
      </w:pPr>
    </w:p>
    <w:p w:rsidR="004D34EF" w:rsidRPr="004D34EF" w:rsidRDefault="004D34EF" w:rsidP="004D34EF">
      <w:pPr>
        <w:spacing w:line="480" w:lineRule="auto"/>
        <w:jc w:val="both"/>
        <w:rPr>
          <w:b/>
          <w:lang w:val="en-US"/>
        </w:rPr>
      </w:pPr>
      <w:r w:rsidRPr="004D34EF">
        <w:rPr>
          <w:b/>
          <w:lang w:val="en-US"/>
        </w:rPr>
        <w:t>Quantitative real-time RT-PCR</w:t>
      </w:r>
    </w:p>
    <w:p w:rsidR="004D34EF" w:rsidRPr="00141FD0" w:rsidRDefault="004D34EF" w:rsidP="004D34EF">
      <w:pPr>
        <w:spacing w:line="480" w:lineRule="auto"/>
        <w:jc w:val="both"/>
        <w:rPr>
          <w:lang w:val="en-US"/>
        </w:rPr>
      </w:pPr>
      <w:r w:rsidRPr="004D34EF">
        <w:rPr>
          <w:lang w:val="en-US"/>
        </w:rPr>
        <w:t xml:space="preserve">Total mRNA was isolated from tumor cells, melanocytes and CD8-depleted PBMC using the </w:t>
      </w:r>
      <w:proofErr w:type="spellStart"/>
      <w:r w:rsidRPr="004D34EF">
        <w:rPr>
          <w:lang w:val="en-US"/>
        </w:rPr>
        <w:t>RNeasy</w:t>
      </w:r>
      <w:proofErr w:type="spellEnd"/>
      <w:r w:rsidRPr="004D34EF">
        <w:rPr>
          <w:lang w:val="en-US"/>
        </w:rPr>
        <w:t xml:space="preserve"> Mini kit (</w:t>
      </w:r>
      <w:proofErr w:type="spellStart"/>
      <w:r w:rsidRPr="004D34EF">
        <w:rPr>
          <w:lang w:val="en-US"/>
        </w:rPr>
        <w:t>Qiagen</w:t>
      </w:r>
      <w:proofErr w:type="spellEnd"/>
      <w:r w:rsidRPr="004D34EF">
        <w:rPr>
          <w:lang w:val="en-US"/>
        </w:rPr>
        <w:t xml:space="preserve">) and was reverse transcribed with the High Capacity cDNA Reverse Transcription Kit (Applied </w:t>
      </w:r>
      <w:proofErr w:type="spellStart"/>
      <w:r w:rsidRPr="004D34EF">
        <w:rPr>
          <w:lang w:val="en-US"/>
        </w:rPr>
        <w:t>Biosystems</w:t>
      </w:r>
      <w:proofErr w:type="spellEnd"/>
      <w:r w:rsidRPr="004D34EF">
        <w:rPr>
          <w:lang w:val="en-US"/>
        </w:rPr>
        <w:t xml:space="preserve">). Real-time PCR was performed using specific </w:t>
      </w:r>
      <w:proofErr w:type="spellStart"/>
      <w:r w:rsidRPr="004D34EF">
        <w:rPr>
          <w:lang w:val="en-US"/>
        </w:rPr>
        <w:t>TaqMan</w:t>
      </w:r>
      <w:proofErr w:type="spellEnd"/>
      <w:r w:rsidRPr="004D34EF">
        <w:rPr>
          <w:lang w:val="en-US"/>
        </w:rPr>
        <w:t xml:space="preserve"> Gene Expression assays in combination with the </w:t>
      </w:r>
      <w:proofErr w:type="spellStart"/>
      <w:r w:rsidRPr="004D34EF">
        <w:rPr>
          <w:lang w:val="en-US"/>
        </w:rPr>
        <w:t>StepOnePlus</w:t>
      </w:r>
      <w:r w:rsidRPr="004D34EF">
        <w:rPr>
          <w:vertAlign w:val="superscript"/>
          <w:lang w:val="en-US"/>
        </w:rPr>
        <w:t>TM</w:t>
      </w:r>
      <w:proofErr w:type="spellEnd"/>
      <w:r w:rsidRPr="004D34EF">
        <w:rPr>
          <w:lang w:val="en-US"/>
        </w:rPr>
        <w:t xml:space="preserve"> Real-Time PCR system (Applied </w:t>
      </w:r>
      <w:proofErr w:type="spellStart"/>
      <w:r w:rsidRPr="004D34EF">
        <w:rPr>
          <w:lang w:val="en-US"/>
        </w:rPr>
        <w:t>Biosystems</w:t>
      </w:r>
      <w:proofErr w:type="spellEnd"/>
      <w:r w:rsidRPr="004D34EF">
        <w:rPr>
          <w:lang w:val="en-US"/>
        </w:rPr>
        <w:t>). Relative RNA expression was calculated by the 2</w:t>
      </w:r>
      <w:r w:rsidRPr="004D34EF">
        <w:rPr>
          <w:vertAlign w:val="superscript"/>
          <w:lang w:val="en-US"/>
        </w:rPr>
        <w:t>-∆∆CT</w:t>
      </w:r>
      <w:r w:rsidRPr="004D34EF">
        <w:rPr>
          <w:lang w:val="en-US"/>
        </w:rPr>
        <w:t xml:space="preserve"> method after normalizing expression levels of candidate genes to </w:t>
      </w:r>
      <w:r w:rsidRPr="00551498">
        <w:rPr>
          <w:i/>
          <w:lang w:val="en-US"/>
        </w:rPr>
        <w:t>GAPDH</w:t>
      </w:r>
      <w:r w:rsidRPr="004D34EF">
        <w:rPr>
          <w:lang w:val="en-US"/>
        </w:rPr>
        <w:t xml:space="preserve"> or </w:t>
      </w:r>
      <w:r w:rsidRPr="00551498">
        <w:rPr>
          <w:i/>
          <w:lang w:val="en-US"/>
        </w:rPr>
        <w:t>beta-actin</w:t>
      </w:r>
      <w:r w:rsidRPr="004D34EF">
        <w:rPr>
          <w:lang w:val="en-US"/>
        </w:rPr>
        <w:t xml:space="preserve"> mRNA.</w:t>
      </w:r>
    </w:p>
    <w:p w:rsidR="004D34EF" w:rsidRDefault="004D34EF" w:rsidP="00BE63ED">
      <w:pPr>
        <w:spacing w:line="480" w:lineRule="auto"/>
        <w:jc w:val="both"/>
        <w:rPr>
          <w:b/>
          <w:lang w:val="en-US"/>
        </w:rPr>
      </w:pPr>
    </w:p>
    <w:p w:rsidR="00BE63ED" w:rsidRDefault="00BE63ED" w:rsidP="00BE63ED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RT-</w:t>
      </w:r>
      <w:r w:rsidRPr="00A31E6C">
        <w:rPr>
          <w:b/>
          <w:lang w:val="en-US"/>
        </w:rPr>
        <w:t>PCR</w:t>
      </w:r>
      <w:r>
        <w:rPr>
          <w:b/>
          <w:lang w:val="en-US"/>
        </w:rPr>
        <w:t xml:space="preserve"> and cloning of mutated </w:t>
      </w:r>
      <w:r w:rsidRPr="00417D43">
        <w:rPr>
          <w:b/>
          <w:i/>
          <w:lang w:val="en-US"/>
        </w:rPr>
        <w:t>B2M</w:t>
      </w:r>
    </w:p>
    <w:p w:rsidR="00BE63ED" w:rsidRDefault="00BE63ED" w:rsidP="00BE63ED">
      <w:p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A31E6C">
        <w:rPr>
          <w:lang w:val="en-US"/>
        </w:rPr>
        <w:t>olyA</w:t>
      </w:r>
      <w:proofErr w:type="spellEnd"/>
      <w:r w:rsidRPr="00A31E6C">
        <w:rPr>
          <w:lang w:val="en-US"/>
        </w:rPr>
        <w:t>-RNA wa</w:t>
      </w:r>
      <w:r>
        <w:rPr>
          <w:lang w:val="en-US"/>
        </w:rPr>
        <w:t>s reverse transcribed from t</w:t>
      </w:r>
      <w:r w:rsidRPr="00A31E6C">
        <w:rPr>
          <w:lang w:val="en-US"/>
        </w:rPr>
        <w:t>otal RNA using the first strand cDNA</w:t>
      </w:r>
      <w:r>
        <w:rPr>
          <w:lang w:val="en-US"/>
        </w:rPr>
        <w:t xml:space="preserve"> synthesis kit (Roche Diagnostics</w:t>
      </w:r>
      <w:r w:rsidRPr="00A31E6C">
        <w:rPr>
          <w:lang w:val="en-US"/>
        </w:rPr>
        <w:t xml:space="preserve">), </w:t>
      </w:r>
      <w:r>
        <w:rPr>
          <w:lang w:val="en-US"/>
        </w:rPr>
        <w:t xml:space="preserve">according to the manufacturer’s instruction. </w:t>
      </w:r>
      <w:r w:rsidRPr="00A31E6C">
        <w:rPr>
          <w:lang w:val="en-US"/>
        </w:rPr>
        <w:t xml:space="preserve">Specific amplification of </w:t>
      </w:r>
      <w:r w:rsidRPr="00787099">
        <w:rPr>
          <w:i/>
          <w:lang w:val="en-US"/>
        </w:rPr>
        <w:t>B2M</w:t>
      </w:r>
      <w:r w:rsidRPr="00A31E6C">
        <w:rPr>
          <w:lang w:val="en-US"/>
        </w:rPr>
        <w:t xml:space="preserve"> cDNA (sense primer 5'-cgagatgtctcgctccgtgg-3', antisense primer 5' ataacctctagaacctccatgatgctgctt</w:t>
      </w:r>
      <w:r>
        <w:rPr>
          <w:lang w:val="en-US"/>
        </w:rPr>
        <w:t>aca-3') was carried out in a 30-</w:t>
      </w:r>
      <w:r w:rsidRPr="00A31E6C">
        <w:rPr>
          <w:lang w:val="en-US"/>
        </w:rPr>
        <w:t xml:space="preserve">cycle PCR using the proofreading polymerase </w:t>
      </w:r>
      <w:proofErr w:type="spellStart"/>
      <w:r w:rsidRPr="00A31E6C">
        <w:rPr>
          <w:lang w:val="en-US"/>
        </w:rPr>
        <w:t>Expand</w:t>
      </w:r>
      <w:r w:rsidRPr="00A31E6C">
        <w:rPr>
          <w:vertAlign w:val="superscript"/>
          <w:lang w:val="en-US"/>
        </w:rPr>
        <w:t>TM</w:t>
      </w:r>
      <w:proofErr w:type="spellEnd"/>
      <w:r w:rsidRPr="00A31E6C">
        <w:rPr>
          <w:lang w:val="en-US"/>
        </w:rPr>
        <w:t xml:space="preserve"> High Fidelity (Roche Diagnostics</w:t>
      </w:r>
      <w:r>
        <w:rPr>
          <w:lang w:val="en-US"/>
        </w:rPr>
        <w:t>). PCR products were cloned into pCR2.1 (Invitrogen) and sequenced (MWG-Biotech)</w:t>
      </w:r>
      <w:r w:rsidRPr="00A31E6C">
        <w:rPr>
          <w:lang w:val="en-US"/>
        </w:rPr>
        <w:t>.</w:t>
      </w:r>
    </w:p>
    <w:p w:rsidR="00BE63ED" w:rsidRDefault="00BE63ED" w:rsidP="00BE63ED">
      <w:pPr>
        <w:spacing w:line="480" w:lineRule="auto"/>
        <w:jc w:val="both"/>
        <w:rPr>
          <w:b/>
          <w:lang w:val="en-US"/>
        </w:rPr>
      </w:pPr>
    </w:p>
    <w:p w:rsidR="00BE63ED" w:rsidRDefault="00BE63ED" w:rsidP="00BE63ED">
      <w:pPr>
        <w:spacing w:line="480" w:lineRule="auto"/>
        <w:jc w:val="both"/>
        <w:rPr>
          <w:b/>
          <w:lang w:val="en-US"/>
        </w:rPr>
      </w:pPr>
      <w:r w:rsidRPr="00A31E6C">
        <w:rPr>
          <w:b/>
          <w:lang w:val="en-US"/>
        </w:rPr>
        <w:t>Transfection</w:t>
      </w:r>
    </w:p>
    <w:p w:rsidR="00BE63ED" w:rsidRDefault="00BE63ED" w:rsidP="00BE63ED">
      <w:p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Lipofectamine</w:t>
      </w:r>
      <w:proofErr w:type="spellEnd"/>
      <w:r>
        <w:rPr>
          <w:lang w:val="en-US"/>
        </w:rPr>
        <w:t xml:space="preserve"> (Life Technologies) was used for transient transfection of m</w:t>
      </w:r>
      <w:r w:rsidRPr="00A31E6C">
        <w:rPr>
          <w:lang w:val="en-US"/>
        </w:rPr>
        <w:t xml:space="preserve">elanoma cells with a </w:t>
      </w:r>
      <w:r w:rsidRPr="00557D2D">
        <w:rPr>
          <w:i/>
          <w:lang w:val="en-US"/>
        </w:rPr>
        <w:t>B2M</w:t>
      </w:r>
      <w:r w:rsidRPr="00A31E6C">
        <w:rPr>
          <w:lang w:val="en-US"/>
        </w:rPr>
        <w:t xml:space="preserve"> expression plasmid</w:t>
      </w:r>
      <w:r>
        <w:rPr>
          <w:lang w:val="en-US"/>
        </w:rPr>
        <w:t xml:space="preserve">. </w:t>
      </w:r>
      <w:r w:rsidRPr="00A31E6C">
        <w:rPr>
          <w:lang w:val="en-US"/>
        </w:rPr>
        <w:t xml:space="preserve">After 72 h, cells were analyzed for </w:t>
      </w:r>
      <w:r>
        <w:rPr>
          <w:lang w:val="en-US"/>
        </w:rPr>
        <w:t xml:space="preserve">transient </w:t>
      </w:r>
      <w:r w:rsidRPr="00A31E6C">
        <w:rPr>
          <w:lang w:val="en-US"/>
        </w:rPr>
        <w:t xml:space="preserve">surface expression of HLA class I </w:t>
      </w:r>
      <w:r>
        <w:rPr>
          <w:lang w:val="en-US"/>
        </w:rPr>
        <w:t xml:space="preserve">antigens </w:t>
      </w:r>
      <w:r w:rsidRPr="00A31E6C">
        <w:rPr>
          <w:lang w:val="en-US"/>
        </w:rPr>
        <w:t>by flo</w:t>
      </w:r>
      <w:r>
        <w:rPr>
          <w:lang w:val="en-US"/>
        </w:rPr>
        <w:t>w cytometry, as described above.</w:t>
      </w:r>
    </w:p>
    <w:p w:rsidR="00BE63ED" w:rsidRPr="00BE63ED" w:rsidRDefault="00BE63ED" w:rsidP="00353AF9">
      <w:pPr>
        <w:spacing w:line="480" w:lineRule="auto"/>
        <w:jc w:val="both"/>
        <w:rPr>
          <w:b/>
          <w:lang w:val="en-US"/>
        </w:rPr>
      </w:pPr>
    </w:p>
    <w:p w:rsidR="00551498" w:rsidRDefault="00551498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353AF9" w:rsidRPr="00353AF9" w:rsidRDefault="00353AF9" w:rsidP="00353AF9">
      <w:pPr>
        <w:spacing w:line="480" w:lineRule="auto"/>
        <w:jc w:val="both"/>
        <w:rPr>
          <w:b/>
          <w:lang w:val="en-GB"/>
        </w:rPr>
      </w:pPr>
      <w:bookmarkStart w:id="2" w:name="_GoBack"/>
      <w:bookmarkEnd w:id="2"/>
      <w:r w:rsidRPr="00353AF9">
        <w:rPr>
          <w:b/>
          <w:lang w:val="en-GB"/>
        </w:rPr>
        <w:lastRenderedPageBreak/>
        <w:t>ELISPOT</w:t>
      </w:r>
    </w:p>
    <w:p w:rsidR="00353AF9" w:rsidRPr="00D320B3" w:rsidRDefault="00353AF9" w:rsidP="00353AF9">
      <w:pPr>
        <w:spacing w:line="480" w:lineRule="auto"/>
        <w:jc w:val="both"/>
        <w:rPr>
          <w:lang w:val="en-US"/>
        </w:rPr>
      </w:pPr>
      <w:r w:rsidRPr="00353AF9">
        <w:rPr>
          <w:color w:val="000000"/>
          <w:lang w:val="en-GB"/>
        </w:rPr>
        <w:t>IFN-</w:t>
      </w:r>
      <w:r w:rsidRPr="00353AF9">
        <w:rPr>
          <w:rFonts w:ascii="Symbol" w:hAnsi="Symbol" w:cs="Tahoma"/>
          <w:color w:val="000000"/>
          <w:lang w:val="en-GB"/>
        </w:rPr>
        <w:t></w:t>
      </w:r>
      <w:r w:rsidRPr="00353AF9">
        <w:rPr>
          <w:color w:val="000000"/>
          <w:lang w:val="en-GB"/>
        </w:rPr>
        <w:t xml:space="preserve"> enzyme-linked </w:t>
      </w:r>
      <w:proofErr w:type="spellStart"/>
      <w:r w:rsidRPr="00353AF9">
        <w:rPr>
          <w:color w:val="000000"/>
          <w:lang w:val="en-GB"/>
        </w:rPr>
        <w:t>immunospot</w:t>
      </w:r>
      <w:proofErr w:type="spellEnd"/>
      <w:r w:rsidRPr="00353AF9">
        <w:rPr>
          <w:color w:val="000000"/>
          <w:lang w:val="en-GB"/>
        </w:rPr>
        <w:t xml:space="preserve"> (ELISPOT) assay was performed as follows: Multiscreen-HTS plates (Millipore) were coated with anti-</w:t>
      </w:r>
      <w:proofErr w:type="spellStart"/>
      <w:r w:rsidRPr="00353AF9">
        <w:rPr>
          <w:color w:val="000000"/>
          <w:lang w:val="en-GB"/>
        </w:rPr>
        <w:t>hIFN</w:t>
      </w:r>
      <w:proofErr w:type="spellEnd"/>
      <w:r w:rsidRPr="00353AF9">
        <w:rPr>
          <w:color w:val="000000"/>
          <w:lang w:val="en-GB"/>
        </w:rPr>
        <w:t>-</w:t>
      </w:r>
      <w:r w:rsidRPr="00353AF9">
        <w:rPr>
          <w:rFonts w:ascii="Symbol" w:hAnsi="Symbol" w:cs="Tahoma"/>
          <w:color w:val="000000"/>
          <w:lang w:val="en-GB"/>
        </w:rPr>
        <w:t></w:t>
      </w:r>
      <w:r w:rsidRPr="00353AF9">
        <w:rPr>
          <w:color w:val="000000"/>
          <w:lang w:val="en-GB"/>
        </w:rPr>
        <w:t xml:space="preserve"> </w:t>
      </w:r>
      <w:proofErr w:type="spellStart"/>
      <w:r w:rsidRPr="00353AF9">
        <w:rPr>
          <w:color w:val="000000"/>
          <w:lang w:val="en-GB"/>
        </w:rPr>
        <w:t>mAb</w:t>
      </w:r>
      <w:proofErr w:type="spellEnd"/>
      <w:r w:rsidRPr="00353AF9">
        <w:rPr>
          <w:color w:val="000000"/>
          <w:lang w:val="en-GB"/>
        </w:rPr>
        <w:t xml:space="preserve"> 1-D1K (</w:t>
      </w:r>
      <w:proofErr w:type="spellStart"/>
      <w:r w:rsidRPr="00353AF9">
        <w:rPr>
          <w:color w:val="000000"/>
          <w:lang w:val="en-GB"/>
        </w:rPr>
        <w:t>Mabtech</w:t>
      </w:r>
      <w:proofErr w:type="spellEnd"/>
      <w:r w:rsidRPr="00353AF9">
        <w:rPr>
          <w:color w:val="000000"/>
          <w:lang w:val="en-GB"/>
        </w:rPr>
        <w:t xml:space="preserve">). T cells were seeded into plates </w:t>
      </w:r>
      <w:proofErr w:type="gramStart"/>
      <w:r w:rsidRPr="00353AF9">
        <w:rPr>
          <w:color w:val="000000"/>
          <w:lang w:val="en-GB"/>
        </w:rPr>
        <w:t xml:space="preserve">at </w:t>
      </w:r>
      <w:r w:rsidR="004A6C97" w:rsidRPr="00353AF9">
        <w:rPr>
          <w:color w:val="000000"/>
          <w:lang w:val="en-GB"/>
        </w:rPr>
        <w:t>5 x 10</w:t>
      </w:r>
      <w:r w:rsidR="004A6C97" w:rsidRPr="00353AF9">
        <w:rPr>
          <w:color w:val="000000"/>
          <w:vertAlign w:val="superscript"/>
          <w:lang w:val="en-GB"/>
        </w:rPr>
        <w:t>3</w:t>
      </w:r>
      <w:r w:rsidRPr="00353AF9">
        <w:rPr>
          <w:color w:val="000000"/>
          <w:lang w:val="en-GB"/>
        </w:rPr>
        <w:t xml:space="preserve"> cells/well in AIM-V complete medium</w:t>
      </w:r>
      <w:proofErr w:type="gramEnd"/>
      <w:r w:rsidRPr="00353AF9">
        <w:rPr>
          <w:color w:val="000000"/>
          <w:lang w:val="en-GB"/>
        </w:rPr>
        <w:t xml:space="preserve"> and </w:t>
      </w:r>
      <w:proofErr w:type="spellStart"/>
      <w:r w:rsidRPr="00353AF9">
        <w:rPr>
          <w:color w:val="000000"/>
          <w:lang w:val="en-GB"/>
        </w:rPr>
        <w:t>tumor</w:t>
      </w:r>
      <w:proofErr w:type="spellEnd"/>
      <w:r w:rsidRPr="00353AF9">
        <w:rPr>
          <w:color w:val="000000"/>
          <w:lang w:val="en-GB"/>
        </w:rPr>
        <w:t xml:space="preserve"> cells (1x10</w:t>
      </w:r>
      <w:r w:rsidRPr="00353AF9">
        <w:rPr>
          <w:color w:val="000000"/>
          <w:sz w:val="20"/>
          <w:szCs w:val="20"/>
          <w:vertAlign w:val="superscript"/>
          <w:lang w:val="en-GB"/>
        </w:rPr>
        <w:t>4</w:t>
      </w:r>
      <w:r w:rsidRPr="00353AF9">
        <w:rPr>
          <w:color w:val="000000"/>
          <w:lang w:val="en-GB"/>
        </w:rPr>
        <w:t xml:space="preserve"> cells/well) were added. After incubation for 20 h, plates were washed and a </w:t>
      </w:r>
      <w:proofErr w:type="spellStart"/>
      <w:r w:rsidRPr="00353AF9">
        <w:rPr>
          <w:color w:val="000000"/>
          <w:lang w:val="en-GB"/>
        </w:rPr>
        <w:t>biotinylated</w:t>
      </w:r>
      <w:proofErr w:type="spellEnd"/>
      <w:r w:rsidRPr="00353AF9">
        <w:rPr>
          <w:color w:val="000000"/>
          <w:lang w:val="en-GB"/>
        </w:rPr>
        <w:t xml:space="preserve"> secondary anti-</w:t>
      </w:r>
      <w:proofErr w:type="spellStart"/>
      <w:r w:rsidRPr="00353AF9">
        <w:rPr>
          <w:color w:val="000000"/>
          <w:lang w:val="en-GB"/>
        </w:rPr>
        <w:t>hIFN</w:t>
      </w:r>
      <w:proofErr w:type="spellEnd"/>
      <w:r w:rsidRPr="00353AF9">
        <w:rPr>
          <w:color w:val="000000"/>
          <w:lang w:val="en-GB"/>
        </w:rPr>
        <w:t>-</w:t>
      </w:r>
      <w:r w:rsidRPr="00353AF9">
        <w:rPr>
          <w:rFonts w:ascii="Symbol" w:hAnsi="Symbol" w:cs="Tahoma"/>
          <w:color w:val="000000"/>
          <w:lang w:val="en-GB"/>
        </w:rPr>
        <w:t></w:t>
      </w:r>
      <w:r w:rsidRPr="00353AF9">
        <w:rPr>
          <w:color w:val="000000"/>
          <w:lang w:val="en-GB"/>
        </w:rPr>
        <w:t xml:space="preserve"> antibody (clone 7-B6-1, </w:t>
      </w:r>
      <w:proofErr w:type="spellStart"/>
      <w:r w:rsidRPr="00353AF9">
        <w:rPr>
          <w:color w:val="000000"/>
          <w:lang w:val="en-GB"/>
        </w:rPr>
        <w:t>Mabtech</w:t>
      </w:r>
      <w:proofErr w:type="spellEnd"/>
      <w:r w:rsidRPr="00353AF9">
        <w:rPr>
          <w:color w:val="000000"/>
          <w:lang w:val="en-GB"/>
        </w:rPr>
        <w:t xml:space="preserve">) was added. Captured cytokine was detected with </w:t>
      </w:r>
      <w:proofErr w:type="spellStart"/>
      <w:r w:rsidRPr="00353AF9">
        <w:rPr>
          <w:color w:val="000000"/>
          <w:lang w:val="en-GB"/>
        </w:rPr>
        <w:t>ExtrAvidin</w:t>
      </w:r>
      <w:proofErr w:type="spellEnd"/>
      <w:r w:rsidRPr="00353AF9">
        <w:rPr>
          <w:color w:val="000000"/>
          <w:lang w:val="en-GB"/>
        </w:rPr>
        <w:t xml:space="preserve"> alkaline phosphatase and BCIP</w:t>
      </w:r>
      <w:r w:rsidRPr="00353AF9">
        <w:rPr>
          <w:color w:val="000000"/>
          <w:sz w:val="20"/>
          <w:szCs w:val="20"/>
          <w:vertAlign w:val="superscript"/>
          <w:lang w:val="en-GB"/>
        </w:rPr>
        <w:t>®</w:t>
      </w:r>
      <w:r w:rsidRPr="00353AF9">
        <w:rPr>
          <w:color w:val="000000"/>
          <w:lang w:val="en-GB"/>
        </w:rPr>
        <w:t xml:space="preserve">/NBT Liquid Substrate System (Sigma-Aldrich). Spots were imaged determined with the AID </w:t>
      </w:r>
      <w:proofErr w:type="spellStart"/>
      <w:r w:rsidRPr="00353AF9">
        <w:rPr>
          <w:color w:val="000000"/>
          <w:lang w:val="en-GB"/>
        </w:rPr>
        <w:t>EliSpot</w:t>
      </w:r>
      <w:proofErr w:type="spellEnd"/>
      <w:r w:rsidRPr="00353AF9">
        <w:rPr>
          <w:color w:val="000000"/>
          <w:lang w:val="en-GB"/>
        </w:rPr>
        <w:t xml:space="preserve"> reader (AID </w:t>
      </w:r>
      <w:proofErr w:type="spellStart"/>
      <w:r w:rsidRPr="00353AF9">
        <w:rPr>
          <w:color w:val="000000"/>
          <w:lang w:val="en-GB"/>
        </w:rPr>
        <w:t>Diagnostika</w:t>
      </w:r>
      <w:proofErr w:type="spellEnd"/>
      <w:r w:rsidRPr="00353AF9">
        <w:rPr>
          <w:color w:val="000000"/>
          <w:lang w:val="en-GB"/>
        </w:rPr>
        <w:t xml:space="preserve"> GmbH). </w:t>
      </w:r>
      <w:r w:rsidRPr="00353AF9">
        <w:rPr>
          <w:lang w:val="en-US"/>
        </w:rPr>
        <w:t>All determinations were performed in triplicates. Where indicated, antibodies W6/32 (50 µg/ml) and anti-PD-L1 (10</w:t>
      </w:r>
      <w:r w:rsidR="00C57AC2">
        <w:rPr>
          <w:lang w:val="en-US"/>
        </w:rPr>
        <w:t xml:space="preserve"> </w:t>
      </w:r>
      <w:r w:rsidRPr="00353AF9">
        <w:rPr>
          <w:lang w:val="en-US"/>
        </w:rPr>
        <w:t xml:space="preserve">µg/ml; </w:t>
      </w:r>
      <w:proofErr w:type="spellStart"/>
      <w:r w:rsidRPr="00353AF9">
        <w:rPr>
          <w:lang w:val="en-US"/>
        </w:rPr>
        <w:t>Biolegend</w:t>
      </w:r>
      <w:proofErr w:type="spellEnd"/>
      <w:r w:rsidRPr="00353AF9">
        <w:rPr>
          <w:lang w:val="en-US"/>
        </w:rPr>
        <w:t xml:space="preserve">) were added to the co-culture in order to block the TCR/HLA class I and PD-1/PD-L1 interactions, respectively. </w:t>
      </w:r>
      <w:r w:rsidRPr="00353AF9">
        <w:rPr>
          <w:rStyle w:val="spantextpadding"/>
          <w:color w:val="000000"/>
          <w:lang w:val="en-US"/>
        </w:rPr>
        <w:t>Mouse IgG1 (R&amp;D systems) was used as control in functional assays.</w:t>
      </w:r>
    </w:p>
    <w:p w:rsidR="004E7A89" w:rsidRPr="00353AF9" w:rsidRDefault="00551498">
      <w:pPr>
        <w:rPr>
          <w:lang w:val="en-US"/>
        </w:rPr>
      </w:pPr>
    </w:p>
    <w:sectPr w:rsidR="004E7A89" w:rsidRPr="00353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9"/>
    <w:rsid w:val="000427CB"/>
    <w:rsid w:val="00353AF9"/>
    <w:rsid w:val="003E562C"/>
    <w:rsid w:val="004A6C97"/>
    <w:rsid w:val="004D34EF"/>
    <w:rsid w:val="00551498"/>
    <w:rsid w:val="00A17C68"/>
    <w:rsid w:val="00B34B73"/>
    <w:rsid w:val="00BE63ED"/>
    <w:rsid w:val="00BE6880"/>
    <w:rsid w:val="00C51045"/>
    <w:rsid w:val="00C57AC2"/>
    <w:rsid w:val="00F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antextpadding">
    <w:name w:val="spantextpadding"/>
    <w:rsid w:val="00353AF9"/>
  </w:style>
  <w:style w:type="paragraph" w:styleId="Textkrper">
    <w:name w:val="Body Text"/>
    <w:basedOn w:val="Standard"/>
    <w:link w:val="TextkrperZchn"/>
    <w:rsid w:val="000427CB"/>
    <w:pPr>
      <w:spacing w:line="480" w:lineRule="auto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427C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antextpadding">
    <w:name w:val="spantextpadding"/>
    <w:rsid w:val="00353AF9"/>
  </w:style>
  <w:style w:type="paragraph" w:styleId="Textkrper">
    <w:name w:val="Body Text"/>
    <w:basedOn w:val="Standard"/>
    <w:link w:val="TextkrperZchn"/>
    <w:rsid w:val="000427CB"/>
    <w:pPr>
      <w:spacing w:line="480" w:lineRule="auto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427C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Paschen, Annette</dc:creator>
  <cp:lastModifiedBy>Paschen, Annette</cp:lastModifiedBy>
  <cp:revision>4</cp:revision>
  <dcterms:created xsi:type="dcterms:W3CDTF">2014-09-05T15:56:00Z</dcterms:created>
  <dcterms:modified xsi:type="dcterms:W3CDTF">2014-09-08T16:39:00Z</dcterms:modified>
</cp:coreProperties>
</file>