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D" w:rsidRPr="008A6223" w:rsidRDefault="00931D11" w:rsidP="003F715E">
      <w:pPr>
        <w:jc w:val="both"/>
        <w:rPr>
          <w:rFonts w:ascii="Times New Roman" w:hAnsi="Times New Roman" w:cs="Times New Roman"/>
          <w:b/>
          <w:sz w:val="24"/>
          <w:szCs w:val="24"/>
        </w:rPr>
      </w:pPr>
      <w:r w:rsidRPr="008A6223">
        <w:rPr>
          <w:rFonts w:ascii="Times New Roman" w:hAnsi="Times New Roman" w:cs="Times New Roman"/>
          <w:b/>
          <w:sz w:val="24"/>
          <w:szCs w:val="24"/>
        </w:rPr>
        <w:t>S</w:t>
      </w:r>
      <w:r w:rsidR="00237848">
        <w:rPr>
          <w:rFonts w:ascii="Times New Roman" w:hAnsi="Times New Roman" w:cs="Times New Roman"/>
          <w:b/>
          <w:sz w:val="24"/>
          <w:szCs w:val="24"/>
        </w:rPr>
        <w:t>upplementary Materials and Methods</w:t>
      </w:r>
    </w:p>
    <w:p w:rsidR="005A3759" w:rsidRDefault="008A6223" w:rsidP="005E0C6F">
      <w:pPr>
        <w:pStyle w:val="TAMainText"/>
      </w:pPr>
      <w:r w:rsidRPr="00035E7C">
        <w:rPr>
          <w:b/>
        </w:rPr>
        <w:t>Immunohistochemistry (IHC) and Digital Imaging</w:t>
      </w:r>
      <w:r>
        <w:t xml:space="preserve">. Rat monoclonal antibody against F4/80 and rabbit polyclonal antibodies against CD31 and collagen IV (Col IV) were from </w:t>
      </w:r>
      <w:proofErr w:type="spellStart"/>
      <w:r>
        <w:t>eBioscience</w:t>
      </w:r>
      <w:proofErr w:type="spellEnd"/>
      <w:r>
        <w:t xml:space="preserve"> (San Diego, CA), </w:t>
      </w:r>
      <w:proofErr w:type="spellStart"/>
      <w:r>
        <w:t>Abcam</w:t>
      </w:r>
      <w:proofErr w:type="spellEnd"/>
      <w:r>
        <w:t xml:space="preserve"> </w:t>
      </w:r>
      <w:r w:rsidRPr="00CD6815">
        <w:t>(Cambridge, MA)</w:t>
      </w:r>
      <w:r>
        <w:t>,</w:t>
      </w:r>
      <w:r w:rsidRPr="00CD6815">
        <w:t xml:space="preserve"> </w:t>
      </w:r>
      <w:r>
        <w:t>and EMD Millipore (</w:t>
      </w:r>
      <w:r w:rsidRPr="0012013B">
        <w:t>Billerica, MA</w:t>
      </w:r>
      <w:r>
        <w:t>), respectively. IHC</w:t>
      </w:r>
      <w:r w:rsidRPr="002A140F">
        <w:t xml:space="preserve"> </w:t>
      </w:r>
      <w:r>
        <w:t>for F4/80 (murine macrophage marker), collagen IV, and CD31 (</w:t>
      </w:r>
      <w:r w:rsidR="00E4472D">
        <w:t xml:space="preserve">marker for </w:t>
      </w:r>
      <w:r>
        <w:t xml:space="preserve">endothelial cells) </w:t>
      </w:r>
      <w:r w:rsidRPr="002A140F">
        <w:t xml:space="preserve">was </w:t>
      </w:r>
      <w:r>
        <w:t>performed on an automated</w:t>
      </w:r>
      <w:r w:rsidRPr="002A140F">
        <w:t xml:space="preserve"> Bond</w:t>
      </w:r>
      <w:r>
        <w:t xml:space="preserve"> II</w:t>
      </w:r>
      <w:r w:rsidRPr="002A140F">
        <w:t xml:space="preserve"> </w:t>
      </w:r>
      <w:proofErr w:type="spellStart"/>
      <w:r>
        <w:t>immunostainer</w:t>
      </w:r>
      <w:proofErr w:type="spellEnd"/>
      <w:r>
        <w:t xml:space="preserve"> (Leica Microsystems, </w:t>
      </w:r>
      <w:r w:rsidRPr="002A140F">
        <w:t>Norwell, MA)</w:t>
      </w:r>
      <w:r>
        <w:t>.</w:t>
      </w:r>
      <w:r w:rsidRPr="002A140F">
        <w:t xml:space="preserve"> </w:t>
      </w:r>
      <w:r>
        <w:t>Tumor s</w:t>
      </w:r>
      <w:r w:rsidRPr="002A140F">
        <w:t xml:space="preserve">lides were </w:t>
      </w:r>
      <w:proofErr w:type="spellStart"/>
      <w:r w:rsidRPr="002A140F">
        <w:t>dewaxed</w:t>
      </w:r>
      <w:proofErr w:type="spellEnd"/>
      <w:r w:rsidRPr="002A140F">
        <w:t xml:space="preserve"> in Bond </w:t>
      </w:r>
      <w:proofErr w:type="spellStart"/>
      <w:r w:rsidRPr="002A140F">
        <w:t>Dewax</w:t>
      </w:r>
      <w:proofErr w:type="spellEnd"/>
      <w:r w:rsidRPr="002A140F">
        <w:t xml:space="preserve"> solution (AR9222) and hydrated in Bond Wash solution</w:t>
      </w:r>
      <w:r>
        <w:t xml:space="preserve"> (AR9590). Antigen retrieval for F4/80 was done for 20 min and for 3</w:t>
      </w:r>
      <w:r w:rsidRPr="002A140F">
        <w:t xml:space="preserve">0 min </w:t>
      </w:r>
      <w:r>
        <w:t xml:space="preserve">for CD31 and Col IV </w:t>
      </w:r>
      <w:r w:rsidRPr="002A140F">
        <w:t>in B</w:t>
      </w:r>
      <w:r>
        <w:t>ond-Epitope Retrieval solution1</w:t>
      </w:r>
      <w:r w:rsidRPr="002A140F">
        <w:t xml:space="preserve"> pH</w:t>
      </w:r>
      <w:r>
        <w:t>-6</w:t>
      </w:r>
      <w:r w:rsidRPr="002A140F">
        <w:t>.0 (</w:t>
      </w:r>
      <w:r w:rsidRPr="001932B1">
        <w:t>AR9961</w:t>
      </w:r>
      <w:r>
        <w:t xml:space="preserve">). </w:t>
      </w:r>
      <w:r w:rsidRPr="002A140F">
        <w:t>Slides were incuba</w:t>
      </w:r>
      <w:r>
        <w:t>ted for 45 min with F4/80 (1:100), for 1h with CD31 (1:200), and for 30min with Col IV (1:200)</w:t>
      </w:r>
      <w:r w:rsidRPr="002A140F">
        <w:t>. Stained slides were dehydrated and cover</w:t>
      </w:r>
      <w:r w:rsidR="00E11434">
        <w:t>-</w:t>
      </w:r>
      <w:r w:rsidRPr="002A140F">
        <w:t xml:space="preserve">slipped. Detection </w:t>
      </w:r>
      <w:r>
        <w:t>of the</w:t>
      </w:r>
      <w:r w:rsidRPr="002A140F">
        <w:t xml:space="preserve"> antibodies was performed using the Bond Polymer Refine Detection System</w:t>
      </w:r>
      <w:r>
        <w:t xml:space="preserve"> without post primary step</w:t>
      </w:r>
      <w:r w:rsidRPr="002A140F">
        <w:t xml:space="preserve"> (DS9800).</w:t>
      </w:r>
      <w:r>
        <w:t xml:space="preserve"> </w:t>
      </w:r>
      <w:r w:rsidRPr="002A140F">
        <w:t>Positive and negative controls (no primary antibody) were included for each antibody.</w:t>
      </w:r>
      <w:r>
        <w:t xml:space="preserve"> </w:t>
      </w:r>
      <w:r w:rsidRPr="00584BF6">
        <w:t>Stained slide</w:t>
      </w:r>
      <w:r>
        <w:t xml:space="preserve">s </w:t>
      </w:r>
      <w:r w:rsidRPr="00584BF6">
        <w:t xml:space="preserve">were digitally imaged </w:t>
      </w:r>
      <w:r>
        <w:t xml:space="preserve">at </w:t>
      </w:r>
      <w:r w:rsidR="00C837F3">
        <w:t xml:space="preserve">an </w:t>
      </w:r>
      <w:r w:rsidR="00C837F3">
        <w:t>apparent</w:t>
      </w:r>
      <w:r w:rsidR="00C837F3">
        <w:t xml:space="preserve"> </w:t>
      </w:r>
      <w:r>
        <w:t>20X</w:t>
      </w:r>
      <w:r w:rsidRPr="00584BF6">
        <w:t xml:space="preserve"> </w:t>
      </w:r>
      <w:r>
        <w:t>magnification</w:t>
      </w:r>
      <w:r w:rsidRPr="00584BF6">
        <w:t xml:space="preserve"> using the </w:t>
      </w:r>
      <w:proofErr w:type="spellStart"/>
      <w:r w:rsidRPr="00584BF6">
        <w:t>Aperio</w:t>
      </w:r>
      <w:proofErr w:type="spellEnd"/>
      <w:r w:rsidRPr="00584BF6">
        <w:t xml:space="preserve"> </w:t>
      </w:r>
      <w:proofErr w:type="spellStart"/>
      <w:r w:rsidRPr="00584BF6">
        <w:t>ScanScope</w:t>
      </w:r>
      <w:proofErr w:type="spellEnd"/>
      <w:r w:rsidRPr="00584BF6">
        <w:t xml:space="preserve"> XT (</w:t>
      </w:r>
      <w:proofErr w:type="spellStart"/>
      <w:r w:rsidRPr="00584BF6">
        <w:t>Aperio</w:t>
      </w:r>
      <w:proofErr w:type="spellEnd"/>
      <w:r w:rsidRPr="00584BF6">
        <w:t xml:space="preserve"> Technologies, Vista, CA)</w:t>
      </w:r>
      <w:r>
        <w:t>. The Aperio ImageScope positive pen tool was used to create the different annotat</w:t>
      </w:r>
      <w:r w:rsidR="005A3759">
        <w:t>ion layers (capsule, viable</w:t>
      </w:r>
      <w:r>
        <w:t>, and necrotic</w:t>
      </w:r>
      <w:r w:rsidR="005A3759">
        <w:t xml:space="preserve"> areas</w:t>
      </w:r>
      <w:r>
        <w:t xml:space="preserve">) for each tumor section under the guidance of board-certified veterinary pathologist (A.B.R.) in a blinded manner. </w:t>
      </w:r>
    </w:p>
    <w:p w:rsidR="005E0C6F" w:rsidRPr="00035E7C" w:rsidRDefault="005E0C6F" w:rsidP="005E0C6F">
      <w:pPr>
        <w:pStyle w:val="TAMainText"/>
      </w:pPr>
      <w:proofErr w:type="gramStart"/>
      <w:r w:rsidRPr="00035E7C">
        <w:rPr>
          <w:b/>
          <w:bCs/>
        </w:rPr>
        <w:t>Morphomet</w:t>
      </w:r>
      <w:r>
        <w:rPr>
          <w:b/>
          <w:bCs/>
        </w:rPr>
        <w:t>ric Quantitation of Macrophages and</w:t>
      </w:r>
      <w:r w:rsidRPr="00035E7C">
        <w:rPr>
          <w:b/>
          <w:bCs/>
        </w:rPr>
        <w:t xml:space="preserve"> Collagen</w:t>
      </w:r>
      <w:r>
        <w:rPr>
          <w:b/>
          <w:bCs/>
        </w:rPr>
        <w:t>.</w:t>
      </w:r>
      <w:proofErr w:type="gramEnd"/>
      <w:r w:rsidRPr="00035E7C">
        <w:t xml:space="preserve"> For semi-quantification of F4/80 </w:t>
      </w:r>
      <w:proofErr w:type="spellStart"/>
      <w:r w:rsidRPr="00035E7C">
        <w:t>immunoreactivity</w:t>
      </w:r>
      <w:proofErr w:type="spellEnd"/>
      <w:r w:rsidRPr="00035E7C">
        <w:t>, H-scores were generated by The Aperio Membrane v9 algorithm. Staining intensity was graded as undetectable (1), weak (2), medium (3), or strong (4), and the percentage of positive cells per each intensity level was evaluated. The intensity score and the percentage of positive cells were then multiplied to give an H-score (possible range, 0-400) within each annotation layer</w:t>
      </w:r>
      <w:r>
        <w:t xml:space="preserve"> (27, 28).</w:t>
      </w:r>
      <w:r w:rsidRPr="00035E7C">
        <w:t xml:space="preserve"> </w:t>
      </w:r>
    </w:p>
    <w:p w:rsidR="005E0C6F" w:rsidRPr="00035E7C" w:rsidRDefault="005E0C6F" w:rsidP="005E0C6F">
      <w:pPr>
        <w:pStyle w:val="TAMainText"/>
      </w:pPr>
      <w:r w:rsidRPr="00035E7C">
        <w:lastRenderedPageBreak/>
        <w:t xml:space="preserve">For scoring </w:t>
      </w:r>
      <w:r>
        <w:t>c</w:t>
      </w:r>
      <w:r w:rsidRPr="00035E7C">
        <w:t>ol</w:t>
      </w:r>
      <w:r>
        <w:t>lagen</w:t>
      </w:r>
      <w:r w:rsidRPr="00035E7C">
        <w:t xml:space="preserve"> IV semi-quantitatively, H-scores were generated by the </w:t>
      </w:r>
      <w:proofErr w:type="spellStart"/>
      <w:r w:rsidRPr="00035E7C">
        <w:t>Aperio</w:t>
      </w:r>
      <w:proofErr w:type="spellEnd"/>
      <w:r w:rsidRPr="00035E7C">
        <w:t xml:space="preserve"> color </w:t>
      </w:r>
      <w:proofErr w:type="spellStart"/>
      <w:r w:rsidRPr="00035E7C">
        <w:t>deconvolution</w:t>
      </w:r>
      <w:proofErr w:type="spellEnd"/>
      <w:r w:rsidRPr="00035E7C">
        <w:t xml:space="preserve"> methods. Staining intensity was graded as weak (1), moderate (2), and strong (3), and % of positive pixel per each intensity level was evaluated to calculate H-score (0-300)</w:t>
      </w:r>
      <w:r>
        <w:t xml:space="preserve"> (27).</w:t>
      </w:r>
      <w:r w:rsidRPr="00035E7C">
        <w:t xml:space="preserve"> </w:t>
      </w:r>
    </w:p>
    <w:p w:rsidR="002F672C" w:rsidRDefault="002F672C" w:rsidP="002F672C">
      <w:pPr>
        <w:pStyle w:val="TAMainText"/>
        <w:rPr>
          <w:b/>
        </w:rPr>
      </w:pPr>
      <w:r w:rsidRPr="00434FC9">
        <w:rPr>
          <w:b/>
          <w:bCs/>
        </w:rPr>
        <w:t>Multiplex-bead Array Assay</w:t>
      </w:r>
      <w:r>
        <w:t>. The 96-well plate kits (</w:t>
      </w:r>
      <w:proofErr w:type="spellStart"/>
      <w:r>
        <w:t>Miliplex</w:t>
      </w:r>
      <w:proofErr w:type="spellEnd"/>
      <w:r>
        <w:t>®) were customized to measure chemokine CCL2 and CCL5 in plasma and tumor and VEGF-a and VEGF-c in tumor. Tumor tissues were weighed and homogenized with pH 7.4 PBS buffer spiked with a protein inhibitor cocktail (</w:t>
      </w:r>
      <w:proofErr w:type="spellStart"/>
      <w:r w:rsidRPr="00610BE5">
        <w:t>Calbiochem</w:t>
      </w:r>
      <w:proofErr w:type="spellEnd"/>
      <w:r w:rsidRPr="00610BE5">
        <w:t xml:space="preserve">, </w:t>
      </w:r>
      <w:r>
        <w:t xml:space="preserve">MA) in 1:3 (tumor weight: PBS volume) using a </w:t>
      </w:r>
      <w:proofErr w:type="spellStart"/>
      <w:r>
        <w:t>Precellys</w:t>
      </w:r>
      <w:proofErr w:type="spellEnd"/>
      <w:r>
        <w:t xml:space="preserve"> (13-RD000) 24 bead mill homogenizer (Omni International, Inc.). Supernatant was extracted and used for assay. Standards were made using Assay Buffer provided with the kit. Standards and QC controls were placed to appropriate wells and samples diluted with Assay Buffer were placed to designated sample wells. The resulting raw data were collected using Luminex-100 system (</w:t>
      </w:r>
      <w:proofErr w:type="spellStart"/>
      <w:r>
        <w:t>Luminex</w:t>
      </w:r>
      <w:proofErr w:type="spellEnd"/>
      <w:r>
        <w:t>, Austin, TX) and the concentration was corrected based on dilution factor used during procedures.</w:t>
      </w:r>
    </w:p>
    <w:p w:rsidR="008A6223" w:rsidRDefault="008A6223" w:rsidP="003F715E">
      <w:pPr>
        <w:jc w:val="both"/>
        <w:rPr>
          <w:rFonts w:ascii="Arial" w:hAnsi="Arial" w:cs="Arial"/>
          <w:b/>
        </w:rPr>
      </w:pPr>
    </w:p>
    <w:p w:rsidR="008A6223" w:rsidRDefault="008A6223" w:rsidP="003F715E">
      <w:pPr>
        <w:jc w:val="both"/>
        <w:rPr>
          <w:rFonts w:ascii="Arial" w:hAnsi="Arial" w:cs="Arial"/>
          <w:b/>
        </w:rPr>
      </w:pPr>
    </w:p>
    <w:p w:rsidR="008A6223" w:rsidRDefault="008A6223"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851531" w:rsidRDefault="00851531" w:rsidP="003F715E">
      <w:pPr>
        <w:jc w:val="both"/>
        <w:rPr>
          <w:rFonts w:ascii="Arial" w:hAnsi="Arial" w:cs="Arial"/>
          <w:b/>
        </w:rPr>
      </w:pPr>
    </w:p>
    <w:p w:rsidR="00C7263F" w:rsidRPr="00CB52D4" w:rsidRDefault="00C7263F" w:rsidP="00C7263F">
      <w:pPr>
        <w:rPr>
          <w:rFonts w:ascii="Times New Roman" w:hAnsi="Times New Roman" w:cs="Times New Roman"/>
          <w:b/>
          <w:sz w:val="24"/>
          <w:szCs w:val="24"/>
        </w:rPr>
      </w:pPr>
      <w:r w:rsidRPr="00CB52D4">
        <w:rPr>
          <w:rFonts w:ascii="Times New Roman" w:hAnsi="Times New Roman" w:cs="Times New Roman"/>
          <w:b/>
          <w:sz w:val="24"/>
          <w:szCs w:val="24"/>
        </w:rPr>
        <w:lastRenderedPageBreak/>
        <w:t xml:space="preserve">Table </w:t>
      </w:r>
      <w:r w:rsidR="003F715E" w:rsidRPr="00CB52D4">
        <w:rPr>
          <w:rFonts w:ascii="Times New Roman" w:hAnsi="Times New Roman" w:cs="Times New Roman"/>
          <w:b/>
          <w:sz w:val="24"/>
          <w:szCs w:val="24"/>
        </w:rPr>
        <w:t>S</w:t>
      </w:r>
      <w:r w:rsidRPr="00CB52D4">
        <w:rPr>
          <w:rFonts w:ascii="Times New Roman" w:hAnsi="Times New Roman" w:cs="Times New Roman"/>
          <w:b/>
          <w:sz w:val="24"/>
          <w:szCs w:val="24"/>
        </w:rPr>
        <w:t xml:space="preserve">1. Product information from </w:t>
      </w:r>
      <w:proofErr w:type="spellStart"/>
      <w:r w:rsidRPr="00CB52D4">
        <w:rPr>
          <w:rFonts w:ascii="Times New Roman" w:hAnsi="Times New Roman" w:cs="Times New Roman"/>
          <w:b/>
          <w:sz w:val="24"/>
          <w:szCs w:val="24"/>
        </w:rPr>
        <w:t>FormuMax</w:t>
      </w:r>
      <w:proofErr w:type="spellEnd"/>
      <w:r w:rsidRPr="00CB52D4">
        <w:rPr>
          <w:rFonts w:ascii="Times New Roman" w:hAnsi="Times New Roman" w:cs="Times New Roman"/>
          <w:b/>
          <w:sz w:val="24"/>
          <w:szCs w:val="24"/>
        </w:rPr>
        <w:t xml:space="preserve"> Scientific</w:t>
      </w:r>
      <w:r w:rsidR="00E339F7" w:rsidRPr="00CB52D4">
        <w:rPr>
          <w:rFonts w:ascii="Times New Roman" w:hAnsi="Times New Roman" w:cs="Times New Roman"/>
          <w:b/>
          <w:sz w:val="24"/>
          <w:szCs w:val="24"/>
        </w:rPr>
        <w:t>, Inc.</w:t>
      </w:r>
    </w:p>
    <w:tbl>
      <w:tblPr>
        <w:tblStyle w:val="TableGrid"/>
        <w:tblW w:w="9618" w:type="dxa"/>
        <w:tblLook w:val="04A0" w:firstRow="1" w:lastRow="0" w:firstColumn="1" w:lastColumn="0" w:noHBand="0" w:noVBand="1"/>
      </w:tblPr>
      <w:tblGrid>
        <w:gridCol w:w="3258"/>
        <w:gridCol w:w="6360"/>
      </w:tblGrid>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Description</w:t>
            </w:r>
          </w:p>
        </w:tc>
        <w:tc>
          <w:tcPr>
            <w:tcW w:w="6360" w:type="dxa"/>
          </w:tcPr>
          <w:p w:rsidR="00C7263F" w:rsidRPr="00CB52D4" w:rsidRDefault="00C7263F" w:rsidP="007B1F21">
            <w:pPr>
              <w:jc w:val="center"/>
              <w:rPr>
                <w:rFonts w:ascii="Times New Roman" w:hAnsi="Times New Roman" w:cs="Times New Roman"/>
                <w:sz w:val="24"/>
                <w:szCs w:val="24"/>
              </w:rPr>
            </w:pPr>
            <w:proofErr w:type="spellStart"/>
            <w:r w:rsidRPr="00CB52D4">
              <w:rPr>
                <w:rFonts w:ascii="Times New Roman" w:hAnsi="Times New Roman" w:cs="Times New Roman"/>
                <w:sz w:val="24"/>
                <w:szCs w:val="24"/>
              </w:rPr>
              <w:t>Doxoves</w:t>
            </w:r>
            <w:r w:rsidRPr="00CB52D4">
              <w:rPr>
                <w:rFonts w:ascii="Times New Roman" w:hAnsi="Times New Roman" w:cs="Times New Roman"/>
                <w:sz w:val="24"/>
                <w:szCs w:val="24"/>
                <w:vertAlign w:val="superscript"/>
              </w:rPr>
              <w:t>TM</w:t>
            </w:r>
            <w:proofErr w:type="spellEnd"/>
            <w:r w:rsidRPr="00CB52D4">
              <w:rPr>
                <w:rFonts w:ascii="Times New Roman" w:hAnsi="Times New Roman" w:cs="Times New Roman"/>
                <w:sz w:val="24"/>
                <w:szCs w:val="24"/>
              </w:rPr>
              <w:t xml:space="preserve">-Liposomal Doxorubicin </w:t>
            </w:r>
            <w:proofErr w:type="spellStart"/>
            <w:r w:rsidRPr="00CB52D4">
              <w:rPr>
                <w:rFonts w:ascii="Times New Roman" w:hAnsi="Times New Roman" w:cs="Times New Roman"/>
                <w:sz w:val="24"/>
                <w:szCs w:val="24"/>
              </w:rPr>
              <w:t>HCl</w:t>
            </w:r>
            <w:proofErr w:type="spellEnd"/>
          </w:p>
        </w:tc>
      </w:tr>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Catalogue #</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F30204B-D</w:t>
            </w:r>
          </w:p>
        </w:tc>
      </w:tr>
      <w:tr w:rsidR="00C7263F" w:rsidRPr="00CB52D4" w:rsidTr="007B1F21">
        <w:trPr>
          <w:trHeight w:val="250"/>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Lipid composition</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 xml:space="preserve">HSPC/CHOL/Mpeg2000-dspe (56.3:38.4:5.3 </w:t>
            </w:r>
            <w:proofErr w:type="spellStart"/>
            <w:r w:rsidRPr="00CB52D4">
              <w:rPr>
                <w:rFonts w:ascii="Times New Roman" w:hAnsi="Times New Roman" w:cs="Times New Roman"/>
                <w:sz w:val="24"/>
                <w:szCs w:val="24"/>
              </w:rPr>
              <w:t>mol</w:t>
            </w:r>
            <w:proofErr w:type="spellEnd"/>
            <w:r w:rsidRPr="00CB52D4">
              <w:rPr>
                <w:rFonts w:ascii="Times New Roman" w:hAnsi="Times New Roman" w:cs="Times New Roman"/>
                <w:sz w:val="24"/>
                <w:szCs w:val="24"/>
              </w:rPr>
              <w:t>%)</w:t>
            </w:r>
          </w:p>
        </w:tc>
      </w:tr>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Active</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 xml:space="preserve">Doxorubicin </w:t>
            </w:r>
            <w:proofErr w:type="spellStart"/>
            <w:r w:rsidRPr="00CB52D4">
              <w:rPr>
                <w:rFonts w:ascii="Times New Roman" w:hAnsi="Times New Roman" w:cs="Times New Roman"/>
                <w:sz w:val="24"/>
                <w:szCs w:val="24"/>
              </w:rPr>
              <w:t>HCl</w:t>
            </w:r>
            <w:proofErr w:type="spellEnd"/>
          </w:p>
        </w:tc>
      </w:tr>
      <w:tr w:rsidR="00C7263F" w:rsidRPr="00CB52D4" w:rsidTr="007B1F21">
        <w:trPr>
          <w:trHeight w:val="250"/>
        </w:trPr>
        <w:tc>
          <w:tcPr>
            <w:tcW w:w="9618" w:type="dxa"/>
            <w:gridSpan w:val="2"/>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Analytical data</w:t>
            </w:r>
          </w:p>
        </w:tc>
      </w:tr>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Lipid concentration</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40.5 ± 0.5 Mm (29.7 ± 0.4 mg/ml) (Stewart assay)</w:t>
            </w:r>
          </w:p>
        </w:tc>
      </w:tr>
      <w:tr w:rsidR="00C7263F" w:rsidRPr="00CB52D4" w:rsidTr="007B1F21">
        <w:trPr>
          <w:trHeight w:val="250"/>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Drug concentration</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 xml:space="preserve">4.00 ± 0.07 mg/ml (UV)  </w:t>
            </w:r>
          </w:p>
        </w:tc>
      </w:tr>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Free drug concentration</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0.02 mg/ml (filtration/UV)</w:t>
            </w:r>
          </w:p>
        </w:tc>
      </w:tr>
      <w:tr w:rsidR="00C7263F" w:rsidRPr="00CB52D4" w:rsidTr="007B1F21">
        <w:trPr>
          <w:trHeight w:val="250"/>
        </w:trPr>
        <w:tc>
          <w:tcPr>
            <w:tcW w:w="3258" w:type="dxa"/>
            <w:vAlign w:val="center"/>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Drug encapsulation efficiency</w:t>
            </w:r>
          </w:p>
        </w:tc>
        <w:tc>
          <w:tcPr>
            <w:tcW w:w="6360" w:type="dxa"/>
          </w:tcPr>
          <w:p w:rsidR="00C7263F" w:rsidRPr="00CB52D4" w:rsidRDefault="00C7263F" w:rsidP="007B1F21">
            <w:pPr>
              <w:ind w:left="360"/>
              <w:jc w:val="center"/>
              <w:rPr>
                <w:rFonts w:ascii="Times New Roman" w:hAnsi="Times New Roman" w:cs="Times New Roman"/>
                <w:sz w:val="24"/>
                <w:szCs w:val="24"/>
              </w:rPr>
            </w:pPr>
            <w:r w:rsidRPr="00CB52D4">
              <w:rPr>
                <w:rFonts w:ascii="Times New Roman" w:hAnsi="Times New Roman" w:cs="Times New Roman"/>
                <w:sz w:val="24"/>
                <w:szCs w:val="24"/>
              </w:rPr>
              <w:t xml:space="preserve">&gt; 99.0% </w:t>
            </w:r>
          </w:p>
          <w:p w:rsidR="00C7263F" w:rsidRPr="00CB52D4" w:rsidRDefault="00C7263F" w:rsidP="007B1F21">
            <w:pPr>
              <w:ind w:left="360"/>
              <w:jc w:val="center"/>
              <w:rPr>
                <w:rFonts w:ascii="Times New Roman" w:hAnsi="Times New Roman" w:cs="Times New Roman"/>
                <w:sz w:val="24"/>
                <w:szCs w:val="24"/>
              </w:rPr>
            </w:pPr>
            <w:r w:rsidRPr="00CB52D4">
              <w:rPr>
                <w:rFonts w:ascii="Times New Roman" w:hAnsi="Times New Roman" w:cs="Times New Roman"/>
                <w:sz w:val="24"/>
                <w:szCs w:val="24"/>
              </w:rPr>
              <w:t>(calculated from free drug and total drug concentration)</w:t>
            </w:r>
          </w:p>
        </w:tc>
      </w:tr>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Hydration solution (battery)</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 xml:space="preserve">250 </w:t>
            </w:r>
            <w:proofErr w:type="spellStart"/>
            <w:r w:rsidRPr="00CB52D4">
              <w:rPr>
                <w:rFonts w:ascii="Times New Roman" w:hAnsi="Times New Roman" w:cs="Times New Roman"/>
                <w:sz w:val="24"/>
                <w:szCs w:val="24"/>
              </w:rPr>
              <w:t>mM</w:t>
            </w:r>
            <w:proofErr w:type="spellEnd"/>
            <w:r w:rsidRPr="00CB52D4">
              <w:rPr>
                <w:rFonts w:ascii="Times New Roman" w:hAnsi="Times New Roman" w:cs="Times New Roman"/>
                <w:sz w:val="24"/>
                <w:szCs w:val="24"/>
              </w:rPr>
              <w:t xml:space="preserve"> ammonium sulfate</w:t>
            </w:r>
          </w:p>
        </w:tc>
      </w:tr>
      <w:tr w:rsidR="00C7263F" w:rsidRPr="00CB52D4" w:rsidTr="007B1F21">
        <w:trPr>
          <w:trHeight w:val="250"/>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External buffer solution</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 xml:space="preserve">10 </w:t>
            </w:r>
            <w:proofErr w:type="spellStart"/>
            <w:r w:rsidRPr="00CB52D4">
              <w:rPr>
                <w:rFonts w:ascii="Times New Roman" w:hAnsi="Times New Roman" w:cs="Times New Roman"/>
                <w:sz w:val="24"/>
                <w:szCs w:val="24"/>
              </w:rPr>
              <w:t>wt</w:t>
            </w:r>
            <w:proofErr w:type="spellEnd"/>
            <w:r w:rsidRPr="00CB52D4">
              <w:rPr>
                <w:rFonts w:ascii="Times New Roman" w:hAnsi="Times New Roman" w:cs="Times New Roman"/>
                <w:sz w:val="24"/>
                <w:szCs w:val="24"/>
              </w:rPr>
              <w:t xml:space="preserve">% sucrose, 10 </w:t>
            </w:r>
            <w:proofErr w:type="spellStart"/>
            <w:r w:rsidRPr="00CB52D4">
              <w:rPr>
                <w:rFonts w:ascii="Times New Roman" w:hAnsi="Times New Roman" w:cs="Times New Roman"/>
                <w:sz w:val="24"/>
                <w:szCs w:val="24"/>
              </w:rPr>
              <w:t>mM</w:t>
            </w:r>
            <w:proofErr w:type="spellEnd"/>
            <w:r w:rsidRPr="00CB52D4">
              <w:rPr>
                <w:rFonts w:ascii="Times New Roman" w:hAnsi="Times New Roman" w:cs="Times New Roman"/>
                <w:sz w:val="24"/>
                <w:szCs w:val="24"/>
              </w:rPr>
              <w:t xml:space="preserve"> histidine pH6.5</w:t>
            </w:r>
          </w:p>
        </w:tc>
      </w:tr>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Particle size (</w:t>
            </w:r>
            <w:proofErr w:type="spellStart"/>
            <w:r w:rsidRPr="00CB52D4">
              <w:rPr>
                <w:rFonts w:ascii="Times New Roman" w:hAnsi="Times New Roman" w:cs="Times New Roman"/>
                <w:sz w:val="24"/>
                <w:szCs w:val="24"/>
              </w:rPr>
              <w:t>ZetaPALS</w:t>
            </w:r>
            <w:proofErr w:type="spellEnd"/>
            <w:r w:rsidRPr="00CB52D4">
              <w:rPr>
                <w:rFonts w:ascii="Times New Roman" w:hAnsi="Times New Roman" w:cs="Times New Roman"/>
                <w:sz w:val="24"/>
                <w:szCs w:val="24"/>
              </w:rPr>
              <w:t>)</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 xml:space="preserve">Mean diameter: 79.1 ± 0.5 nm; Half-width:20.5 ± 1.0 nm, </w:t>
            </w:r>
            <w:proofErr w:type="spellStart"/>
            <w:r w:rsidRPr="00CB52D4">
              <w:rPr>
                <w:rFonts w:ascii="Times New Roman" w:hAnsi="Times New Roman" w:cs="Times New Roman"/>
                <w:sz w:val="24"/>
                <w:szCs w:val="24"/>
              </w:rPr>
              <w:t>Polydispersity</w:t>
            </w:r>
            <w:proofErr w:type="spellEnd"/>
            <w:r w:rsidRPr="00CB52D4">
              <w:rPr>
                <w:rFonts w:ascii="Times New Roman" w:hAnsi="Times New Roman" w:cs="Times New Roman"/>
                <w:sz w:val="24"/>
                <w:szCs w:val="24"/>
              </w:rPr>
              <w:t>: 0.07 ± 0.01</w:t>
            </w:r>
          </w:p>
        </w:tc>
      </w:tr>
      <w:tr w:rsidR="00C7263F" w:rsidRPr="00CB52D4" w:rsidTr="007B1F21">
        <w:trPr>
          <w:trHeight w:val="250"/>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Zeta potential (</w:t>
            </w:r>
            <w:proofErr w:type="spellStart"/>
            <w:r w:rsidRPr="00CB52D4">
              <w:rPr>
                <w:rFonts w:ascii="Times New Roman" w:hAnsi="Times New Roman" w:cs="Times New Roman"/>
                <w:sz w:val="24"/>
                <w:szCs w:val="24"/>
              </w:rPr>
              <w:t>ZetaPALS</w:t>
            </w:r>
            <w:proofErr w:type="spellEnd"/>
            <w:r w:rsidRPr="00CB52D4">
              <w:rPr>
                <w:rFonts w:ascii="Times New Roman" w:hAnsi="Times New Roman" w:cs="Times New Roman"/>
                <w:sz w:val="24"/>
                <w:szCs w:val="24"/>
              </w:rPr>
              <w:t>)</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 xml:space="preserve">-36.1 ± 1.0 mV(measured in 1 </w:t>
            </w:r>
            <w:proofErr w:type="spellStart"/>
            <w:r w:rsidRPr="00CB52D4">
              <w:rPr>
                <w:rFonts w:ascii="Times New Roman" w:hAnsi="Times New Roman" w:cs="Times New Roman"/>
                <w:sz w:val="24"/>
                <w:szCs w:val="24"/>
              </w:rPr>
              <w:t>mM</w:t>
            </w:r>
            <w:proofErr w:type="spellEnd"/>
            <w:r w:rsidRPr="00CB52D4">
              <w:rPr>
                <w:rFonts w:ascii="Times New Roman" w:hAnsi="Times New Roman" w:cs="Times New Roman"/>
                <w:sz w:val="24"/>
                <w:szCs w:val="24"/>
              </w:rPr>
              <w:t xml:space="preserve"> </w:t>
            </w:r>
            <w:proofErr w:type="spellStart"/>
            <w:r w:rsidRPr="00CB52D4">
              <w:rPr>
                <w:rFonts w:ascii="Times New Roman" w:hAnsi="Times New Roman" w:cs="Times New Roman"/>
                <w:sz w:val="24"/>
                <w:szCs w:val="24"/>
              </w:rPr>
              <w:t>NaCl</w:t>
            </w:r>
            <w:proofErr w:type="spellEnd"/>
            <w:r w:rsidRPr="00CB52D4">
              <w:rPr>
                <w:rFonts w:ascii="Times New Roman" w:hAnsi="Times New Roman" w:cs="Times New Roman"/>
                <w:sz w:val="24"/>
                <w:szCs w:val="24"/>
              </w:rPr>
              <w:t>)</w:t>
            </w:r>
          </w:p>
        </w:tc>
      </w:tr>
      <w:tr w:rsidR="00C7263F" w:rsidRPr="00CB52D4" w:rsidTr="007B1F21">
        <w:trPr>
          <w:trHeight w:val="266"/>
        </w:trPr>
        <w:tc>
          <w:tcPr>
            <w:tcW w:w="3258" w:type="dxa"/>
            <w:vAlign w:val="center"/>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Form/color</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Translucent, red and free flow liposomal dispersion, no visible particles/aggregates</w:t>
            </w:r>
          </w:p>
        </w:tc>
      </w:tr>
      <w:tr w:rsidR="00C7263F" w:rsidRPr="00CB52D4" w:rsidTr="007B1F21">
        <w:trPr>
          <w:trHeight w:val="266"/>
        </w:trPr>
        <w:tc>
          <w:tcPr>
            <w:tcW w:w="3258"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Stability</w:t>
            </w:r>
          </w:p>
        </w:tc>
        <w:tc>
          <w:tcPr>
            <w:tcW w:w="6360" w:type="dxa"/>
          </w:tcPr>
          <w:p w:rsidR="00C7263F" w:rsidRPr="00CB52D4" w:rsidRDefault="00C7263F" w:rsidP="007B1F21">
            <w:pPr>
              <w:jc w:val="center"/>
              <w:rPr>
                <w:rFonts w:ascii="Times New Roman" w:hAnsi="Times New Roman" w:cs="Times New Roman"/>
                <w:sz w:val="24"/>
                <w:szCs w:val="24"/>
              </w:rPr>
            </w:pPr>
            <w:r w:rsidRPr="00CB52D4">
              <w:rPr>
                <w:rFonts w:ascii="Times New Roman" w:hAnsi="Times New Roman" w:cs="Times New Roman"/>
                <w:sz w:val="24"/>
                <w:szCs w:val="24"/>
              </w:rPr>
              <w:t>Product is sterile filtered and filled in autoclaved vials</w:t>
            </w:r>
          </w:p>
        </w:tc>
      </w:tr>
    </w:tbl>
    <w:p w:rsidR="00A22E16" w:rsidRDefault="00A22E16" w:rsidP="00A22E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7263F" w:rsidRPr="00CB52D4">
        <w:rPr>
          <w:rFonts w:ascii="Times New Roman" w:hAnsi="Times New Roman" w:cs="Times New Roman"/>
          <w:sz w:val="24"/>
          <w:szCs w:val="24"/>
        </w:rPr>
        <w:t>HSPC: fully h</w:t>
      </w:r>
      <w:r>
        <w:rPr>
          <w:rFonts w:ascii="Times New Roman" w:hAnsi="Times New Roman" w:cs="Times New Roman"/>
          <w:sz w:val="24"/>
          <w:szCs w:val="24"/>
        </w:rPr>
        <w:t xml:space="preserve">ydrogenated </w:t>
      </w:r>
      <w:proofErr w:type="spellStart"/>
      <w:r>
        <w:rPr>
          <w:rFonts w:ascii="Times New Roman" w:hAnsi="Times New Roman" w:cs="Times New Roman"/>
          <w:sz w:val="24"/>
          <w:szCs w:val="24"/>
        </w:rPr>
        <w:t>phosphatidylcholine</w:t>
      </w:r>
      <w:proofErr w:type="spellEnd"/>
    </w:p>
    <w:p w:rsidR="00A22E16" w:rsidRDefault="00A22E16" w:rsidP="00A22E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7263F" w:rsidRPr="00CB52D4">
        <w:rPr>
          <w:rFonts w:ascii="Times New Roman" w:hAnsi="Times New Roman" w:cs="Times New Roman"/>
          <w:sz w:val="24"/>
          <w:szCs w:val="24"/>
        </w:rPr>
        <w:t xml:space="preserve"> CHOL: cholesterol, </w:t>
      </w:r>
    </w:p>
    <w:p w:rsidR="00C7263F" w:rsidRPr="00CB52D4" w:rsidRDefault="00A22E16" w:rsidP="00A22E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C7263F" w:rsidRPr="00CB52D4">
        <w:rPr>
          <w:rFonts w:ascii="Times New Roman" w:hAnsi="Times New Roman" w:cs="Times New Roman"/>
          <w:sz w:val="24"/>
          <w:szCs w:val="24"/>
        </w:rPr>
        <w:t>mPEG2000-DSPE: 1,2-distearoyl-sn-glycero-3-phophoethanolamine-N-methoxy(polyethylene glycol)-2000]</w:t>
      </w:r>
    </w:p>
    <w:p w:rsidR="00CB52D4" w:rsidRDefault="00CB52D4" w:rsidP="00CB52D4">
      <w:pPr>
        <w:pStyle w:val="VAFigureCaption"/>
        <w:rPr>
          <w:b/>
        </w:rPr>
      </w:pPr>
    </w:p>
    <w:p w:rsidR="00CB52D4" w:rsidRDefault="00CB52D4" w:rsidP="00CB52D4">
      <w:pPr>
        <w:pStyle w:val="VAFigureCaption"/>
        <w:rPr>
          <w:b/>
        </w:rPr>
      </w:pPr>
    </w:p>
    <w:p w:rsidR="00CB52D4" w:rsidRDefault="00CB52D4" w:rsidP="00CB52D4">
      <w:pPr>
        <w:pStyle w:val="VAFigureCaption"/>
        <w:rPr>
          <w:b/>
        </w:rPr>
      </w:pPr>
    </w:p>
    <w:p w:rsidR="00CB52D4" w:rsidRDefault="00CB52D4" w:rsidP="00CB52D4">
      <w:pPr>
        <w:pStyle w:val="VAFigureCaption"/>
        <w:rPr>
          <w:b/>
        </w:rPr>
      </w:pPr>
    </w:p>
    <w:p w:rsidR="00CB52D4" w:rsidRDefault="00CB52D4" w:rsidP="00CB52D4">
      <w:pPr>
        <w:pStyle w:val="VAFigureCaption"/>
        <w:rPr>
          <w:b/>
        </w:rPr>
      </w:pPr>
    </w:p>
    <w:p w:rsidR="00CB52D4" w:rsidRDefault="00CB52D4" w:rsidP="00CB52D4">
      <w:pPr>
        <w:pStyle w:val="VAFigureCaption"/>
        <w:rPr>
          <w:b/>
        </w:rPr>
      </w:pPr>
    </w:p>
    <w:p w:rsidR="00CB52D4" w:rsidRDefault="00CB52D4" w:rsidP="00CB52D4">
      <w:pPr>
        <w:pStyle w:val="VAFigureCaption"/>
        <w:rPr>
          <w:b/>
        </w:rPr>
      </w:pPr>
    </w:p>
    <w:p w:rsidR="00CB52D4" w:rsidRDefault="00CB52D4" w:rsidP="00CB52D4">
      <w:pPr>
        <w:pStyle w:val="VAFigureCaption"/>
        <w:rPr>
          <w:b/>
        </w:rPr>
      </w:pPr>
    </w:p>
    <w:p w:rsidR="00CB52D4" w:rsidRDefault="00CB52D4" w:rsidP="002400F3">
      <w:pPr>
        <w:pStyle w:val="VAFigureCaption"/>
        <w:spacing w:after="0" w:line="240" w:lineRule="auto"/>
        <w:rPr>
          <w:rFonts w:ascii="Times New Roman" w:hAnsi="Times New Roman"/>
          <w:b/>
          <w:bCs/>
        </w:rPr>
      </w:pPr>
      <w:r w:rsidRPr="00CB52D4">
        <w:rPr>
          <w:rFonts w:ascii="Times New Roman" w:hAnsi="Times New Roman"/>
          <w:b/>
        </w:rPr>
        <w:lastRenderedPageBreak/>
        <w:t xml:space="preserve">Table </w:t>
      </w:r>
      <w:r>
        <w:rPr>
          <w:rFonts w:ascii="Times New Roman" w:hAnsi="Times New Roman"/>
          <w:b/>
        </w:rPr>
        <w:t>S2</w:t>
      </w:r>
      <w:r w:rsidRPr="00CB52D4">
        <w:rPr>
          <w:rFonts w:ascii="Times New Roman" w:hAnsi="Times New Roman"/>
          <w:b/>
        </w:rPr>
        <w:t xml:space="preserve">. </w:t>
      </w:r>
      <w:r w:rsidR="00791582">
        <w:rPr>
          <w:rFonts w:ascii="Times New Roman" w:hAnsi="Times New Roman"/>
          <w:b/>
        </w:rPr>
        <w:t xml:space="preserve">Doxorubicin </w:t>
      </w:r>
      <w:r w:rsidRPr="00CB52D4">
        <w:rPr>
          <w:rFonts w:ascii="Times New Roman" w:hAnsi="Times New Roman"/>
          <w:b/>
          <w:bCs/>
        </w:rPr>
        <w:t>AUC</w:t>
      </w:r>
      <w:r w:rsidR="00A20DC5">
        <w:rPr>
          <w:rFonts w:ascii="Times New Roman" w:hAnsi="Times New Roman"/>
          <w:b/>
          <w:bCs/>
          <w:vertAlign w:val="subscript"/>
        </w:rPr>
        <w:t>0-96h</w:t>
      </w:r>
      <w:r w:rsidRPr="00CB52D4">
        <w:rPr>
          <w:rFonts w:ascii="Times New Roman" w:hAnsi="Times New Roman"/>
          <w:b/>
          <w:bCs/>
        </w:rPr>
        <w:t xml:space="preserve"> in plasma, tissues, and tumor in </w:t>
      </w:r>
      <w:r w:rsidR="00791582">
        <w:rPr>
          <w:rFonts w:ascii="Times New Roman" w:hAnsi="Times New Roman"/>
          <w:b/>
          <w:bCs/>
        </w:rPr>
        <w:t xml:space="preserve">the </w:t>
      </w:r>
      <w:r w:rsidRPr="00CB52D4">
        <w:rPr>
          <w:rFonts w:ascii="Times New Roman" w:hAnsi="Times New Roman"/>
          <w:b/>
          <w:bCs/>
        </w:rPr>
        <w:t xml:space="preserve">C3-TAg </w:t>
      </w:r>
      <w:r w:rsidR="00A20DC5">
        <w:rPr>
          <w:rFonts w:ascii="Times New Roman" w:hAnsi="Times New Roman"/>
          <w:b/>
          <w:bCs/>
        </w:rPr>
        <w:t xml:space="preserve">model and </w:t>
      </w:r>
      <w:r w:rsidR="00791582">
        <w:rPr>
          <w:rFonts w:ascii="Times New Roman" w:hAnsi="Times New Roman"/>
          <w:b/>
          <w:bCs/>
        </w:rPr>
        <w:t xml:space="preserve">the </w:t>
      </w:r>
      <w:r w:rsidR="00A20DC5">
        <w:rPr>
          <w:rFonts w:ascii="Times New Roman" w:hAnsi="Times New Roman"/>
          <w:b/>
          <w:bCs/>
        </w:rPr>
        <w:t xml:space="preserve">T11 model </w:t>
      </w:r>
      <w:r w:rsidRPr="00CB52D4">
        <w:rPr>
          <w:rFonts w:ascii="Times New Roman" w:hAnsi="Times New Roman"/>
          <w:b/>
          <w:bCs/>
        </w:rPr>
        <w:t>after PLD or NL-doxo administration at 6 mg/kg I.V. x 1 via tail vein</w:t>
      </w:r>
    </w:p>
    <w:tbl>
      <w:tblPr>
        <w:tblStyle w:val="TableGrid1"/>
        <w:tblW w:w="0" w:type="auto"/>
        <w:jc w:val="center"/>
        <w:tblLook w:val="04A0" w:firstRow="1" w:lastRow="0" w:firstColumn="1" w:lastColumn="0" w:noHBand="0" w:noVBand="1"/>
      </w:tblPr>
      <w:tblGrid>
        <w:gridCol w:w="852"/>
        <w:gridCol w:w="1535"/>
        <w:gridCol w:w="1254"/>
        <w:gridCol w:w="1373"/>
        <w:gridCol w:w="273"/>
        <w:gridCol w:w="1609"/>
        <w:gridCol w:w="1249"/>
        <w:gridCol w:w="1372"/>
      </w:tblGrid>
      <w:tr w:rsidR="00CB52D4" w:rsidRPr="00CB52D4" w:rsidTr="00E267A0">
        <w:trPr>
          <w:jc w:val="center"/>
        </w:trPr>
        <w:tc>
          <w:tcPr>
            <w:tcW w:w="0" w:type="auto"/>
            <w:vAlign w:val="center"/>
          </w:tcPr>
          <w:p w:rsidR="00CB52D4" w:rsidRPr="00CB52D4" w:rsidRDefault="00CB52D4" w:rsidP="00E267A0">
            <w:pPr>
              <w:jc w:val="center"/>
              <w:rPr>
                <w:rFonts w:ascii="Times New Roman" w:hAnsi="Times New Roman" w:cs="Times New Roman"/>
                <w:szCs w:val="24"/>
              </w:rPr>
            </w:pPr>
            <w:r w:rsidRPr="00CB52D4">
              <w:rPr>
                <w:rFonts w:ascii="Times New Roman" w:hAnsi="Times New Roman" w:cs="Times New Roman"/>
                <w:szCs w:val="24"/>
              </w:rPr>
              <w:t>Model</w:t>
            </w:r>
          </w:p>
        </w:tc>
        <w:tc>
          <w:tcPr>
            <w:tcW w:w="4162" w:type="dxa"/>
            <w:gridSpan w:val="3"/>
          </w:tcPr>
          <w:p w:rsidR="00CB52D4" w:rsidRPr="00CB52D4" w:rsidRDefault="00CB52D4" w:rsidP="00E267A0">
            <w:pPr>
              <w:jc w:val="center"/>
              <w:rPr>
                <w:rFonts w:ascii="Times New Roman" w:hAnsi="Times New Roman" w:cs="Times New Roman"/>
                <w:szCs w:val="24"/>
              </w:rPr>
            </w:pPr>
            <w:r w:rsidRPr="00CB52D4">
              <w:rPr>
                <w:rFonts w:ascii="Times New Roman" w:hAnsi="Times New Roman" w:cs="Times New Roman"/>
                <w:szCs w:val="24"/>
              </w:rPr>
              <w:t>C3-TAg</w:t>
            </w:r>
          </w:p>
        </w:tc>
        <w:tc>
          <w:tcPr>
            <w:tcW w:w="273" w:type="dxa"/>
            <w:vMerge w:val="restart"/>
          </w:tcPr>
          <w:p w:rsidR="00CB52D4" w:rsidRPr="00CB52D4" w:rsidRDefault="00CB52D4" w:rsidP="00E267A0">
            <w:pPr>
              <w:jc w:val="center"/>
              <w:rPr>
                <w:rFonts w:ascii="Times New Roman" w:hAnsi="Times New Roman" w:cs="Times New Roman"/>
                <w:szCs w:val="24"/>
              </w:rPr>
            </w:pPr>
          </w:p>
        </w:tc>
        <w:tc>
          <w:tcPr>
            <w:tcW w:w="4230" w:type="dxa"/>
            <w:gridSpan w:val="3"/>
          </w:tcPr>
          <w:p w:rsidR="00CB52D4" w:rsidRPr="00CB52D4" w:rsidRDefault="00CB52D4" w:rsidP="00E267A0">
            <w:pPr>
              <w:jc w:val="center"/>
              <w:rPr>
                <w:rFonts w:ascii="Times New Roman" w:hAnsi="Times New Roman" w:cs="Times New Roman"/>
                <w:szCs w:val="24"/>
              </w:rPr>
            </w:pPr>
            <w:r w:rsidRPr="00CB52D4">
              <w:rPr>
                <w:rFonts w:ascii="Times New Roman" w:hAnsi="Times New Roman" w:cs="Times New Roman"/>
                <w:szCs w:val="24"/>
              </w:rPr>
              <w:t>T11</w:t>
            </w:r>
          </w:p>
        </w:tc>
      </w:tr>
      <w:tr w:rsidR="00CB52D4" w:rsidRPr="00CB52D4" w:rsidTr="00E267A0">
        <w:trPr>
          <w:jc w:val="center"/>
        </w:trPr>
        <w:tc>
          <w:tcPr>
            <w:tcW w:w="0" w:type="auto"/>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Drug</w:t>
            </w:r>
          </w:p>
        </w:tc>
        <w:tc>
          <w:tcPr>
            <w:tcW w:w="2789" w:type="dxa"/>
            <w:gridSpan w:val="2"/>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PLD</w:t>
            </w:r>
          </w:p>
        </w:tc>
        <w:tc>
          <w:tcPr>
            <w:tcW w:w="1373" w:type="dxa"/>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NL-doxo</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PLD</w:t>
            </w:r>
          </w:p>
        </w:tc>
        <w:tc>
          <w:tcPr>
            <w:tcW w:w="1372" w:type="dxa"/>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NL-doxo</w:t>
            </w:r>
          </w:p>
        </w:tc>
      </w:tr>
      <w:tr w:rsidR="00CB52D4" w:rsidRPr="00CB52D4" w:rsidTr="00E267A0">
        <w:trPr>
          <w:jc w:val="center"/>
        </w:trPr>
        <w:tc>
          <w:tcPr>
            <w:tcW w:w="0" w:type="auto"/>
            <w:vMerge w:val="restart"/>
            <w:vAlign w:val="center"/>
          </w:tcPr>
          <w:p w:rsidR="00CB52D4" w:rsidRPr="00CB52D4" w:rsidRDefault="00CB52D4" w:rsidP="00E267A0">
            <w:pPr>
              <w:jc w:val="center"/>
              <w:rPr>
                <w:rFonts w:ascii="Times New Roman" w:hAnsi="Times New Roman" w:cs="Times New Roman"/>
                <w:szCs w:val="24"/>
              </w:rPr>
            </w:pPr>
            <w:r w:rsidRPr="00CB52D4">
              <w:rPr>
                <w:rFonts w:ascii="Times New Roman" w:hAnsi="Times New Roman" w:cs="Times New Roman"/>
                <w:szCs w:val="24"/>
              </w:rPr>
              <w:t>Plasma</w:t>
            </w:r>
          </w:p>
        </w:tc>
        <w:tc>
          <w:tcPr>
            <w:tcW w:w="1535" w:type="dxa"/>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Encapsulated</w:t>
            </w:r>
          </w:p>
        </w:tc>
        <w:tc>
          <w:tcPr>
            <w:tcW w:w="1254" w:type="dxa"/>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Released</w:t>
            </w:r>
          </w:p>
        </w:tc>
        <w:tc>
          <w:tcPr>
            <w:tcW w:w="1373" w:type="dxa"/>
            <w:vMerge w:val="restart"/>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0.56 ± 0.03</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1609" w:type="dxa"/>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Encapsulated</w:t>
            </w:r>
          </w:p>
        </w:tc>
        <w:tc>
          <w:tcPr>
            <w:tcW w:w="1249" w:type="dxa"/>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Released</w:t>
            </w:r>
          </w:p>
        </w:tc>
        <w:tc>
          <w:tcPr>
            <w:tcW w:w="1372" w:type="dxa"/>
            <w:vMerge w:val="restart"/>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0.87 ± 0.06</w:t>
            </w:r>
          </w:p>
        </w:tc>
      </w:tr>
      <w:tr w:rsidR="00CB52D4" w:rsidRPr="00CB52D4" w:rsidTr="00E267A0">
        <w:trPr>
          <w:jc w:val="center"/>
        </w:trPr>
        <w:tc>
          <w:tcPr>
            <w:tcW w:w="0" w:type="auto"/>
            <w:vMerge/>
          </w:tcPr>
          <w:p w:rsidR="00CB52D4" w:rsidRPr="00CB52D4" w:rsidRDefault="00CB52D4" w:rsidP="00E267A0">
            <w:pPr>
              <w:rPr>
                <w:rFonts w:ascii="Times New Roman" w:hAnsi="Times New Roman" w:cs="Times New Roman"/>
                <w:szCs w:val="24"/>
              </w:rPr>
            </w:pPr>
          </w:p>
        </w:tc>
        <w:tc>
          <w:tcPr>
            <w:tcW w:w="1535"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1,610 ± 111</w:t>
            </w:r>
          </w:p>
        </w:tc>
        <w:tc>
          <w:tcPr>
            <w:tcW w:w="1254"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31 ± 3</w:t>
            </w:r>
          </w:p>
        </w:tc>
        <w:tc>
          <w:tcPr>
            <w:tcW w:w="1373" w:type="dxa"/>
            <w:vMerge/>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1609"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 xml:space="preserve">1,449 ± 57 </w:t>
            </w:r>
          </w:p>
        </w:tc>
        <w:tc>
          <w:tcPr>
            <w:tcW w:w="1249"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27 ± 1.6</w:t>
            </w:r>
          </w:p>
        </w:tc>
        <w:tc>
          <w:tcPr>
            <w:tcW w:w="1372" w:type="dxa"/>
            <w:vMerge/>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p>
        </w:tc>
      </w:tr>
      <w:tr w:rsidR="00CB52D4" w:rsidRPr="00CB52D4" w:rsidTr="00E267A0">
        <w:trPr>
          <w:jc w:val="center"/>
        </w:trPr>
        <w:tc>
          <w:tcPr>
            <w:tcW w:w="0" w:type="auto"/>
            <w:vMerge w:val="restart"/>
            <w:vAlign w:val="center"/>
          </w:tcPr>
          <w:p w:rsidR="00CB52D4" w:rsidRPr="00CB52D4" w:rsidRDefault="00CB52D4" w:rsidP="00E267A0">
            <w:pPr>
              <w:jc w:val="center"/>
              <w:rPr>
                <w:rFonts w:ascii="Times New Roman" w:hAnsi="Times New Roman" w:cs="Times New Roman"/>
                <w:szCs w:val="24"/>
              </w:rPr>
            </w:pPr>
            <w:r w:rsidRPr="00CB52D4">
              <w:rPr>
                <w:rFonts w:ascii="Times New Roman" w:hAnsi="Times New Roman" w:cs="Times New Roman"/>
                <w:szCs w:val="24"/>
              </w:rPr>
              <w:t>Tumor</w:t>
            </w: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r>
      <w:tr w:rsidR="00CB52D4" w:rsidRPr="00CB52D4" w:rsidTr="00E267A0">
        <w:trPr>
          <w:jc w:val="center"/>
        </w:trPr>
        <w:tc>
          <w:tcPr>
            <w:tcW w:w="0" w:type="auto"/>
            <w:vMerge/>
          </w:tcPr>
          <w:p w:rsidR="00CB52D4" w:rsidRPr="00CB52D4" w:rsidRDefault="00CB52D4" w:rsidP="00E267A0">
            <w:pPr>
              <w:rPr>
                <w:rFonts w:ascii="Times New Roman" w:hAnsi="Times New Roman" w:cs="Times New Roman"/>
                <w:szCs w:val="24"/>
              </w:rPr>
            </w:pP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480 ± 71*</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57 ± 10</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210 ± 30*</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61 ± 12</w:t>
            </w:r>
          </w:p>
        </w:tc>
      </w:tr>
      <w:tr w:rsidR="00CB52D4" w:rsidRPr="00CB52D4" w:rsidTr="00E267A0">
        <w:trPr>
          <w:jc w:val="center"/>
        </w:trPr>
        <w:tc>
          <w:tcPr>
            <w:tcW w:w="0" w:type="auto"/>
            <w:vMerge w:val="restart"/>
            <w:vAlign w:val="center"/>
          </w:tcPr>
          <w:p w:rsidR="00CB52D4" w:rsidRPr="00CB52D4" w:rsidRDefault="00CB52D4" w:rsidP="00E267A0">
            <w:pPr>
              <w:jc w:val="center"/>
              <w:rPr>
                <w:rFonts w:ascii="Times New Roman" w:hAnsi="Times New Roman" w:cs="Times New Roman"/>
                <w:szCs w:val="24"/>
              </w:rPr>
            </w:pPr>
            <w:r w:rsidRPr="00CB52D4">
              <w:rPr>
                <w:rFonts w:ascii="Times New Roman" w:hAnsi="Times New Roman" w:cs="Times New Roman"/>
                <w:szCs w:val="24"/>
              </w:rPr>
              <w:t>Liver</w:t>
            </w: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r>
      <w:tr w:rsidR="00CB52D4" w:rsidRPr="00CB52D4" w:rsidTr="00E267A0">
        <w:trPr>
          <w:jc w:val="center"/>
        </w:trPr>
        <w:tc>
          <w:tcPr>
            <w:tcW w:w="0" w:type="auto"/>
            <w:vMerge/>
          </w:tcPr>
          <w:p w:rsidR="00CB52D4" w:rsidRPr="00CB52D4" w:rsidRDefault="00CB52D4" w:rsidP="00E267A0">
            <w:pPr>
              <w:rPr>
                <w:rFonts w:ascii="Times New Roman" w:hAnsi="Times New Roman" w:cs="Times New Roman"/>
                <w:szCs w:val="24"/>
              </w:rPr>
            </w:pP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438 ± 18*</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199 ± 17</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687 ± 61*</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247 ± 15</w:t>
            </w:r>
          </w:p>
        </w:tc>
      </w:tr>
      <w:tr w:rsidR="00CB52D4" w:rsidRPr="00CB52D4" w:rsidTr="00E267A0">
        <w:trPr>
          <w:jc w:val="center"/>
        </w:trPr>
        <w:tc>
          <w:tcPr>
            <w:tcW w:w="0" w:type="auto"/>
            <w:vMerge w:val="restart"/>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Spleen</w:t>
            </w: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r>
      <w:tr w:rsidR="00CB52D4" w:rsidRPr="00CB52D4" w:rsidTr="00E267A0">
        <w:trPr>
          <w:trHeight w:val="197"/>
          <w:jc w:val="center"/>
        </w:trPr>
        <w:tc>
          <w:tcPr>
            <w:tcW w:w="0" w:type="auto"/>
            <w:vMerge/>
          </w:tcPr>
          <w:p w:rsidR="00CB52D4" w:rsidRPr="00CB52D4" w:rsidRDefault="00CB52D4" w:rsidP="00E267A0">
            <w:pPr>
              <w:rPr>
                <w:rFonts w:ascii="Times New Roman" w:hAnsi="Times New Roman" w:cs="Times New Roman"/>
                <w:szCs w:val="24"/>
              </w:rPr>
            </w:pP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153 ± 35</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145 ± 32</w:t>
            </w:r>
          </w:p>
        </w:tc>
        <w:tc>
          <w:tcPr>
            <w:tcW w:w="273" w:type="dxa"/>
            <w:vMerge/>
            <w:vAlign w:val="center"/>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306 ± 86</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111 ± 17</w:t>
            </w:r>
          </w:p>
        </w:tc>
      </w:tr>
      <w:tr w:rsidR="00CB52D4" w:rsidRPr="00CB52D4" w:rsidTr="00E267A0">
        <w:trPr>
          <w:jc w:val="center"/>
        </w:trPr>
        <w:tc>
          <w:tcPr>
            <w:tcW w:w="0" w:type="auto"/>
            <w:vMerge w:val="restart"/>
            <w:vAlign w:val="center"/>
          </w:tcPr>
          <w:p w:rsidR="00CB52D4" w:rsidRPr="00CB52D4" w:rsidRDefault="00CB52D4" w:rsidP="00E267A0">
            <w:pPr>
              <w:jc w:val="center"/>
              <w:rPr>
                <w:rFonts w:ascii="Times New Roman" w:hAnsi="Times New Roman" w:cs="Times New Roman"/>
                <w:szCs w:val="24"/>
              </w:rPr>
            </w:pPr>
            <w:r w:rsidRPr="00CB52D4">
              <w:rPr>
                <w:rFonts w:ascii="Times New Roman" w:hAnsi="Times New Roman" w:cs="Times New Roman"/>
                <w:szCs w:val="24"/>
              </w:rPr>
              <w:t>Lung</w:t>
            </w: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Sum total doxorubicin</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Doxorubicin</w:t>
            </w:r>
          </w:p>
        </w:tc>
      </w:tr>
      <w:tr w:rsidR="00CB52D4" w:rsidRPr="00CB52D4" w:rsidTr="00E267A0">
        <w:trPr>
          <w:jc w:val="center"/>
        </w:trPr>
        <w:tc>
          <w:tcPr>
            <w:tcW w:w="0" w:type="auto"/>
            <w:vMerge/>
          </w:tcPr>
          <w:p w:rsidR="00CB52D4" w:rsidRPr="00CB52D4" w:rsidRDefault="00CB52D4" w:rsidP="00E267A0">
            <w:pPr>
              <w:rPr>
                <w:rFonts w:ascii="Times New Roman" w:hAnsi="Times New Roman" w:cs="Times New Roman"/>
                <w:szCs w:val="24"/>
              </w:rPr>
            </w:pPr>
          </w:p>
        </w:tc>
        <w:tc>
          <w:tcPr>
            <w:tcW w:w="2789"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255 ± 16</w:t>
            </w:r>
          </w:p>
        </w:tc>
        <w:tc>
          <w:tcPr>
            <w:tcW w:w="1373"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133 ± 7</w:t>
            </w:r>
          </w:p>
        </w:tc>
        <w:tc>
          <w:tcPr>
            <w:tcW w:w="273" w:type="dxa"/>
            <w:vMerge/>
          </w:tcPr>
          <w:p w:rsidR="00CB52D4" w:rsidRPr="00CB52D4" w:rsidRDefault="00CB52D4" w:rsidP="00E267A0">
            <w:pPr>
              <w:contextualSpacing/>
              <w:jc w:val="center"/>
              <w:rPr>
                <w:rFonts w:ascii="Times New Roman" w:hAnsi="Times New Roman" w:cs="Times New Roman"/>
                <w:szCs w:val="24"/>
              </w:rPr>
            </w:pPr>
          </w:p>
        </w:tc>
        <w:tc>
          <w:tcPr>
            <w:tcW w:w="2858" w:type="dxa"/>
            <w:gridSpan w:val="2"/>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248 ± 19</w:t>
            </w:r>
          </w:p>
        </w:tc>
        <w:tc>
          <w:tcPr>
            <w:tcW w:w="1372" w:type="dxa"/>
            <w:tcMar>
              <w:left w:w="29" w:type="dxa"/>
              <w:right w:w="29" w:type="dxa"/>
            </w:tcMar>
            <w:vAlign w:val="center"/>
          </w:tcPr>
          <w:p w:rsidR="00CB52D4" w:rsidRPr="00CB52D4" w:rsidRDefault="00CB52D4" w:rsidP="00E267A0">
            <w:pPr>
              <w:contextualSpacing/>
              <w:jc w:val="center"/>
              <w:rPr>
                <w:rFonts w:ascii="Times New Roman" w:hAnsi="Times New Roman" w:cs="Times New Roman"/>
                <w:szCs w:val="24"/>
              </w:rPr>
            </w:pPr>
            <w:r w:rsidRPr="00CB52D4">
              <w:rPr>
                <w:rFonts w:ascii="Times New Roman" w:hAnsi="Times New Roman" w:cs="Times New Roman"/>
                <w:szCs w:val="24"/>
              </w:rPr>
              <w:t>208 ± 21</w:t>
            </w:r>
          </w:p>
        </w:tc>
      </w:tr>
    </w:tbl>
    <w:p w:rsidR="002400F3" w:rsidRDefault="002400F3" w:rsidP="002400F3">
      <w:pPr>
        <w:pStyle w:val="FETableFootnote"/>
        <w:spacing w:after="0"/>
        <w:ind w:firstLine="0"/>
        <w:rPr>
          <w:rFonts w:ascii="Times New Roman" w:hAnsi="Times New Roman"/>
        </w:rPr>
      </w:pPr>
      <w:r>
        <w:rPr>
          <w:rFonts w:ascii="Times New Roman" w:hAnsi="Times New Roman"/>
        </w:rPr>
        <w:t xml:space="preserve">NOTE: </w:t>
      </w:r>
      <w:r w:rsidR="00CB52D4" w:rsidRPr="00CB52D4">
        <w:rPr>
          <w:rFonts w:ascii="Times New Roman" w:hAnsi="Times New Roman"/>
        </w:rPr>
        <w:t>AUC</w:t>
      </w:r>
      <w:r w:rsidR="00CB52D4" w:rsidRPr="00CB52D4">
        <w:rPr>
          <w:rFonts w:ascii="Times New Roman" w:hAnsi="Times New Roman"/>
          <w:vertAlign w:val="subscript"/>
        </w:rPr>
        <w:t>0-t</w:t>
      </w:r>
      <w:r w:rsidR="00CB52D4" w:rsidRPr="00CB52D4">
        <w:rPr>
          <w:rFonts w:ascii="Times New Roman" w:hAnsi="Times New Roman"/>
        </w:rPr>
        <w:t xml:space="preserve"> of NL-doxo and PLD was calculated by noncompartmental analysis using Phoenix v.6.2. Data are presented as mean ± standard error of the mean (SEM). </w:t>
      </w:r>
    </w:p>
    <w:p w:rsidR="002400F3" w:rsidRDefault="002400F3" w:rsidP="002400F3">
      <w:pPr>
        <w:pStyle w:val="FETableFootnote"/>
        <w:spacing w:after="0"/>
        <w:ind w:firstLine="0"/>
        <w:rPr>
          <w:rFonts w:ascii="Times New Roman" w:hAnsi="Times New Roman"/>
        </w:rPr>
      </w:pPr>
      <w:r w:rsidRPr="002400F3">
        <w:rPr>
          <w:rFonts w:ascii="Times New Roman" w:hAnsi="Times New Roman"/>
          <w:vertAlign w:val="superscript"/>
        </w:rPr>
        <w:t>a</w:t>
      </w:r>
      <w:r>
        <w:rPr>
          <w:rFonts w:ascii="Times New Roman" w:hAnsi="Times New Roman"/>
        </w:rPr>
        <w:t>:</w:t>
      </w:r>
      <w:r w:rsidR="00CB52D4" w:rsidRPr="00CB52D4">
        <w:rPr>
          <w:rFonts w:ascii="Times New Roman" w:hAnsi="Times New Roman"/>
        </w:rPr>
        <w:t>*,</w:t>
      </w:r>
      <w:r w:rsidR="00CB52D4" w:rsidRPr="00CB52D4">
        <w:rPr>
          <w:rFonts w:ascii="Times New Roman" w:hAnsi="Times New Roman"/>
          <w:b/>
        </w:rPr>
        <w:t xml:space="preserve"> </w:t>
      </w:r>
      <w:r w:rsidR="00CB52D4" w:rsidRPr="00CB52D4">
        <w:rPr>
          <w:rFonts w:ascii="Times New Roman" w:hAnsi="Times New Roman"/>
          <w:i/>
        </w:rPr>
        <w:t>P</w:t>
      </w:r>
      <w:r w:rsidR="00CB52D4" w:rsidRPr="00CB52D4">
        <w:rPr>
          <w:rFonts w:ascii="Times New Roman" w:hAnsi="Times New Roman"/>
        </w:rPr>
        <w:t xml:space="preserve"> &lt;0.05 (C3-TAg vs. T11). </w:t>
      </w:r>
      <w:r w:rsidR="00CB52D4" w:rsidRPr="00CB52D4">
        <w:rPr>
          <w:rFonts w:ascii="Times New Roman" w:hAnsi="Times New Roman"/>
          <w:i/>
        </w:rPr>
        <w:t>P</w:t>
      </w:r>
      <w:r w:rsidR="00CB52D4" w:rsidRPr="00CB52D4">
        <w:rPr>
          <w:rFonts w:ascii="Times New Roman" w:hAnsi="Times New Roman"/>
        </w:rPr>
        <w:t xml:space="preserve">-values were calculated using </w:t>
      </w:r>
      <w:proofErr w:type="spellStart"/>
      <w:r w:rsidR="00CB52D4" w:rsidRPr="00CB52D4">
        <w:rPr>
          <w:rFonts w:ascii="Times New Roman" w:hAnsi="Times New Roman"/>
        </w:rPr>
        <w:t>Nedelman’s</w:t>
      </w:r>
      <w:proofErr w:type="spellEnd"/>
      <w:r w:rsidR="00CB52D4" w:rsidRPr="00CB52D4">
        <w:rPr>
          <w:rFonts w:ascii="Times New Roman" w:hAnsi="Times New Roman"/>
        </w:rPr>
        <w:t xml:space="preserve"> modification of the Bailer method for sparse samples, using a two-sample test</w:t>
      </w:r>
      <w:r w:rsidR="00CB52D4">
        <w:rPr>
          <w:rFonts w:ascii="Times New Roman" w:hAnsi="Times New Roman"/>
        </w:rPr>
        <w:t xml:space="preserve"> (32)</w:t>
      </w:r>
      <w:r w:rsidR="00CB52D4" w:rsidRPr="00CB52D4">
        <w:rPr>
          <w:rFonts w:ascii="Times New Roman" w:hAnsi="Times New Roman"/>
        </w:rPr>
        <w:t xml:space="preserve">. </w:t>
      </w:r>
    </w:p>
    <w:p w:rsidR="002400F3" w:rsidRPr="00004EB0" w:rsidRDefault="002400F3" w:rsidP="002400F3">
      <w:pPr>
        <w:pStyle w:val="FETableFootnote"/>
        <w:spacing w:after="0"/>
        <w:ind w:firstLine="0"/>
        <w:rPr>
          <w:rFonts w:ascii="Times New Roman" w:hAnsi="Times New Roman"/>
          <w:lang w:val="es-MX"/>
        </w:rPr>
      </w:pPr>
      <w:proofErr w:type="gramStart"/>
      <w:r w:rsidRPr="00004EB0">
        <w:rPr>
          <w:rFonts w:ascii="Times New Roman" w:hAnsi="Times New Roman"/>
          <w:vertAlign w:val="superscript"/>
          <w:lang w:val="es-MX"/>
        </w:rPr>
        <w:t>b</w:t>
      </w:r>
      <w:proofErr w:type="gramEnd"/>
      <w:r w:rsidRPr="00004EB0">
        <w:rPr>
          <w:rFonts w:ascii="Times New Roman" w:hAnsi="Times New Roman"/>
          <w:lang w:val="es-MX"/>
        </w:rPr>
        <w:t xml:space="preserve">: </w:t>
      </w:r>
      <w:r w:rsidR="00CB52D4" w:rsidRPr="00004EB0">
        <w:rPr>
          <w:rFonts w:ascii="Times New Roman" w:hAnsi="Times New Roman"/>
          <w:lang w:val="es-MX"/>
        </w:rPr>
        <w:t>NL-</w:t>
      </w:r>
      <w:proofErr w:type="spellStart"/>
      <w:r w:rsidR="00CB52D4" w:rsidRPr="00004EB0">
        <w:rPr>
          <w:rFonts w:ascii="Times New Roman" w:hAnsi="Times New Roman"/>
          <w:lang w:val="es-MX"/>
        </w:rPr>
        <w:t>doxo</w:t>
      </w:r>
      <w:proofErr w:type="spellEnd"/>
      <w:r w:rsidR="00CB52D4" w:rsidRPr="00004EB0">
        <w:rPr>
          <w:rFonts w:ascii="Times New Roman" w:hAnsi="Times New Roman"/>
          <w:lang w:val="es-MX"/>
        </w:rPr>
        <w:t>: NL-</w:t>
      </w:r>
      <w:proofErr w:type="spellStart"/>
      <w:r w:rsidR="00CB52D4" w:rsidRPr="00004EB0">
        <w:rPr>
          <w:rFonts w:ascii="Times New Roman" w:hAnsi="Times New Roman"/>
          <w:lang w:val="es-MX"/>
        </w:rPr>
        <w:t>doxorubicin</w:t>
      </w:r>
      <w:proofErr w:type="spellEnd"/>
      <w:r w:rsidR="00CB52D4" w:rsidRPr="00004EB0">
        <w:rPr>
          <w:rFonts w:ascii="Times New Roman" w:hAnsi="Times New Roman"/>
          <w:lang w:val="es-MX"/>
        </w:rPr>
        <w:t xml:space="preserve">. </w:t>
      </w:r>
    </w:p>
    <w:p w:rsidR="00CB52D4" w:rsidRPr="00CB52D4" w:rsidRDefault="002400F3" w:rsidP="002400F3">
      <w:pPr>
        <w:pStyle w:val="FETableFootnote"/>
        <w:spacing w:after="0"/>
        <w:ind w:firstLine="0"/>
        <w:rPr>
          <w:rFonts w:ascii="Times New Roman" w:hAnsi="Times New Roman"/>
        </w:rPr>
      </w:pPr>
      <w:r w:rsidRPr="002400F3">
        <w:rPr>
          <w:rFonts w:ascii="Times New Roman" w:hAnsi="Times New Roman"/>
          <w:vertAlign w:val="superscript"/>
        </w:rPr>
        <w:t>c</w:t>
      </w:r>
      <w:r w:rsidR="00791582">
        <w:rPr>
          <w:rFonts w:ascii="Times New Roman" w:hAnsi="Times New Roman"/>
        </w:rPr>
        <w:t xml:space="preserve">: </w:t>
      </w:r>
      <w:r w:rsidR="00CB52D4" w:rsidRPr="00CB52D4">
        <w:rPr>
          <w:rFonts w:ascii="Times New Roman" w:hAnsi="Times New Roman"/>
        </w:rPr>
        <w:t>AUC</w:t>
      </w:r>
      <w:r w:rsidR="00CB52D4" w:rsidRPr="00CB52D4">
        <w:rPr>
          <w:rFonts w:ascii="Times New Roman" w:hAnsi="Times New Roman"/>
          <w:vertAlign w:val="subscript"/>
        </w:rPr>
        <w:t>0-</w:t>
      </w:r>
      <w:r w:rsidR="00A20DC5">
        <w:rPr>
          <w:rFonts w:ascii="Times New Roman" w:hAnsi="Times New Roman"/>
          <w:vertAlign w:val="subscript"/>
        </w:rPr>
        <w:t>96h</w:t>
      </w:r>
      <w:r w:rsidR="00CB52D4" w:rsidRPr="00CB52D4">
        <w:rPr>
          <w:rFonts w:ascii="Times New Roman" w:hAnsi="Times New Roman"/>
          <w:vertAlign w:val="subscript"/>
        </w:rPr>
        <w:t xml:space="preserve"> </w:t>
      </w:r>
      <w:r w:rsidR="00CB52D4" w:rsidRPr="00CB52D4">
        <w:rPr>
          <w:rFonts w:ascii="Times New Roman" w:hAnsi="Times New Roman"/>
        </w:rPr>
        <w:t>(µ</w:t>
      </w:r>
      <w:proofErr w:type="spellStart"/>
      <w:r w:rsidR="00CB52D4" w:rsidRPr="00CB52D4">
        <w:rPr>
          <w:rFonts w:ascii="Times New Roman" w:hAnsi="Times New Roman"/>
        </w:rPr>
        <w:t>g·h</w:t>
      </w:r>
      <w:proofErr w:type="spellEnd"/>
      <w:r w:rsidR="00CB52D4" w:rsidRPr="00CB52D4">
        <w:rPr>
          <w:rFonts w:ascii="Times New Roman" w:hAnsi="Times New Roman"/>
        </w:rPr>
        <w:t>/mL</w:t>
      </w:r>
      <w:r w:rsidR="00CB52D4">
        <w:rPr>
          <w:rFonts w:ascii="Times New Roman" w:hAnsi="Times New Roman"/>
        </w:rPr>
        <w:t xml:space="preserve"> and </w:t>
      </w:r>
      <w:r w:rsidR="00CB52D4" w:rsidRPr="00CB52D4">
        <w:rPr>
          <w:rFonts w:ascii="Times New Roman" w:hAnsi="Times New Roman"/>
        </w:rPr>
        <w:t>µ</w:t>
      </w:r>
      <w:proofErr w:type="spellStart"/>
      <w:r w:rsidR="00CB52D4" w:rsidRPr="00CB52D4">
        <w:rPr>
          <w:rFonts w:ascii="Times New Roman" w:hAnsi="Times New Roman"/>
        </w:rPr>
        <w:t>g·h</w:t>
      </w:r>
      <w:proofErr w:type="spellEnd"/>
      <w:r w:rsidR="00CB52D4" w:rsidRPr="00CB52D4">
        <w:rPr>
          <w:rFonts w:ascii="Times New Roman" w:hAnsi="Times New Roman"/>
        </w:rPr>
        <w:t>/</w:t>
      </w:r>
      <w:r w:rsidR="00CB52D4">
        <w:rPr>
          <w:rFonts w:ascii="Times New Roman" w:hAnsi="Times New Roman"/>
        </w:rPr>
        <w:t>g for plasma and tissues, respectively</w:t>
      </w:r>
      <w:r w:rsidR="00CB52D4" w:rsidRPr="00CB52D4">
        <w:rPr>
          <w:rFonts w:ascii="Times New Roman" w:hAnsi="Times New Roman"/>
        </w:rPr>
        <w:t>) = area-under the concentration versus time curve from 0 h to 96 h.</w:t>
      </w:r>
    </w:p>
    <w:p w:rsidR="0079401B" w:rsidRDefault="0079401B" w:rsidP="00886911">
      <w:pPr>
        <w:pStyle w:val="VAFigureCaption"/>
        <w:spacing w:after="0" w:line="240" w:lineRule="auto"/>
        <w:rPr>
          <w:b/>
          <w:bCs/>
        </w:rPr>
      </w:pPr>
    </w:p>
    <w:p w:rsidR="0079401B" w:rsidRDefault="0079401B" w:rsidP="00886911">
      <w:pPr>
        <w:pStyle w:val="VAFigureCaption"/>
        <w:spacing w:after="0" w:line="240" w:lineRule="auto"/>
        <w:rPr>
          <w:b/>
          <w:bCs/>
        </w:rPr>
      </w:pPr>
    </w:p>
    <w:p w:rsidR="0079401B" w:rsidRPr="0079401B" w:rsidRDefault="0079401B" w:rsidP="0079401B">
      <w:pPr>
        <w:rPr>
          <w:lang w:eastAsia="en-US"/>
        </w:rPr>
      </w:pPr>
    </w:p>
    <w:p w:rsidR="0079401B" w:rsidRDefault="0079401B" w:rsidP="00886911">
      <w:pPr>
        <w:pStyle w:val="VAFigureCaption"/>
        <w:spacing w:after="0" w:line="240" w:lineRule="auto"/>
        <w:rPr>
          <w:b/>
          <w:bCs/>
        </w:rPr>
      </w:pPr>
    </w:p>
    <w:p w:rsidR="00A20DC5" w:rsidRPr="00C73AC6" w:rsidRDefault="00A20DC5" w:rsidP="00886911">
      <w:pPr>
        <w:pStyle w:val="VAFigureCaption"/>
        <w:spacing w:after="0" w:line="240" w:lineRule="auto"/>
        <w:rPr>
          <w:b/>
          <w:bCs/>
        </w:rPr>
      </w:pPr>
      <w:r w:rsidRPr="00C73AC6">
        <w:rPr>
          <w:b/>
          <w:bCs/>
        </w:rPr>
        <w:t xml:space="preserve">Table </w:t>
      </w:r>
      <w:r>
        <w:rPr>
          <w:b/>
          <w:bCs/>
        </w:rPr>
        <w:t>S3</w:t>
      </w:r>
      <w:r w:rsidRPr="00C73AC6">
        <w:rPr>
          <w:b/>
          <w:bCs/>
        </w:rPr>
        <w:t xml:space="preserve">. </w:t>
      </w:r>
      <w:r>
        <w:rPr>
          <w:b/>
          <w:bCs/>
        </w:rPr>
        <w:t xml:space="preserve">Baseline and total influx of </w:t>
      </w:r>
      <w:r w:rsidRPr="00C73AC6">
        <w:rPr>
          <w:b/>
          <w:bCs/>
        </w:rPr>
        <w:t>F4/80</w:t>
      </w:r>
      <w:r>
        <w:rPr>
          <w:b/>
          <w:bCs/>
        </w:rPr>
        <w:t>+</w:t>
      </w:r>
      <w:r w:rsidRPr="00C73AC6">
        <w:rPr>
          <w:b/>
          <w:bCs/>
        </w:rPr>
        <w:t xml:space="preserve"> TAMs in </w:t>
      </w:r>
      <w:r w:rsidR="00791582">
        <w:rPr>
          <w:b/>
          <w:bCs/>
        </w:rPr>
        <w:t xml:space="preserve">the </w:t>
      </w:r>
      <w:r w:rsidRPr="00C73AC6">
        <w:rPr>
          <w:b/>
          <w:bCs/>
        </w:rPr>
        <w:t xml:space="preserve">C3-TAg </w:t>
      </w:r>
      <w:r>
        <w:rPr>
          <w:b/>
          <w:bCs/>
        </w:rPr>
        <w:t xml:space="preserve">model </w:t>
      </w:r>
      <w:r w:rsidRPr="00C73AC6">
        <w:rPr>
          <w:b/>
          <w:bCs/>
        </w:rPr>
        <w:t xml:space="preserve">and </w:t>
      </w:r>
      <w:r w:rsidR="00791582">
        <w:rPr>
          <w:b/>
          <w:bCs/>
        </w:rPr>
        <w:t xml:space="preserve">the </w:t>
      </w:r>
      <w:r w:rsidRPr="00C73AC6">
        <w:rPr>
          <w:b/>
          <w:bCs/>
        </w:rPr>
        <w:t xml:space="preserve">T11 </w:t>
      </w:r>
      <w:r>
        <w:rPr>
          <w:b/>
          <w:bCs/>
        </w:rPr>
        <w:t xml:space="preserve">model after </w:t>
      </w:r>
      <w:r w:rsidRPr="00C73AC6">
        <w:rPr>
          <w:b/>
          <w:bCs/>
        </w:rPr>
        <w:t>PLD or NL-doxo administration at 6 mg/kg I.V. x 1 via tail vein</w:t>
      </w:r>
    </w:p>
    <w:p w:rsidR="00886911" w:rsidRDefault="00886911" w:rsidP="00886911">
      <w:pPr>
        <w:pStyle w:val="FETableFootnote"/>
        <w:spacing w:after="0"/>
        <w:ind w:firstLine="0"/>
      </w:pPr>
    </w:p>
    <w:tbl>
      <w:tblPr>
        <w:tblStyle w:val="TableGrid11"/>
        <w:tblW w:w="5000" w:type="pct"/>
        <w:tblCellMar>
          <w:left w:w="29" w:type="dxa"/>
          <w:right w:w="29" w:type="dxa"/>
        </w:tblCellMar>
        <w:tblLook w:val="04A0" w:firstRow="1" w:lastRow="0" w:firstColumn="1" w:lastColumn="0" w:noHBand="0" w:noVBand="1"/>
      </w:tblPr>
      <w:tblGrid>
        <w:gridCol w:w="1310"/>
        <w:gridCol w:w="1045"/>
        <w:gridCol w:w="1341"/>
        <w:gridCol w:w="1520"/>
        <w:gridCol w:w="1162"/>
        <w:gridCol w:w="1520"/>
        <w:gridCol w:w="1520"/>
      </w:tblGrid>
      <w:tr w:rsidR="00886911" w:rsidRPr="00074C94" w:rsidTr="00633953">
        <w:trPr>
          <w:trHeight w:val="354"/>
        </w:trPr>
        <w:tc>
          <w:tcPr>
            <w:tcW w:w="695" w:type="pct"/>
            <w:tcBorders>
              <w:top w:val="single" w:sz="4" w:space="0" w:color="auto"/>
            </w:tcBorders>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 xml:space="preserve">Model </w:t>
            </w:r>
          </w:p>
        </w:tc>
        <w:tc>
          <w:tcPr>
            <w:tcW w:w="2074" w:type="pct"/>
            <w:gridSpan w:val="3"/>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C3-TAg</w:t>
            </w:r>
          </w:p>
        </w:tc>
        <w:tc>
          <w:tcPr>
            <w:tcW w:w="2231" w:type="pct"/>
            <w:gridSpan w:val="3"/>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T11</w:t>
            </w:r>
          </w:p>
        </w:tc>
      </w:tr>
      <w:tr w:rsidR="00886911" w:rsidRPr="00662858" w:rsidTr="00633953">
        <w:trPr>
          <w:trHeight w:val="785"/>
        </w:trPr>
        <w:tc>
          <w:tcPr>
            <w:tcW w:w="695" w:type="pct"/>
            <w:tcBorders>
              <w:top w:val="single" w:sz="4" w:space="0" w:color="auto"/>
            </w:tcBorders>
            <w:vAlign w:val="center"/>
          </w:tcPr>
          <w:p w:rsidR="00886911" w:rsidRPr="000811E0" w:rsidRDefault="00886911" w:rsidP="00633953">
            <w:pPr>
              <w:jc w:val="center"/>
              <w:rPr>
                <w:rFonts w:ascii="Times New Roman" w:hAnsi="Times New Roman" w:cs="Times New Roman"/>
                <w:b/>
                <w:szCs w:val="24"/>
              </w:rPr>
            </w:pPr>
            <w:r w:rsidRPr="000811E0">
              <w:rPr>
                <w:rFonts w:ascii="Times New Roman" w:hAnsi="Times New Roman" w:cs="Times New Roman"/>
                <w:b/>
                <w:szCs w:val="24"/>
              </w:rPr>
              <w:t>Regions Of Interest</w:t>
            </w:r>
          </w:p>
          <w:p w:rsidR="00886911" w:rsidRPr="000811E0" w:rsidRDefault="00886911" w:rsidP="00633953">
            <w:pPr>
              <w:jc w:val="center"/>
              <w:rPr>
                <w:rFonts w:ascii="Times New Roman" w:hAnsi="Times New Roman" w:cs="Times New Roman"/>
                <w:b/>
                <w:szCs w:val="24"/>
                <w:u w:val="single"/>
              </w:rPr>
            </w:pPr>
            <w:r w:rsidRPr="000811E0">
              <w:rPr>
                <w:rFonts w:ascii="Times New Roman" w:hAnsi="Times New Roman" w:cs="Times New Roman"/>
                <w:b/>
                <w:szCs w:val="24"/>
              </w:rPr>
              <w:t>(ROI)</w:t>
            </w:r>
          </w:p>
        </w:tc>
        <w:tc>
          <w:tcPr>
            <w:tcW w:w="555" w:type="pct"/>
            <w:vAlign w:val="center"/>
          </w:tcPr>
          <w:p w:rsidR="00886911" w:rsidRPr="00A94DCC"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Baseline</w:t>
            </w:r>
          </w:p>
        </w:tc>
        <w:tc>
          <w:tcPr>
            <w:tcW w:w="712" w:type="pct"/>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AUC</w:t>
            </w:r>
            <w:r w:rsidRPr="000811E0">
              <w:rPr>
                <w:rFonts w:ascii="Times New Roman" w:hAnsi="Times New Roman" w:cs="Times New Roman"/>
                <w:b/>
                <w:szCs w:val="24"/>
                <w:vertAlign w:val="subscript"/>
              </w:rPr>
              <w:t>0-96h</w:t>
            </w:r>
          </w:p>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post PLD</w:t>
            </w:r>
          </w:p>
        </w:tc>
        <w:tc>
          <w:tcPr>
            <w:tcW w:w="807" w:type="pct"/>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AUC</w:t>
            </w:r>
            <w:r w:rsidRPr="000811E0">
              <w:rPr>
                <w:rFonts w:ascii="Times New Roman" w:hAnsi="Times New Roman" w:cs="Times New Roman"/>
                <w:b/>
                <w:szCs w:val="24"/>
                <w:vertAlign w:val="subscript"/>
              </w:rPr>
              <w:t>0-96h</w:t>
            </w:r>
          </w:p>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post NL-doxo</w:t>
            </w:r>
          </w:p>
        </w:tc>
        <w:tc>
          <w:tcPr>
            <w:tcW w:w="617" w:type="pct"/>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Baseline</w:t>
            </w:r>
          </w:p>
        </w:tc>
        <w:tc>
          <w:tcPr>
            <w:tcW w:w="807" w:type="pct"/>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AUC</w:t>
            </w:r>
            <w:r w:rsidRPr="000811E0">
              <w:rPr>
                <w:rFonts w:ascii="Times New Roman" w:hAnsi="Times New Roman" w:cs="Times New Roman"/>
                <w:b/>
                <w:szCs w:val="24"/>
                <w:vertAlign w:val="subscript"/>
              </w:rPr>
              <w:t>0-96h</w:t>
            </w:r>
          </w:p>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post PLD</w:t>
            </w:r>
          </w:p>
        </w:tc>
        <w:tc>
          <w:tcPr>
            <w:tcW w:w="807" w:type="pct"/>
            <w:vAlign w:val="center"/>
          </w:tcPr>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AUC</w:t>
            </w:r>
            <w:r w:rsidRPr="000811E0">
              <w:rPr>
                <w:rFonts w:ascii="Times New Roman" w:hAnsi="Times New Roman" w:cs="Times New Roman"/>
                <w:b/>
                <w:szCs w:val="24"/>
                <w:vertAlign w:val="subscript"/>
              </w:rPr>
              <w:t>0-96h</w:t>
            </w:r>
          </w:p>
          <w:p w:rsidR="00886911" w:rsidRPr="000811E0" w:rsidRDefault="00886911" w:rsidP="00633953">
            <w:pPr>
              <w:contextualSpacing/>
              <w:jc w:val="center"/>
              <w:rPr>
                <w:rFonts w:ascii="Times New Roman" w:hAnsi="Times New Roman" w:cs="Times New Roman"/>
                <w:b/>
                <w:szCs w:val="24"/>
              </w:rPr>
            </w:pPr>
            <w:r w:rsidRPr="000811E0">
              <w:rPr>
                <w:rFonts w:ascii="Times New Roman" w:hAnsi="Times New Roman" w:cs="Times New Roman"/>
                <w:b/>
                <w:szCs w:val="24"/>
              </w:rPr>
              <w:t>post NL-doxo</w:t>
            </w:r>
          </w:p>
        </w:tc>
      </w:tr>
      <w:tr w:rsidR="00886911" w:rsidRPr="00074C94" w:rsidTr="00633953">
        <w:trPr>
          <w:trHeight w:val="346"/>
        </w:trPr>
        <w:tc>
          <w:tcPr>
            <w:tcW w:w="695"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Capsule</w:t>
            </w:r>
          </w:p>
        </w:tc>
        <w:tc>
          <w:tcPr>
            <w:tcW w:w="555"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191 ± 4.3</w:t>
            </w:r>
          </w:p>
        </w:tc>
        <w:tc>
          <w:tcPr>
            <w:tcW w:w="712"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16,356 ± 703</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16,473 ± 604</w:t>
            </w:r>
          </w:p>
        </w:tc>
        <w:tc>
          <w:tcPr>
            <w:tcW w:w="61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166 ± 95.6</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17,304 ± 274</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15,855 ± 1,099</w:t>
            </w:r>
          </w:p>
        </w:tc>
      </w:tr>
      <w:tr w:rsidR="00886911" w:rsidRPr="00074C94" w:rsidTr="00633953">
        <w:trPr>
          <w:trHeight w:val="346"/>
        </w:trPr>
        <w:tc>
          <w:tcPr>
            <w:tcW w:w="695"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Viable</w:t>
            </w:r>
          </w:p>
        </w:tc>
        <w:tc>
          <w:tcPr>
            <w:tcW w:w="555"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61 ± 9.2</w:t>
            </w:r>
          </w:p>
        </w:tc>
        <w:tc>
          <w:tcPr>
            <w:tcW w:w="712"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9,855 ± 1182</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8,605 ± 951</w:t>
            </w:r>
          </w:p>
        </w:tc>
        <w:tc>
          <w:tcPr>
            <w:tcW w:w="61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90 ± 21.9</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12,821 ± 428</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10,185 ± 1,679</w:t>
            </w:r>
          </w:p>
        </w:tc>
      </w:tr>
      <w:tr w:rsidR="00886911" w:rsidRPr="00074C94" w:rsidTr="00633953">
        <w:trPr>
          <w:trHeight w:val="346"/>
        </w:trPr>
        <w:tc>
          <w:tcPr>
            <w:tcW w:w="695"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Necrotic</w:t>
            </w:r>
          </w:p>
        </w:tc>
        <w:tc>
          <w:tcPr>
            <w:tcW w:w="555"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199 ± 3.3</w:t>
            </w:r>
          </w:p>
        </w:tc>
        <w:tc>
          <w:tcPr>
            <w:tcW w:w="712"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18,764 ± 645</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18,946 ± 562</w:t>
            </w:r>
          </w:p>
        </w:tc>
        <w:tc>
          <w:tcPr>
            <w:tcW w:w="61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189 ± 8.1</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17,656 ± 1,098</w:t>
            </w:r>
          </w:p>
        </w:tc>
        <w:tc>
          <w:tcPr>
            <w:tcW w:w="807" w:type="pct"/>
            <w:vAlign w:val="center"/>
          </w:tcPr>
          <w:p w:rsidR="00886911" w:rsidRPr="000811E0" w:rsidRDefault="00886911" w:rsidP="00633953">
            <w:pPr>
              <w:jc w:val="center"/>
              <w:rPr>
                <w:rFonts w:ascii="Times New Roman" w:hAnsi="Times New Roman" w:cs="Times New Roman"/>
                <w:szCs w:val="24"/>
              </w:rPr>
            </w:pPr>
            <w:r w:rsidRPr="000811E0">
              <w:rPr>
                <w:rFonts w:ascii="Times New Roman" w:hAnsi="Times New Roman" w:cs="Times New Roman"/>
                <w:szCs w:val="24"/>
              </w:rPr>
              <w:t>15,664 ± 1,518</w:t>
            </w:r>
          </w:p>
        </w:tc>
      </w:tr>
    </w:tbl>
    <w:p w:rsidR="00886911" w:rsidRDefault="00886911" w:rsidP="00886911">
      <w:pPr>
        <w:pStyle w:val="FETableFootnote"/>
        <w:spacing w:after="0"/>
        <w:ind w:firstLine="0"/>
      </w:pPr>
      <w:r>
        <w:t xml:space="preserve">NOTE: </w:t>
      </w:r>
      <w:r w:rsidR="00A20DC5">
        <w:t>TAMs were measured by F4/80 in tumor from individual mouse via IHC. The expression of F4/80 at baseline and AUC</w:t>
      </w:r>
      <w:r w:rsidR="00A20DC5" w:rsidRPr="003429EE">
        <w:rPr>
          <w:vertAlign w:val="subscript"/>
        </w:rPr>
        <w:t>0-96h</w:t>
      </w:r>
      <w:r w:rsidR="00A20DC5">
        <w:t xml:space="preserve"> of F4/80, an indicator of total influx of macrophages, after PLD or NL-doxo </w:t>
      </w:r>
      <w:r w:rsidR="00791582">
        <w:t xml:space="preserve">administration </w:t>
      </w:r>
      <w:r w:rsidR="00A20DC5">
        <w:t xml:space="preserve">was represented as mean </w:t>
      </w:r>
      <w:r w:rsidR="00A20DC5" w:rsidRPr="00E01BBE">
        <w:t>±</w:t>
      </w:r>
      <w:r w:rsidR="00A20DC5">
        <w:t xml:space="preserve"> SEM of three to four</w:t>
      </w:r>
      <w:r w:rsidR="00A20DC5" w:rsidRPr="00E01BBE">
        <w:t xml:space="preserve"> mice</w:t>
      </w:r>
      <w:r w:rsidR="00A20DC5">
        <w:t>. AUC</w:t>
      </w:r>
      <w:r w:rsidR="00A20DC5" w:rsidRPr="003429EE">
        <w:rPr>
          <w:vertAlign w:val="subscript"/>
        </w:rPr>
        <w:t>0-96h</w:t>
      </w:r>
      <w:r w:rsidR="00A20DC5">
        <w:t xml:space="preserve"> was calculated by non-compartmental analysis using Phoenix v.6.2. </w:t>
      </w:r>
    </w:p>
    <w:p w:rsidR="00A20DC5" w:rsidRPr="00CB52D4" w:rsidRDefault="00886911" w:rsidP="00886911">
      <w:pPr>
        <w:pStyle w:val="FETableFootnote"/>
        <w:spacing w:after="0"/>
        <w:ind w:firstLine="0"/>
        <w:rPr>
          <w:rFonts w:ascii="Times New Roman" w:hAnsi="Times New Roman"/>
        </w:rPr>
      </w:pPr>
      <w:r w:rsidRPr="00886911">
        <w:rPr>
          <w:vertAlign w:val="superscript"/>
        </w:rPr>
        <w:t>a</w:t>
      </w:r>
      <w:r>
        <w:t xml:space="preserve">: </w:t>
      </w:r>
      <w:r w:rsidR="00A20DC5" w:rsidRPr="00CB52D4">
        <w:rPr>
          <w:rFonts w:ascii="Times New Roman" w:hAnsi="Times New Roman"/>
        </w:rPr>
        <w:t>AUC</w:t>
      </w:r>
      <w:r w:rsidR="00A20DC5" w:rsidRPr="00CB52D4">
        <w:rPr>
          <w:rFonts w:ascii="Times New Roman" w:hAnsi="Times New Roman"/>
          <w:vertAlign w:val="subscript"/>
        </w:rPr>
        <w:t>0-</w:t>
      </w:r>
      <w:r w:rsidR="00A20DC5">
        <w:rPr>
          <w:rFonts w:ascii="Times New Roman" w:hAnsi="Times New Roman"/>
          <w:vertAlign w:val="subscript"/>
        </w:rPr>
        <w:t>96h</w:t>
      </w:r>
      <w:r w:rsidR="00A20DC5" w:rsidRPr="00CB52D4">
        <w:rPr>
          <w:rFonts w:ascii="Times New Roman" w:hAnsi="Times New Roman"/>
        </w:rPr>
        <w:t xml:space="preserve"> = area-under the </w:t>
      </w:r>
      <w:r w:rsidR="00A20DC5">
        <w:rPr>
          <w:rFonts w:ascii="Times New Roman" w:hAnsi="Times New Roman"/>
        </w:rPr>
        <w:t>H-score</w:t>
      </w:r>
      <w:r w:rsidR="00A20DC5" w:rsidRPr="00CB52D4">
        <w:rPr>
          <w:rFonts w:ascii="Times New Roman" w:hAnsi="Times New Roman"/>
        </w:rPr>
        <w:t xml:space="preserve"> </w:t>
      </w:r>
      <w:r w:rsidR="00A20DC5">
        <w:rPr>
          <w:rFonts w:ascii="Times New Roman" w:hAnsi="Times New Roman"/>
        </w:rPr>
        <w:t xml:space="preserve">of F4/80 </w:t>
      </w:r>
      <w:r w:rsidR="00A20DC5" w:rsidRPr="00CB52D4">
        <w:rPr>
          <w:rFonts w:ascii="Times New Roman" w:hAnsi="Times New Roman"/>
        </w:rPr>
        <w:t>versus time curve from 0 h to 96 h.</w:t>
      </w:r>
    </w:p>
    <w:p w:rsidR="00A20DC5" w:rsidRDefault="00A20DC5" w:rsidP="00A20DC5">
      <w:pPr>
        <w:pStyle w:val="FETableFootnote"/>
      </w:pPr>
    </w:p>
    <w:p w:rsidR="00CB52D4" w:rsidRDefault="00CB52D4" w:rsidP="00CE7499">
      <w:pPr>
        <w:spacing w:after="0" w:line="480" w:lineRule="auto"/>
        <w:jc w:val="both"/>
        <w:rPr>
          <w:rFonts w:ascii="Arial" w:hAnsi="Arial" w:cs="Arial"/>
        </w:rPr>
      </w:pPr>
    </w:p>
    <w:p w:rsidR="00886911" w:rsidRDefault="00886911" w:rsidP="00CE7499">
      <w:pPr>
        <w:spacing w:after="0" w:line="480" w:lineRule="auto"/>
        <w:jc w:val="both"/>
        <w:rPr>
          <w:rFonts w:ascii="Arial" w:hAnsi="Arial" w:cs="Arial"/>
        </w:rPr>
      </w:pPr>
    </w:p>
    <w:p w:rsidR="00255867" w:rsidRDefault="00255867" w:rsidP="003F715E">
      <w:pPr>
        <w:tabs>
          <w:tab w:val="left" w:pos="6300"/>
        </w:tabs>
        <w:rPr>
          <w:rFonts w:ascii="Times New Roman" w:hAnsi="Times New Roman" w:cs="Times New Roman"/>
          <w:b/>
          <w:sz w:val="24"/>
          <w:szCs w:val="24"/>
        </w:rPr>
      </w:pPr>
      <w:r>
        <w:rPr>
          <w:rFonts w:ascii="Times New Roman" w:hAnsi="Times New Roman" w:cs="Times New Roman"/>
          <w:b/>
          <w:sz w:val="24"/>
          <w:szCs w:val="24"/>
        </w:rPr>
        <w:lastRenderedPageBreak/>
        <w:t>Supplementary Figure Legends</w:t>
      </w:r>
    </w:p>
    <w:p w:rsidR="00F4208A" w:rsidRDefault="00CE572D" w:rsidP="00E0448B">
      <w:pPr>
        <w:tabs>
          <w:tab w:val="left" w:pos="6300"/>
        </w:tabs>
        <w:spacing w:after="0" w:line="480" w:lineRule="auto"/>
        <w:jc w:val="both"/>
        <w:rPr>
          <w:rFonts w:ascii="Times New Roman" w:eastAsia="Times New Roman" w:hAnsi="Times New Roman" w:cs="Times New Roman"/>
          <w:sz w:val="24"/>
          <w:szCs w:val="24"/>
        </w:rPr>
      </w:pPr>
      <w:r w:rsidRPr="00F4208A">
        <w:rPr>
          <w:rFonts w:ascii="Times New Roman" w:hAnsi="Times New Roman" w:cs="Times New Roman"/>
          <w:b/>
          <w:sz w:val="24"/>
          <w:szCs w:val="24"/>
        </w:rPr>
        <w:t>Supplementary Fig. S1</w:t>
      </w:r>
      <w:r w:rsidR="00892E2B" w:rsidRPr="00F4208A">
        <w:rPr>
          <w:rFonts w:ascii="Times New Roman" w:hAnsi="Times New Roman" w:cs="Times New Roman"/>
          <w:b/>
          <w:sz w:val="24"/>
          <w:szCs w:val="24"/>
        </w:rPr>
        <w:t xml:space="preserve">. </w:t>
      </w:r>
      <w:r w:rsidR="009729AA" w:rsidRPr="00F4208A">
        <w:rPr>
          <w:rFonts w:ascii="Times New Roman" w:hAnsi="Times New Roman" w:cs="Times New Roman"/>
          <w:sz w:val="24"/>
          <w:szCs w:val="24"/>
        </w:rPr>
        <w:t>Identification</w:t>
      </w:r>
      <w:r w:rsidR="009A7CBF">
        <w:rPr>
          <w:rFonts w:ascii="Times New Roman" w:hAnsi="Times New Roman" w:cs="Times New Roman"/>
          <w:sz w:val="24"/>
          <w:szCs w:val="24"/>
        </w:rPr>
        <w:t xml:space="preserve"> of </w:t>
      </w:r>
      <w:proofErr w:type="spellStart"/>
      <w:r w:rsidR="009A7CBF">
        <w:rPr>
          <w:rFonts w:ascii="Times New Roman" w:hAnsi="Times New Roman" w:cs="Times New Roman"/>
          <w:sz w:val="24"/>
          <w:szCs w:val="24"/>
        </w:rPr>
        <w:t>subregions</w:t>
      </w:r>
      <w:proofErr w:type="spellEnd"/>
      <w:r w:rsidR="009A7CBF">
        <w:rPr>
          <w:rFonts w:ascii="Times New Roman" w:hAnsi="Times New Roman" w:cs="Times New Roman"/>
          <w:sz w:val="24"/>
          <w:szCs w:val="24"/>
        </w:rPr>
        <w:t xml:space="preserve"> in the tumor for classification of </w:t>
      </w:r>
      <w:r w:rsidR="00D76B4F">
        <w:rPr>
          <w:rFonts w:ascii="Times New Roman" w:hAnsi="Times New Roman" w:cs="Times New Roman"/>
          <w:sz w:val="24"/>
          <w:szCs w:val="24"/>
        </w:rPr>
        <w:t xml:space="preserve">F4/80-positive </w:t>
      </w:r>
      <w:r w:rsidR="009A7CBF">
        <w:rPr>
          <w:rFonts w:ascii="Times New Roman" w:hAnsi="Times New Roman" w:cs="Times New Roman"/>
          <w:sz w:val="24"/>
          <w:szCs w:val="24"/>
        </w:rPr>
        <w:t xml:space="preserve">tumor-associated </w:t>
      </w:r>
      <w:r w:rsidR="00D76B4F">
        <w:rPr>
          <w:rFonts w:ascii="Times New Roman" w:hAnsi="Times New Roman" w:cs="Times New Roman"/>
          <w:sz w:val="24"/>
          <w:szCs w:val="24"/>
        </w:rPr>
        <w:t>macrophages (TAM).</w:t>
      </w:r>
      <w:r w:rsidR="009A7CBF">
        <w:rPr>
          <w:rFonts w:ascii="Times New Roman" w:hAnsi="Times New Roman" w:cs="Times New Roman"/>
          <w:sz w:val="24"/>
          <w:szCs w:val="24"/>
        </w:rPr>
        <w:t xml:space="preserve"> </w:t>
      </w:r>
      <w:r w:rsidR="007B2CA8">
        <w:rPr>
          <w:rFonts w:ascii="Times New Roman" w:hAnsi="Times New Roman" w:cs="Times New Roman"/>
          <w:sz w:val="24"/>
          <w:szCs w:val="24"/>
        </w:rPr>
        <w:t xml:space="preserve">TAMs were visualized by staining fixed sections of C3-TAg and T11 tumors using antibodies that specifically recognize the murine macrophage marker F4/80. </w:t>
      </w:r>
      <w:r w:rsidR="009A3F1F" w:rsidRPr="009A3F1F">
        <w:rPr>
          <w:rFonts w:ascii="Times New Roman" w:hAnsi="Times New Roman" w:cs="Times New Roman"/>
          <w:bCs/>
          <w:sz w:val="24"/>
          <w:szCs w:val="24"/>
        </w:rPr>
        <w:t>W</w:t>
      </w:r>
      <w:r w:rsidR="009A3F1F" w:rsidRPr="009A3F1F">
        <w:rPr>
          <w:rFonts w:ascii="Times New Roman" w:hAnsi="Times New Roman" w:cs="Times New Roman"/>
          <w:sz w:val="24"/>
          <w:szCs w:val="24"/>
        </w:rPr>
        <w:t xml:space="preserve">hole tumor images were captured using an Aperio slide scanner </w:t>
      </w:r>
      <w:r w:rsidR="009A3F1F">
        <w:rPr>
          <w:rFonts w:ascii="Times New Roman" w:hAnsi="Times New Roman" w:cs="Times New Roman"/>
          <w:sz w:val="24"/>
          <w:szCs w:val="24"/>
        </w:rPr>
        <w:t>and t</w:t>
      </w:r>
      <w:r w:rsidR="007B2CA8" w:rsidRPr="009A3F1F">
        <w:rPr>
          <w:rFonts w:ascii="Times New Roman" w:hAnsi="Times New Roman" w:cs="Times New Roman"/>
          <w:sz w:val="24"/>
          <w:szCs w:val="24"/>
        </w:rPr>
        <w:t xml:space="preserve">he Aperio ImageScope positive pen tool was used to create the different annotation layers </w:t>
      </w:r>
      <w:r w:rsidR="00321A90" w:rsidRPr="009A3F1F">
        <w:rPr>
          <w:rFonts w:ascii="Times New Roman" w:hAnsi="Times New Roman" w:cs="Times New Roman"/>
          <w:sz w:val="24"/>
          <w:szCs w:val="24"/>
        </w:rPr>
        <w:t xml:space="preserve">depending on </w:t>
      </w:r>
      <w:proofErr w:type="spellStart"/>
      <w:r w:rsidR="00321A90" w:rsidRPr="009A3F1F">
        <w:rPr>
          <w:rFonts w:ascii="Times New Roman" w:hAnsi="Times New Roman" w:cs="Times New Roman"/>
          <w:sz w:val="24"/>
          <w:szCs w:val="24"/>
        </w:rPr>
        <w:t>subregions</w:t>
      </w:r>
      <w:proofErr w:type="spellEnd"/>
      <w:r w:rsidR="00321A90" w:rsidRPr="009A3F1F">
        <w:rPr>
          <w:rFonts w:ascii="Times New Roman" w:hAnsi="Times New Roman" w:cs="Times New Roman"/>
          <w:sz w:val="24"/>
          <w:szCs w:val="24"/>
        </w:rPr>
        <w:t xml:space="preserve"> in the tumor </w:t>
      </w:r>
      <w:r w:rsidR="007B2CA8" w:rsidRPr="009A3F1F">
        <w:rPr>
          <w:rFonts w:ascii="Times New Roman" w:hAnsi="Times New Roman" w:cs="Times New Roman"/>
          <w:sz w:val="24"/>
          <w:szCs w:val="24"/>
        </w:rPr>
        <w:t>(</w:t>
      </w:r>
      <w:r w:rsidR="00321A90" w:rsidRPr="009A3F1F">
        <w:rPr>
          <w:rFonts w:ascii="Times New Roman" w:hAnsi="Times New Roman" w:cs="Times New Roman"/>
          <w:sz w:val="24"/>
          <w:szCs w:val="24"/>
        </w:rPr>
        <w:t xml:space="preserve">e.g., </w:t>
      </w:r>
      <w:r w:rsidR="00BD5A90">
        <w:rPr>
          <w:rFonts w:ascii="Times New Roman" w:hAnsi="Times New Roman" w:cs="Times New Roman"/>
          <w:sz w:val="24"/>
          <w:szCs w:val="24"/>
        </w:rPr>
        <w:t>capsule, viable</w:t>
      </w:r>
      <w:r w:rsidR="007B2CA8" w:rsidRPr="009A3F1F">
        <w:rPr>
          <w:rFonts w:ascii="Times New Roman" w:hAnsi="Times New Roman" w:cs="Times New Roman"/>
          <w:sz w:val="24"/>
          <w:szCs w:val="24"/>
        </w:rPr>
        <w:t>, and necrotic</w:t>
      </w:r>
      <w:r w:rsidR="00BD5A90">
        <w:rPr>
          <w:rFonts w:ascii="Times New Roman" w:hAnsi="Times New Roman" w:cs="Times New Roman"/>
          <w:sz w:val="24"/>
          <w:szCs w:val="24"/>
        </w:rPr>
        <w:t xml:space="preserve"> tumor</w:t>
      </w:r>
      <w:r w:rsidR="007B2CA8" w:rsidRPr="009A3F1F">
        <w:rPr>
          <w:rFonts w:ascii="Times New Roman" w:hAnsi="Times New Roman" w:cs="Times New Roman"/>
          <w:sz w:val="24"/>
          <w:szCs w:val="24"/>
        </w:rPr>
        <w:t xml:space="preserve">) for each tumor section under the guidance of board-certified veterinary pathologist in a blinded manner. </w:t>
      </w:r>
      <w:r w:rsidR="00491088" w:rsidRPr="009A3F1F">
        <w:rPr>
          <w:rFonts w:ascii="Times New Roman" w:hAnsi="Times New Roman" w:cs="Times New Roman"/>
          <w:sz w:val="24"/>
          <w:szCs w:val="24"/>
        </w:rPr>
        <w:t xml:space="preserve">(A) </w:t>
      </w:r>
      <w:r w:rsidR="00283CE2" w:rsidRPr="009A3F1F">
        <w:rPr>
          <w:rFonts w:ascii="Times New Roman" w:hAnsi="Times New Roman" w:cs="Times New Roman"/>
          <w:sz w:val="24"/>
          <w:szCs w:val="24"/>
        </w:rPr>
        <w:t>Digital i</w:t>
      </w:r>
      <w:r w:rsidR="00491088" w:rsidRPr="009A3F1F">
        <w:rPr>
          <w:rFonts w:ascii="Times New Roman" w:hAnsi="Times New Roman" w:cs="Times New Roman"/>
          <w:sz w:val="24"/>
          <w:szCs w:val="24"/>
        </w:rPr>
        <w:t xml:space="preserve">mage of </w:t>
      </w:r>
      <w:r w:rsidR="000C0772">
        <w:rPr>
          <w:rFonts w:ascii="Times New Roman" w:hAnsi="Times New Roman" w:cs="Times New Roman"/>
          <w:sz w:val="24"/>
          <w:szCs w:val="24"/>
        </w:rPr>
        <w:t xml:space="preserve">a </w:t>
      </w:r>
      <w:r w:rsidR="00491088" w:rsidRPr="009A3F1F">
        <w:rPr>
          <w:rFonts w:ascii="Times New Roman" w:hAnsi="Times New Roman" w:cs="Times New Roman"/>
          <w:sz w:val="24"/>
          <w:szCs w:val="24"/>
        </w:rPr>
        <w:t>F4/</w:t>
      </w:r>
      <w:r w:rsidR="00491088">
        <w:rPr>
          <w:rFonts w:ascii="Times New Roman" w:hAnsi="Times New Roman" w:cs="Times New Roman"/>
          <w:sz w:val="24"/>
          <w:szCs w:val="24"/>
        </w:rPr>
        <w:t>80</w:t>
      </w:r>
      <w:r w:rsidR="000C0772">
        <w:rPr>
          <w:rFonts w:ascii="Times New Roman" w:hAnsi="Times New Roman" w:cs="Times New Roman"/>
          <w:sz w:val="24"/>
          <w:szCs w:val="24"/>
        </w:rPr>
        <w:t>-</w:t>
      </w:r>
      <w:r w:rsidR="00491088">
        <w:rPr>
          <w:rFonts w:ascii="Times New Roman" w:hAnsi="Times New Roman" w:cs="Times New Roman"/>
          <w:sz w:val="24"/>
          <w:szCs w:val="24"/>
        </w:rPr>
        <w:t xml:space="preserve">stained T11 tumor section with annotation layers for viable and capsule areas (green) and necrotic areas (blue). (B) </w:t>
      </w:r>
      <w:r w:rsidR="000C0772">
        <w:rPr>
          <w:rFonts w:ascii="Times New Roman" w:hAnsi="Times New Roman" w:cs="Times New Roman"/>
          <w:bCs/>
          <w:sz w:val="24"/>
          <w:szCs w:val="24"/>
        </w:rPr>
        <w:t>Digital image</w:t>
      </w:r>
      <w:r w:rsidR="00491088" w:rsidRPr="00FB32C4">
        <w:rPr>
          <w:rFonts w:ascii="Times New Roman" w:hAnsi="Times New Roman" w:cs="Times New Roman"/>
          <w:bCs/>
          <w:sz w:val="24"/>
          <w:szCs w:val="24"/>
        </w:rPr>
        <w:t xml:space="preserve"> of </w:t>
      </w:r>
      <w:r w:rsidR="000C0772">
        <w:rPr>
          <w:rFonts w:ascii="Times New Roman" w:hAnsi="Times New Roman" w:cs="Times New Roman"/>
          <w:bCs/>
          <w:sz w:val="24"/>
          <w:szCs w:val="24"/>
        </w:rPr>
        <w:t xml:space="preserve">the same </w:t>
      </w:r>
      <w:r w:rsidR="00491088" w:rsidRPr="00FB32C4">
        <w:rPr>
          <w:rFonts w:ascii="Times New Roman" w:hAnsi="Times New Roman" w:cs="Times New Roman"/>
          <w:bCs/>
          <w:sz w:val="24"/>
          <w:szCs w:val="24"/>
        </w:rPr>
        <w:t xml:space="preserve">F4/80-stained T11 tumor section </w:t>
      </w:r>
      <w:r w:rsidR="00283CE2">
        <w:rPr>
          <w:rFonts w:ascii="Times New Roman" w:hAnsi="Times New Roman" w:cs="Times New Roman"/>
          <w:bCs/>
          <w:sz w:val="24"/>
          <w:szCs w:val="24"/>
        </w:rPr>
        <w:t>with t</w:t>
      </w:r>
      <w:r w:rsidR="000C0772">
        <w:rPr>
          <w:rFonts w:ascii="Times New Roman" w:hAnsi="Times New Roman" w:cs="Times New Roman"/>
          <w:bCs/>
          <w:sz w:val="24"/>
          <w:szCs w:val="24"/>
        </w:rPr>
        <w:t>he necrotic areas analyzed by</w:t>
      </w:r>
      <w:r w:rsidR="00491088" w:rsidRPr="00FB32C4">
        <w:rPr>
          <w:rFonts w:ascii="Times New Roman" w:hAnsi="Times New Roman" w:cs="Times New Roman"/>
          <w:bCs/>
          <w:sz w:val="24"/>
          <w:szCs w:val="24"/>
        </w:rPr>
        <w:t xml:space="preserve"> the Aperio Membrane v9 algorithm</w:t>
      </w:r>
      <w:r w:rsidR="00491088">
        <w:rPr>
          <w:rFonts w:ascii="Times New Roman" w:hAnsi="Times New Roman" w:cs="Times New Roman"/>
          <w:bCs/>
          <w:sz w:val="24"/>
          <w:szCs w:val="24"/>
        </w:rPr>
        <w:t xml:space="preserve">. </w:t>
      </w:r>
      <w:r w:rsidR="00491088" w:rsidRPr="00FB32C4">
        <w:rPr>
          <w:rFonts w:ascii="Times New Roman" w:eastAsia="Times New Roman" w:hAnsi="Times New Roman" w:cs="Times New Roman"/>
          <w:sz w:val="24"/>
          <w:szCs w:val="24"/>
        </w:rPr>
        <w:t xml:space="preserve">The same optimized algorithm was run separately on each </w:t>
      </w:r>
      <w:r w:rsidR="00491088">
        <w:rPr>
          <w:rFonts w:ascii="Times New Roman" w:eastAsia="Times New Roman" w:hAnsi="Times New Roman" w:cs="Times New Roman"/>
          <w:sz w:val="24"/>
          <w:szCs w:val="24"/>
        </w:rPr>
        <w:t>annotation layer</w:t>
      </w:r>
      <w:r w:rsidR="00491088" w:rsidRPr="00FB32C4">
        <w:rPr>
          <w:rFonts w:ascii="Times New Roman" w:eastAsia="Times New Roman" w:hAnsi="Times New Roman" w:cs="Times New Roman"/>
          <w:sz w:val="24"/>
          <w:szCs w:val="24"/>
        </w:rPr>
        <w:t xml:space="preserve">. </w:t>
      </w:r>
    </w:p>
    <w:p w:rsidR="00526C6D" w:rsidRPr="00FB32C4" w:rsidRDefault="00526C6D" w:rsidP="00E0448B">
      <w:pPr>
        <w:tabs>
          <w:tab w:val="left" w:pos="6300"/>
        </w:tabs>
        <w:spacing w:after="0" w:line="480" w:lineRule="auto"/>
        <w:jc w:val="both"/>
        <w:rPr>
          <w:rFonts w:ascii="Times New Roman" w:hAnsi="Times New Roman" w:cs="Times New Roman"/>
          <w:sz w:val="24"/>
          <w:szCs w:val="24"/>
        </w:rPr>
      </w:pPr>
    </w:p>
    <w:p w:rsidR="005F4CD5" w:rsidRPr="005F4CD5" w:rsidRDefault="00CE572D" w:rsidP="00E0448B">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Supplementary</w:t>
      </w:r>
      <w:r w:rsidRPr="0079401B">
        <w:rPr>
          <w:rFonts w:ascii="Times New Roman" w:hAnsi="Times New Roman" w:cs="Times New Roman"/>
          <w:b/>
          <w:sz w:val="24"/>
          <w:szCs w:val="24"/>
        </w:rPr>
        <w:t xml:space="preserve"> </w:t>
      </w:r>
      <w:r>
        <w:rPr>
          <w:rFonts w:ascii="Times New Roman" w:hAnsi="Times New Roman" w:cs="Times New Roman"/>
          <w:b/>
          <w:sz w:val="24"/>
          <w:szCs w:val="24"/>
        </w:rPr>
        <w:t>Fig. S2</w:t>
      </w:r>
      <w:r w:rsidRPr="0079401B">
        <w:rPr>
          <w:rFonts w:ascii="Times New Roman" w:hAnsi="Times New Roman" w:cs="Times New Roman"/>
          <w:b/>
          <w:sz w:val="24"/>
          <w:szCs w:val="24"/>
        </w:rPr>
        <w:t>.</w:t>
      </w:r>
      <w:r w:rsidR="00F055FF">
        <w:rPr>
          <w:rFonts w:ascii="Times New Roman" w:hAnsi="Times New Roman" w:cs="Times New Roman"/>
          <w:b/>
          <w:sz w:val="24"/>
          <w:szCs w:val="24"/>
        </w:rPr>
        <w:t xml:space="preserve"> </w:t>
      </w:r>
      <w:r w:rsidR="005F4CD5">
        <w:rPr>
          <w:rFonts w:ascii="Times New Roman" w:hAnsi="Times New Roman" w:cs="Times New Roman"/>
          <w:sz w:val="24"/>
          <w:szCs w:val="24"/>
        </w:rPr>
        <w:t>The lumen analysis in representative vascularized areas in the T11 tumor</w:t>
      </w:r>
      <w:r w:rsidR="005F4CD5" w:rsidRPr="005F4CD5">
        <w:rPr>
          <w:rFonts w:ascii="Times New Roman" w:hAnsi="Times New Roman" w:cs="Times New Roman"/>
          <w:sz w:val="24"/>
          <w:szCs w:val="24"/>
        </w:rPr>
        <w:t>.</w:t>
      </w:r>
      <w:r w:rsidR="005F4CD5" w:rsidRPr="005F4CD5">
        <w:rPr>
          <w:rFonts w:ascii="Times New Roman" w:eastAsia="Times New Roman" w:hAnsi="Times New Roman" w:cs="Times New Roman"/>
          <w:sz w:val="24"/>
          <w:szCs w:val="24"/>
        </w:rPr>
        <w:t xml:space="preserve"> </w:t>
      </w:r>
      <w:r w:rsidR="005F4CD5">
        <w:rPr>
          <w:rFonts w:ascii="Times New Roman" w:eastAsia="Times New Roman" w:hAnsi="Times New Roman" w:cs="Times New Roman"/>
          <w:sz w:val="24"/>
          <w:szCs w:val="24"/>
        </w:rPr>
        <w:t xml:space="preserve">(A) </w:t>
      </w:r>
      <w:r w:rsidR="00E23637">
        <w:rPr>
          <w:rFonts w:ascii="Times New Roman" w:eastAsia="Times New Roman" w:hAnsi="Times New Roman" w:cs="Times New Roman"/>
          <w:sz w:val="24"/>
          <w:szCs w:val="24"/>
        </w:rPr>
        <w:t>Blood vessels</w:t>
      </w:r>
      <w:r w:rsidR="005F4CD5" w:rsidRPr="005F4CD5">
        <w:rPr>
          <w:rFonts w:ascii="Times New Roman" w:eastAsia="Times New Roman" w:hAnsi="Times New Roman" w:cs="Times New Roman"/>
          <w:sz w:val="24"/>
          <w:szCs w:val="24"/>
        </w:rPr>
        <w:t xml:space="preserve"> consisting of endothelial cells </w:t>
      </w:r>
      <w:r w:rsidR="005F4CD5">
        <w:rPr>
          <w:rFonts w:ascii="Times New Roman" w:eastAsia="Times New Roman" w:hAnsi="Times New Roman" w:cs="Times New Roman"/>
          <w:sz w:val="24"/>
          <w:szCs w:val="24"/>
        </w:rPr>
        <w:t xml:space="preserve">are detected </w:t>
      </w:r>
      <w:r w:rsidR="005F4CD5" w:rsidRPr="005F4CD5">
        <w:rPr>
          <w:rFonts w:ascii="Times New Roman" w:eastAsia="Times New Roman" w:hAnsi="Times New Roman" w:cs="Times New Roman"/>
          <w:sz w:val="24"/>
          <w:szCs w:val="24"/>
        </w:rPr>
        <w:t>according to CD31 stain (brown stain)</w:t>
      </w:r>
      <w:r w:rsidR="005F4CD5">
        <w:rPr>
          <w:rFonts w:ascii="Times New Roman" w:eastAsia="Times New Roman" w:hAnsi="Times New Roman" w:cs="Times New Roman"/>
          <w:sz w:val="24"/>
          <w:szCs w:val="24"/>
        </w:rPr>
        <w:t xml:space="preserve"> using </w:t>
      </w:r>
      <w:r w:rsidR="000954FC">
        <w:rPr>
          <w:rFonts w:ascii="Times New Roman" w:eastAsia="Times New Roman" w:hAnsi="Times New Roman" w:cs="Times New Roman"/>
          <w:sz w:val="24"/>
          <w:szCs w:val="24"/>
        </w:rPr>
        <w:t xml:space="preserve">the </w:t>
      </w:r>
      <w:proofErr w:type="spellStart"/>
      <w:r w:rsidR="005F4CD5" w:rsidRPr="005F4CD5">
        <w:rPr>
          <w:rFonts w:ascii="Times New Roman" w:eastAsia="Times New Roman" w:hAnsi="Times New Roman" w:cs="Times New Roman"/>
          <w:sz w:val="24"/>
          <w:szCs w:val="24"/>
        </w:rPr>
        <w:t>Definiens</w:t>
      </w:r>
      <w:proofErr w:type="spellEnd"/>
      <w:r w:rsidR="005F4CD5" w:rsidRPr="005F4CD5">
        <w:rPr>
          <w:rFonts w:ascii="Times New Roman" w:eastAsia="Times New Roman" w:hAnsi="Times New Roman" w:cs="Times New Roman"/>
          <w:sz w:val="24"/>
          <w:szCs w:val="24"/>
        </w:rPr>
        <w:t xml:space="preserve"> vessel algorithm </w:t>
      </w:r>
      <w:r w:rsidR="005F4CD5" w:rsidRPr="005F4CD5">
        <w:rPr>
          <w:rFonts w:ascii="Times New Roman" w:hAnsi="Times New Roman" w:cs="Times New Roman"/>
          <w:sz w:val="24"/>
          <w:szCs w:val="24"/>
        </w:rPr>
        <w:t>(</w:t>
      </w:r>
      <w:r w:rsidR="005F4CD5" w:rsidRPr="005F4CD5">
        <w:rPr>
          <w:rFonts w:ascii="Times New Roman" w:hAnsi="Times New Roman" w:cs="Times New Roman"/>
          <w:sz w:val="24"/>
          <w:szCs w:val="24"/>
          <w:lang w:bidi="en-US"/>
        </w:rPr>
        <w:t>Munich, Germany)</w:t>
      </w:r>
      <w:r w:rsidR="005F4CD5" w:rsidRPr="005F4CD5">
        <w:rPr>
          <w:rFonts w:ascii="Times New Roman" w:eastAsia="Times New Roman" w:hAnsi="Times New Roman" w:cs="Times New Roman"/>
          <w:sz w:val="24"/>
          <w:szCs w:val="24"/>
        </w:rPr>
        <w:t xml:space="preserve">. </w:t>
      </w:r>
      <w:r w:rsidR="0079298B">
        <w:rPr>
          <w:rFonts w:ascii="Times New Roman" w:eastAsia="Times New Roman" w:hAnsi="Times New Roman" w:cs="Times New Roman"/>
          <w:sz w:val="24"/>
          <w:szCs w:val="24"/>
        </w:rPr>
        <w:t>(B) Digital image</w:t>
      </w:r>
      <w:r w:rsidR="005F4CD5">
        <w:rPr>
          <w:rFonts w:ascii="Times New Roman" w:eastAsia="Times New Roman" w:hAnsi="Times New Roman" w:cs="Times New Roman"/>
          <w:sz w:val="24"/>
          <w:szCs w:val="24"/>
        </w:rPr>
        <w:t xml:space="preserve"> of the blood vessel</w:t>
      </w:r>
      <w:r w:rsidR="00861542">
        <w:rPr>
          <w:rFonts w:ascii="Times New Roman" w:eastAsia="Times New Roman" w:hAnsi="Times New Roman" w:cs="Times New Roman"/>
          <w:sz w:val="24"/>
          <w:szCs w:val="24"/>
        </w:rPr>
        <w:t>s with the lumen (</w:t>
      </w:r>
      <w:r w:rsidR="00B35D41">
        <w:rPr>
          <w:rFonts w:ascii="Times New Roman" w:eastAsia="Times New Roman" w:hAnsi="Times New Roman" w:cs="Times New Roman"/>
          <w:sz w:val="24"/>
          <w:szCs w:val="24"/>
        </w:rPr>
        <w:t>green)</w:t>
      </w:r>
      <w:r w:rsidR="00E23637">
        <w:rPr>
          <w:rFonts w:ascii="Times New Roman" w:eastAsia="Times New Roman" w:hAnsi="Times New Roman" w:cs="Times New Roman"/>
          <w:sz w:val="24"/>
          <w:szCs w:val="24"/>
        </w:rPr>
        <w:t xml:space="preserve"> detected</w:t>
      </w:r>
      <w:r w:rsidR="00B35D41">
        <w:rPr>
          <w:rFonts w:ascii="Times New Roman" w:eastAsia="Times New Roman" w:hAnsi="Times New Roman" w:cs="Times New Roman"/>
          <w:sz w:val="24"/>
          <w:szCs w:val="24"/>
        </w:rPr>
        <w:t>. Th</w:t>
      </w:r>
      <w:r w:rsidR="005F4CD5" w:rsidRPr="005F4CD5">
        <w:rPr>
          <w:rFonts w:ascii="Times New Roman" w:eastAsia="Times New Roman" w:hAnsi="Times New Roman" w:cs="Times New Roman"/>
          <w:sz w:val="24"/>
          <w:szCs w:val="24"/>
        </w:rPr>
        <w:t>e algorithm takes a step</w:t>
      </w:r>
      <w:r w:rsidR="00F2185B">
        <w:rPr>
          <w:rFonts w:ascii="Times New Roman" w:eastAsia="Times New Roman" w:hAnsi="Times New Roman" w:cs="Times New Roman"/>
          <w:sz w:val="24"/>
          <w:szCs w:val="24"/>
        </w:rPr>
        <w:t>-wise approach</w:t>
      </w:r>
      <w:r w:rsidR="005F4CD5" w:rsidRPr="005F4CD5">
        <w:rPr>
          <w:rFonts w:ascii="Times New Roman" w:eastAsia="Times New Roman" w:hAnsi="Times New Roman" w:cs="Times New Roman"/>
          <w:sz w:val="24"/>
          <w:szCs w:val="24"/>
        </w:rPr>
        <w:t xml:space="preserve"> to </w:t>
      </w:r>
      <w:r w:rsidR="00F2185B">
        <w:rPr>
          <w:rFonts w:ascii="Times New Roman" w:eastAsia="Times New Roman" w:hAnsi="Times New Roman" w:cs="Times New Roman"/>
          <w:sz w:val="24"/>
          <w:szCs w:val="24"/>
        </w:rPr>
        <w:t>identify</w:t>
      </w:r>
      <w:r w:rsidR="005F4CD5" w:rsidRPr="005F4CD5">
        <w:rPr>
          <w:rFonts w:ascii="Times New Roman" w:eastAsia="Times New Roman" w:hAnsi="Times New Roman" w:cs="Times New Roman"/>
          <w:sz w:val="24"/>
          <w:szCs w:val="24"/>
        </w:rPr>
        <w:t xml:space="preserve"> lumen</w:t>
      </w:r>
      <w:r w:rsidR="00F2185B">
        <w:rPr>
          <w:rFonts w:ascii="Times New Roman" w:eastAsia="Times New Roman" w:hAnsi="Times New Roman" w:cs="Times New Roman"/>
          <w:sz w:val="24"/>
          <w:szCs w:val="24"/>
        </w:rPr>
        <w:t>s</w:t>
      </w:r>
      <w:r w:rsidR="005F4CD5" w:rsidRPr="005F4CD5">
        <w:rPr>
          <w:rFonts w:ascii="Times New Roman" w:eastAsia="Times New Roman" w:hAnsi="Times New Roman" w:cs="Times New Roman"/>
          <w:sz w:val="24"/>
          <w:szCs w:val="24"/>
        </w:rPr>
        <w:t xml:space="preserve"> and connect the endothelial cells around the lumen together to</w:t>
      </w:r>
      <w:r w:rsidR="00F2185B">
        <w:rPr>
          <w:rFonts w:ascii="Times New Roman" w:eastAsia="Times New Roman" w:hAnsi="Times New Roman" w:cs="Times New Roman"/>
          <w:sz w:val="24"/>
          <w:szCs w:val="24"/>
        </w:rPr>
        <w:t xml:space="preserve"> identify a single vessel</w:t>
      </w:r>
      <w:r w:rsidR="00861542">
        <w:rPr>
          <w:rFonts w:ascii="Times New Roman" w:eastAsia="Times New Roman" w:hAnsi="Times New Roman" w:cs="Times New Roman"/>
          <w:sz w:val="24"/>
          <w:szCs w:val="24"/>
        </w:rPr>
        <w:t xml:space="preserve"> (</w:t>
      </w:r>
      <w:r w:rsidR="00B35D41">
        <w:rPr>
          <w:rFonts w:ascii="Times New Roman" w:eastAsia="Times New Roman" w:hAnsi="Times New Roman" w:cs="Times New Roman"/>
          <w:sz w:val="24"/>
          <w:szCs w:val="24"/>
        </w:rPr>
        <w:t>purple)</w:t>
      </w:r>
      <w:r w:rsidR="005F4CD5" w:rsidRPr="005F4CD5">
        <w:rPr>
          <w:rFonts w:ascii="Times New Roman" w:eastAsia="Times New Roman" w:hAnsi="Times New Roman" w:cs="Times New Roman"/>
          <w:sz w:val="24"/>
          <w:szCs w:val="24"/>
        </w:rPr>
        <w:t xml:space="preserve">. </w:t>
      </w:r>
    </w:p>
    <w:p w:rsidR="007D15C0" w:rsidRDefault="007D15C0" w:rsidP="00E0448B">
      <w:pPr>
        <w:tabs>
          <w:tab w:val="left" w:pos="6300"/>
        </w:tabs>
        <w:spacing w:after="0" w:line="480" w:lineRule="auto"/>
        <w:jc w:val="both"/>
        <w:rPr>
          <w:rFonts w:ascii="Times New Roman" w:hAnsi="Times New Roman" w:cs="Times New Roman"/>
          <w:b/>
          <w:sz w:val="24"/>
          <w:szCs w:val="24"/>
        </w:rPr>
      </w:pPr>
    </w:p>
    <w:p w:rsidR="00E0448B" w:rsidRDefault="00E0448B" w:rsidP="00E0448B">
      <w:pPr>
        <w:tabs>
          <w:tab w:val="left" w:pos="6300"/>
        </w:tabs>
        <w:spacing w:after="0" w:line="480" w:lineRule="auto"/>
        <w:jc w:val="both"/>
        <w:rPr>
          <w:rFonts w:ascii="Times New Roman" w:hAnsi="Times New Roman" w:cs="Times New Roman"/>
          <w:b/>
          <w:sz w:val="24"/>
          <w:szCs w:val="24"/>
        </w:rPr>
      </w:pPr>
    </w:p>
    <w:p w:rsidR="00E0448B" w:rsidRDefault="00E0448B" w:rsidP="00E0448B">
      <w:pPr>
        <w:tabs>
          <w:tab w:val="left" w:pos="6300"/>
        </w:tabs>
        <w:spacing w:after="0" w:line="480" w:lineRule="auto"/>
        <w:jc w:val="both"/>
        <w:rPr>
          <w:rFonts w:ascii="Times New Roman" w:hAnsi="Times New Roman" w:cs="Times New Roman"/>
          <w:b/>
          <w:sz w:val="24"/>
          <w:szCs w:val="24"/>
        </w:rPr>
      </w:pPr>
    </w:p>
    <w:p w:rsidR="00E0448B" w:rsidRDefault="00E0448B" w:rsidP="00E0448B">
      <w:pPr>
        <w:tabs>
          <w:tab w:val="left" w:pos="6300"/>
        </w:tabs>
        <w:spacing w:after="0" w:line="480" w:lineRule="auto"/>
        <w:jc w:val="both"/>
        <w:rPr>
          <w:rFonts w:ascii="Times New Roman" w:hAnsi="Times New Roman" w:cs="Times New Roman"/>
          <w:b/>
          <w:sz w:val="24"/>
          <w:szCs w:val="24"/>
        </w:rPr>
      </w:pPr>
    </w:p>
    <w:p w:rsidR="00E0448B" w:rsidRDefault="00E0448B" w:rsidP="00E0448B">
      <w:pPr>
        <w:tabs>
          <w:tab w:val="left" w:pos="6300"/>
        </w:tabs>
        <w:spacing w:after="0" w:line="480" w:lineRule="auto"/>
        <w:jc w:val="both"/>
        <w:rPr>
          <w:rFonts w:ascii="Times New Roman" w:hAnsi="Times New Roman" w:cs="Times New Roman"/>
          <w:b/>
          <w:sz w:val="24"/>
          <w:szCs w:val="24"/>
        </w:rPr>
      </w:pPr>
    </w:p>
    <w:p w:rsidR="0079401B" w:rsidRPr="00060D6D" w:rsidRDefault="00526C6D" w:rsidP="00E0448B">
      <w:pPr>
        <w:tabs>
          <w:tab w:val="left" w:pos="63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w:t>
      </w:r>
      <w:r w:rsidR="0055241C">
        <w:rPr>
          <w:rFonts w:ascii="Times New Roman" w:hAnsi="Times New Roman" w:cs="Times New Roman"/>
          <w:b/>
          <w:sz w:val="24"/>
          <w:szCs w:val="24"/>
        </w:rPr>
        <w:t>upplementary</w:t>
      </w:r>
      <w:r w:rsidR="0055241C" w:rsidRPr="0079401B">
        <w:rPr>
          <w:rFonts w:ascii="Times New Roman" w:hAnsi="Times New Roman" w:cs="Times New Roman"/>
          <w:b/>
          <w:sz w:val="24"/>
          <w:szCs w:val="24"/>
        </w:rPr>
        <w:t xml:space="preserve"> </w:t>
      </w:r>
      <w:r w:rsidR="0055241C">
        <w:rPr>
          <w:rFonts w:ascii="Times New Roman" w:hAnsi="Times New Roman" w:cs="Times New Roman"/>
          <w:b/>
          <w:sz w:val="24"/>
          <w:szCs w:val="24"/>
        </w:rPr>
        <w:t>Fig.</w:t>
      </w:r>
      <w:r w:rsidR="00892E2B">
        <w:rPr>
          <w:rFonts w:ascii="Times New Roman" w:hAnsi="Times New Roman" w:cs="Times New Roman"/>
          <w:b/>
          <w:sz w:val="24"/>
          <w:szCs w:val="24"/>
        </w:rPr>
        <w:t xml:space="preserve"> S</w:t>
      </w:r>
      <w:r w:rsidR="00CE572D">
        <w:rPr>
          <w:rFonts w:ascii="Times New Roman" w:hAnsi="Times New Roman" w:cs="Times New Roman"/>
          <w:b/>
          <w:sz w:val="24"/>
          <w:szCs w:val="24"/>
        </w:rPr>
        <w:t>3</w:t>
      </w:r>
      <w:r w:rsidR="0079401B" w:rsidRPr="0079401B">
        <w:rPr>
          <w:rFonts w:ascii="Times New Roman" w:hAnsi="Times New Roman" w:cs="Times New Roman"/>
          <w:b/>
          <w:sz w:val="24"/>
          <w:szCs w:val="24"/>
        </w:rPr>
        <w:t>.</w:t>
      </w:r>
      <w:r w:rsidR="00347AEC">
        <w:rPr>
          <w:rFonts w:ascii="Times New Roman" w:hAnsi="Times New Roman" w:cs="Times New Roman"/>
          <w:b/>
          <w:sz w:val="24"/>
          <w:szCs w:val="24"/>
        </w:rPr>
        <w:t xml:space="preserve"> </w:t>
      </w:r>
      <w:r w:rsidR="00004EB0" w:rsidRPr="00004EB0">
        <w:rPr>
          <w:rFonts w:ascii="Times New Roman" w:hAnsi="Times New Roman" w:cs="Times New Roman"/>
          <w:bCs/>
          <w:sz w:val="24"/>
          <w:szCs w:val="24"/>
        </w:rPr>
        <w:t>Profiling of collagen in</w:t>
      </w:r>
      <w:r w:rsidR="00004EB0">
        <w:rPr>
          <w:rFonts w:ascii="Times New Roman" w:hAnsi="Times New Roman" w:cs="Times New Roman"/>
          <w:bCs/>
          <w:sz w:val="24"/>
          <w:szCs w:val="24"/>
        </w:rPr>
        <w:t xml:space="preserve"> basal-like</w:t>
      </w:r>
      <w:r w:rsidR="00004EB0" w:rsidRPr="00004EB0">
        <w:rPr>
          <w:rFonts w:ascii="Times New Roman" w:hAnsi="Times New Roman" w:cs="Times New Roman"/>
          <w:bCs/>
          <w:sz w:val="24"/>
          <w:szCs w:val="24"/>
        </w:rPr>
        <w:t xml:space="preserve"> C3-TAg </w:t>
      </w:r>
      <w:r w:rsidR="00060D6D">
        <w:rPr>
          <w:rFonts w:ascii="Times New Roman" w:hAnsi="Times New Roman" w:cs="Times New Roman"/>
          <w:bCs/>
          <w:sz w:val="24"/>
          <w:szCs w:val="24"/>
        </w:rPr>
        <w:t xml:space="preserve">model </w:t>
      </w:r>
      <w:r w:rsidR="00004EB0" w:rsidRPr="00004EB0">
        <w:rPr>
          <w:rFonts w:ascii="Times New Roman" w:hAnsi="Times New Roman" w:cs="Times New Roman"/>
          <w:bCs/>
          <w:sz w:val="24"/>
          <w:szCs w:val="24"/>
        </w:rPr>
        <w:t xml:space="preserve">and </w:t>
      </w:r>
      <w:r w:rsidR="00004EB0">
        <w:rPr>
          <w:rFonts w:ascii="Times New Roman" w:hAnsi="Times New Roman" w:cs="Times New Roman"/>
          <w:bCs/>
          <w:sz w:val="24"/>
          <w:szCs w:val="24"/>
        </w:rPr>
        <w:t xml:space="preserve">claudin-low </w:t>
      </w:r>
      <w:r w:rsidR="00004EB0" w:rsidRPr="00004EB0">
        <w:rPr>
          <w:rFonts w:ascii="Times New Roman" w:hAnsi="Times New Roman" w:cs="Times New Roman"/>
          <w:bCs/>
          <w:sz w:val="24"/>
          <w:szCs w:val="24"/>
        </w:rPr>
        <w:t xml:space="preserve">T11 </w:t>
      </w:r>
      <w:r w:rsidR="00004EB0">
        <w:rPr>
          <w:rFonts w:ascii="Times New Roman" w:hAnsi="Times New Roman" w:cs="Times New Roman"/>
          <w:bCs/>
          <w:sz w:val="24"/>
          <w:szCs w:val="24"/>
        </w:rPr>
        <w:t>model</w:t>
      </w:r>
      <w:r w:rsidR="00004EB0" w:rsidRPr="00004EB0">
        <w:rPr>
          <w:rFonts w:ascii="Times New Roman" w:hAnsi="Times New Roman" w:cs="Times New Roman"/>
          <w:bCs/>
          <w:sz w:val="24"/>
          <w:szCs w:val="24"/>
        </w:rPr>
        <w:t xml:space="preserve"> at baseline and at 96 h after administration of PLD or NL-doxo at 6 mg/kg I.V. x 1 via tail vein. </w:t>
      </w:r>
      <w:r w:rsidR="00060D6D" w:rsidRPr="00060D6D">
        <w:rPr>
          <w:rFonts w:ascii="Times New Roman" w:hAnsi="Times New Roman" w:cs="Times New Roman"/>
          <w:bCs/>
          <w:sz w:val="24"/>
          <w:szCs w:val="24"/>
        </w:rPr>
        <w:t>Data are presented as mean ± SEM</w:t>
      </w:r>
      <w:r w:rsidR="00060D6D">
        <w:rPr>
          <w:rFonts w:ascii="Times New Roman" w:hAnsi="Times New Roman" w:cs="Times New Roman"/>
          <w:bCs/>
          <w:sz w:val="24"/>
          <w:szCs w:val="24"/>
        </w:rPr>
        <w:t xml:space="preserve"> of </w:t>
      </w:r>
      <w:r w:rsidR="00060D6D" w:rsidRPr="00004EB0">
        <w:rPr>
          <w:rFonts w:ascii="Times New Roman" w:hAnsi="Times New Roman" w:cs="Times New Roman"/>
          <w:bCs/>
          <w:sz w:val="24"/>
          <w:szCs w:val="24"/>
        </w:rPr>
        <w:t xml:space="preserve">collagen H-score </w:t>
      </w:r>
      <w:r w:rsidR="00060D6D" w:rsidRPr="00060D6D">
        <w:rPr>
          <w:rFonts w:ascii="Times New Roman" w:hAnsi="Times New Roman" w:cs="Times New Roman"/>
          <w:bCs/>
          <w:sz w:val="24"/>
          <w:szCs w:val="24"/>
        </w:rPr>
        <w:t>(n=3 or 4</w:t>
      </w:r>
      <w:r w:rsidR="00060D6D">
        <w:rPr>
          <w:rFonts w:ascii="Times New Roman" w:hAnsi="Times New Roman" w:cs="Times New Roman"/>
          <w:bCs/>
          <w:sz w:val="24"/>
          <w:szCs w:val="24"/>
        </w:rPr>
        <w:t>)</w:t>
      </w:r>
      <w:r w:rsidR="00004EB0" w:rsidRPr="00004EB0">
        <w:rPr>
          <w:rFonts w:ascii="Times New Roman" w:hAnsi="Times New Roman" w:cs="Times New Roman"/>
          <w:bCs/>
          <w:sz w:val="24"/>
          <w:szCs w:val="24"/>
        </w:rPr>
        <w:t xml:space="preserve"> in (A) </w:t>
      </w:r>
      <w:r w:rsidR="00791582">
        <w:rPr>
          <w:rFonts w:ascii="Times New Roman" w:hAnsi="Times New Roman" w:cs="Times New Roman"/>
          <w:bCs/>
          <w:sz w:val="24"/>
          <w:szCs w:val="24"/>
        </w:rPr>
        <w:t xml:space="preserve">the </w:t>
      </w:r>
      <w:r w:rsidR="00004EB0" w:rsidRPr="00004EB0">
        <w:rPr>
          <w:rFonts w:ascii="Times New Roman" w:hAnsi="Times New Roman" w:cs="Times New Roman"/>
          <w:bCs/>
          <w:sz w:val="24"/>
          <w:szCs w:val="24"/>
        </w:rPr>
        <w:t xml:space="preserve">C3-TAg and (B) </w:t>
      </w:r>
      <w:r w:rsidR="00791582">
        <w:rPr>
          <w:rFonts w:ascii="Times New Roman" w:hAnsi="Times New Roman" w:cs="Times New Roman"/>
          <w:bCs/>
          <w:sz w:val="24"/>
          <w:szCs w:val="24"/>
        </w:rPr>
        <w:t xml:space="preserve">the </w:t>
      </w:r>
      <w:r w:rsidR="00004EB0" w:rsidRPr="00004EB0">
        <w:rPr>
          <w:rFonts w:ascii="Times New Roman" w:hAnsi="Times New Roman" w:cs="Times New Roman"/>
          <w:bCs/>
          <w:sz w:val="24"/>
          <w:szCs w:val="24"/>
        </w:rPr>
        <w:t>T11</w:t>
      </w:r>
      <w:r w:rsidR="00791582">
        <w:rPr>
          <w:rFonts w:ascii="Times New Roman" w:hAnsi="Times New Roman" w:cs="Times New Roman"/>
          <w:bCs/>
          <w:sz w:val="24"/>
          <w:szCs w:val="24"/>
        </w:rPr>
        <w:t xml:space="preserve"> tumors</w:t>
      </w:r>
      <w:r w:rsidR="00004EB0" w:rsidRPr="00060D6D">
        <w:rPr>
          <w:rFonts w:ascii="Times New Roman" w:hAnsi="Times New Roman" w:cs="Times New Roman"/>
          <w:bCs/>
          <w:sz w:val="24"/>
          <w:szCs w:val="24"/>
        </w:rPr>
        <w:t>.</w:t>
      </w:r>
      <w:r w:rsidR="004E2B1C">
        <w:rPr>
          <w:rFonts w:ascii="Times New Roman" w:hAnsi="Times New Roman" w:cs="Times New Roman"/>
          <w:bCs/>
          <w:sz w:val="24"/>
          <w:szCs w:val="24"/>
        </w:rPr>
        <w:t xml:space="preserve"> The baseline collagen amount</w:t>
      </w:r>
      <w:r w:rsidR="006F4D32">
        <w:rPr>
          <w:rFonts w:ascii="Times New Roman" w:hAnsi="Times New Roman" w:cs="Times New Roman"/>
          <w:bCs/>
          <w:sz w:val="24"/>
          <w:szCs w:val="24"/>
        </w:rPr>
        <w:t xml:space="preserve"> was similar between</w:t>
      </w:r>
      <w:r w:rsidR="00791582">
        <w:rPr>
          <w:rFonts w:ascii="Times New Roman" w:hAnsi="Times New Roman" w:cs="Times New Roman"/>
          <w:bCs/>
          <w:sz w:val="24"/>
          <w:szCs w:val="24"/>
        </w:rPr>
        <w:t xml:space="preserve"> the</w:t>
      </w:r>
      <w:r w:rsidR="006F4D32">
        <w:rPr>
          <w:rFonts w:ascii="Times New Roman" w:hAnsi="Times New Roman" w:cs="Times New Roman"/>
          <w:bCs/>
          <w:sz w:val="24"/>
          <w:szCs w:val="24"/>
        </w:rPr>
        <w:t xml:space="preserve"> two models. The</w:t>
      </w:r>
      <w:r w:rsidR="00791582">
        <w:rPr>
          <w:rFonts w:ascii="Times New Roman" w:hAnsi="Times New Roman" w:cs="Times New Roman"/>
          <w:bCs/>
          <w:sz w:val="24"/>
          <w:szCs w:val="24"/>
        </w:rPr>
        <w:t xml:space="preserve">re was no significant change at </w:t>
      </w:r>
      <w:r w:rsidR="006F4D32">
        <w:rPr>
          <w:rFonts w:ascii="Times New Roman" w:hAnsi="Times New Roman" w:cs="Times New Roman"/>
          <w:bCs/>
          <w:sz w:val="24"/>
          <w:szCs w:val="24"/>
        </w:rPr>
        <w:t xml:space="preserve">96 h after NL-doxo or PLD </w:t>
      </w:r>
      <w:r w:rsidR="00791582">
        <w:rPr>
          <w:rFonts w:ascii="Times New Roman" w:hAnsi="Times New Roman" w:cs="Times New Roman"/>
          <w:bCs/>
          <w:sz w:val="24"/>
          <w:szCs w:val="24"/>
        </w:rPr>
        <w:t xml:space="preserve">administration </w:t>
      </w:r>
      <w:r w:rsidR="006F4D32">
        <w:rPr>
          <w:rFonts w:ascii="Times New Roman" w:hAnsi="Times New Roman" w:cs="Times New Roman"/>
          <w:bCs/>
          <w:sz w:val="24"/>
          <w:szCs w:val="24"/>
        </w:rPr>
        <w:t>in both models.</w:t>
      </w:r>
      <w:r w:rsidR="00060D6D" w:rsidRPr="00060D6D">
        <w:rPr>
          <w:rFonts w:ascii="Times New Roman" w:hAnsi="Times New Roman" w:cs="Times New Roman"/>
          <w:bCs/>
          <w:sz w:val="24"/>
          <w:szCs w:val="24"/>
        </w:rPr>
        <w:t xml:space="preserve"> </w:t>
      </w:r>
      <w:r w:rsidR="00060D6D">
        <w:rPr>
          <w:rFonts w:ascii="Times New Roman" w:hAnsi="Times New Roman" w:cs="Times New Roman"/>
          <w:bCs/>
          <w:sz w:val="24"/>
          <w:szCs w:val="24"/>
        </w:rPr>
        <w:t xml:space="preserve">Collagen </w:t>
      </w:r>
      <w:r w:rsidR="00060D6D" w:rsidRPr="00060D6D">
        <w:rPr>
          <w:rFonts w:ascii="Times New Roman" w:hAnsi="Times New Roman" w:cs="Times New Roman"/>
          <w:bCs/>
          <w:sz w:val="24"/>
          <w:szCs w:val="24"/>
        </w:rPr>
        <w:t xml:space="preserve">in </w:t>
      </w:r>
      <w:r w:rsidR="00791582">
        <w:rPr>
          <w:rFonts w:ascii="Times New Roman" w:hAnsi="Times New Roman" w:cs="Times New Roman"/>
          <w:bCs/>
          <w:sz w:val="24"/>
          <w:szCs w:val="24"/>
        </w:rPr>
        <w:t xml:space="preserve">the </w:t>
      </w:r>
      <w:r w:rsidR="00060D6D" w:rsidRPr="00060D6D">
        <w:rPr>
          <w:rFonts w:ascii="Times New Roman" w:hAnsi="Times New Roman" w:cs="Times New Roman"/>
          <w:bCs/>
          <w:sz w:val="24"/>
          <w:szCs w:val="24"/>
        </w:rPr>
        <w:t>capsule and viable tumor were assessed for analysis.</w:t>
      </w:r>
    </w:p>
    <w:p w:rsidR="0079401B" w:rsidRDefault="0079401B" w:rsidP="00E0448B">
      <w:pPr>
        <w:tabs>
          <w:tab w:val="left" w:pos="6300"/>
        </w:tabs>
        <w:spacing w:after="0" w:line="480" w:lineRule="auto"/>
        <w:jc w:val="both"/>
        <w:rPr>
          <w:rFonts w:ascii="Arial" w:hAnsi="Arial" w:cs="Arial"/>
          <w:b/>
        </w:rPr>
      </w:pPr>
    </w:p>
    <w:p w:rsidR="003F715E" w:rsidRPr="0079401B" w:rsidRDefault="0055241C" w:rsidP="00E0448B">
      <w:pPr>
        <w:tabs>
          <w:tab w:val="left" w:pos="630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Supplementary</w:t>
      </w:r>
      <w:r w:rsidRPr="0079401B">
        <w:rPr>
          <w:rFonts w:ascii="Times New Roman" w:hAnsi="Times New Roman" w:cs="Times New Roman"/>
          <w:b/>
          <w:sz w:val="24"/>
          <w:szCs w:val="24"/>
        </w:rPr>
        <w:t xml:space="preserve"> </w:t>
      </w:r>
      <w:r w:rsidR="0079401B" w:rsidRPr="0079401B">
        <w:rPr>
          <w:rFonts w:ascii="Times New Roman" w:hAnsi="Times New Roman" w:cs="Times New Roman"/>
          <w:b/>
          <w:sz w:val="24"/>
          <w:szCs w:val="24"/>
        </w:rPr>
        <w:t>Fig</w:t>
      </w:r>
      <w:r>
        <w:rPr>
          <w:rFonts w:ascii="Times New Roman" w:hAnsi="Times New Roman" w:cs="Times New Roman"/>
          <w:b/>
          <w:sz w:val="24"/>
          <w:szCs w:val="24"/>
        </w:rPr>
        <w:t>.</w:t>
      </w:r>
      <w:r w:rsidR="0079401B" w:rsidRPr="0079401B">
        <w:rPr>
          <w:rFonts w:ascii="Times New Roman" w:hAnsi="Times New Roman" w:cs="Times New Roman"/>
          <w:b/>
          <w:sz w:val="24"/>
          <w:szCs w:val="24"/>
        </w:rPr>
        <w:t xml:space="preserve"> S</w:t>
      </w:r>
      <w:r w:rsidR="00CE572D">
        <w:rPr>
          <w:rFonts w:ascii="Times New Roman" w:hAnsi="Times New Roman" w:cs="Times New Roman"/>
          <w:b/>
          <w:sz w:val="24"/>
          <w:szCs w:val="24"/>
        </w:rPr>
        <w:t>4</w:t>
      </w:r>
      <w:r w:rsidR="003F715E" w:rsidRPr="0079401B">
        <w:rPr>
          <w:rFonts w:ascii="Times New Roman" w:hAnsi="Times New Roman" w:cs="Times New Roman"/>
          <w:b/>
          <w:sz w:val="24"/>
          <w:szCs w:val="24"/>
        </w:rPr>
        <w:t xml:space="preserve">. </w:t>
      </w:r>
      <w:r w:rsidR="003F715E" w:rsidRPr="0079401B">
        <w:rPr>
          <w:rFonts w:ascii="Times New Roman" w:hAnsi="Times New Roman" w:cs="Times New Roman"/>
          <w:sz w:val="24"/>
          <w:szCs w:val="24"/>
        </w:rPr>
        <w:t>Siz</w:t>
      </w:r>
      <w:r w:rsidR="00791582">
        <w:rPr>
          <w:rFonts w:ascii="Times New Roman" w:hAnsi="Times New Roman" w:cs="Times New Roman"/>
          <w:sz w:val="24"/>
          <w:szCs w:val="24"/>
        </w:rPr>
        <w:t>e distribution of baseline</w:t>
      </w:r>
      <w:r w:rsidR="003F715E" w:rsidRPr="0079401B">
        <w:rPr>
          <w:rFonts w:ascii="Times New Roman" w:hAnsi="Times New Roman" w:cs="Times New Roman"/>
          <w:sz w:val="24"/>
          <w:szCs w:val="24"/>
        </w:rPr>
        <w:t xml:space="preserve"> blood vessels in </w:t>
      </w:r>
      <w:r w:rsidR="00791582">
        <w:rPr>
          <w:rFonts w:ascii="Times New Roman" w:hAnsi="Times New Roman" w:cs="Times New Roman"/>
          <w:sz w:val="24"/>
          <w:szCs w:val="24"/>
        </w:rPr>
        <w:t xml:space="preserve">the </w:t>
      </w:r>
      <w:r w:rsidR="003F715E" w:rsidRPr="0079401B">
        <w:rPr>
          <w:rFonts w:ascii="Times New Roman" w:hAnsi="Times New Roman" w:cs="Times New Roman"/>
          <w:sz w:val="24"/>
          <w:szCs w:val="24"/>
        </w:rPr>
        <w:t>C3-TAg</w:t>
      </w:r>
      <w:r w:rsidR="00791582">
        <w:rPr>
          <w:rFonts w:ascii="Times New Roman" w:hAnsi="Times New Roman" w:cs="Times New Roman"/>
          <w:sz w:val="24"/>
          <w:szCs w:val="24"/>
        </w:rPr>
        <w:t xml:space="preserve"> tumors</w:t>
      </w:r>
      <w:r w:rsidR="006F4D32">
        <w:rPr>
          <w:rFonts w:ascii="Times New Roman" w:hAnsi="Times New Roman" w:cs="Times New Roman"/>
          <w:sz w:val="24"/>
          <w:szCs w:val="24"/>
        </w:rPr>
        <w:t xml:space="preserve"> </w:t>
      </w:r>
      <w:r w:rsidR="003F715E" w:rsidRPr="0079401B">
        <w:rPr>
          <w:rFonts w:ascii="Times New Roman" w:hAnsi="Times New Roman" w:cs="Times New Roman"/>
          <w:sz w:val="24"/>
          <w:szCs w:val="24"/>
        </w:rPr>
        <w:t>and</w:t>
      </w:r>
      <w:r w:rsidR="006F4D32">
        <w:rPr>
          <w:rFonts w:ascii="Times New Roman" w:hAnsi="Times New Roman" w:cs="Times New Roman"/>
          <w:sz w:val="24"/>
          <w:szCs w:val="24"/>
        </w:rPr>
        <w:t xml:space="preserve"> </w:t>
      </w:r>
      <w:r w:rsidR="00791582">
        <w:rPr>
          <w:rFonts w:ascii="Times New Roman" w:hAnsi="Times New Roman" w:cs="Times New Roman"/>
          <w:sz w:val="24"/>
          <w:szCs w:val="24"/>
        </w:rPr>
        <w:t>the</w:t>
      </w:r>
      <w:r w:rsidR="003F715E" w:rsidRPr="0079401B">
        <w:rPr>
          <w:rFonts w:ascii="Times New Roman" w:hAnsi="Times New Roman" w:cs="Times New Roman"/>
          <w:sz w:val="24"/>
          <w:szCs w:val="24"/>
        </w:rPr>
        <w:t xml:space="preserve"> T11</w:t>
      </w:r>
      <w:r w:rsidR="006F4D32">
        <w:rPr>
          <w:rFonts w:ascii="Times New Roman" w:hAnsi="Times New Roman" w:cs="Times New Roman"/>
          <w:sz w:val="24"/>
          <w:szCs w:val="24"/>
        </w:rPr>
        <w:t xml:space="preserve"> </w:t>
      </w:r>
      <w:r w:rsidR="00791582">
        <w:rPr>
          <w:rFonts w:ascii="Times New Roman" w:hAnsi="Times New Roman" w:cs="Times New Roman"/>
          <w:sz w:val="24"/>
          <w:szCs w:val="24"/>
        </w:rPr>
        <w:t>tumors</w:t>
      </w:r>
      <w:r w:rsidR="003F715E" w:rsidRPr="0079401B">
        <w:rPr>
          <w:rFonts w:ascii="Times New Roman" w:hAnsi="Times New Roman" w:cs="Times New Roman"/>
          <w:sz w:val="24"/>
          <w:szCs w:val="24"/>
        </w:rPr>
        <w:t xml:space="preserve">. </w:t>
      </w:r>
      <w:r w:rsidR="003F715E" w:rsidRPr="006F4D32">
        <w:rPr>
          <w:rFonts w:ascii="Times New Roman" w:hAnsi="Times New Roman" w:cs="Times New Roman"/>
          <w:sz w:val="24"/>
          <w:szCs w:val="24"/>
        </w:rPr>
        <w:t xml:space="preserve">Most of the vessels identified were small (~87%), followed by medium (12%) and large (1%) in </w:t>
      </w:r>
      <w:r w:rsidR="00791582">
        <w:rPr>
          <w:rFonts w:ascii="Times New Roman" w:hAnsi="Times New Roman" w:cs="Times New Roman"/>
          <w:sz w:val="24"/>
          <w:szCs w:val="24"/>
        </w:rPr>
        <w:t xml:space="preserve">the </w:t>
      </w:r>
      <w:r w:rsidR="003F715E" w:rsidRPr="006F4D32">
        <w:rPr>
          <w:rFonts w:ascii="Times New Roman" w:hAnsi="Times New Roman" w:cs="Times New Roman"/>
          <w:sz w:val="24"/>
          <w:szCs w:val="24"/>
        </w:rPr>
        <w:t xml:space="preserve">both </w:t>
      </w:r>
      <w:r w:rsidR="00791582">
        <w:rPr>
          <w:rFonts w:ascii="Times New Roman" w:hAnsi="Times New Roman" w:cs="Times New Roman"/>
          <w:sz w:val="24"/>
          <w:szCs w:val="24"/>
        </w:rPr>
        <w:t>tumors</w:t>
      </w:r>
      <w:r w:rsidR="003F715E" w:rsidRPr="006F4D32">
        <w:rPr>
          <w:rFonts w:ascii="Times New Roman" w:hAnsi="Times New Roman" w:cs="Times New Roman"/>
          <w:sz w:val="24"/>
          <w:szCs w:val="24"/>
        </w:rPr>
        <w:t xml:space="preserve">. The vascular size was defined </w:t>
      </w:r>
      <w:r w:rsidR="003F715E" w:rsidRPr="00B9382A">
        <w:rPr>
          <w:rFonts w:ascii="Times New Roman" w:hAnsi="Times New Roman" w:cs="Times New Roman"/>
          <w:sz w:val="24"/>
          <w:szCs w:val="24"/>
        </w:rPr>
        <w:t>as small &lt; 40 µm</w:t>
      </w:r>
      <w:r w:rsidR="003F715E" w:rsidRPr="00B9382A">
        <w:rPr>
          <w:rFonts w:ascii="Times New Roman" w:hAnsi="Times New Roman" w:cs="Times New Roman"/>
          <w:sz w:val="24"/>
          <w:szCs w:val="24"/>
          <w:vertAlign w:val="superscript"/>
        </w:rPr>
        <w:t>2</w:t>
      </w:r>
      <w:r w:rsidR="00526C6D" w:rsidRPr="00B9382A">
        <w:rPr>
          <w:rFonts w:ascii="Times New Roman" w:hAnsi="Times New Roman" w:cs="Times New Roman"/>
          <w:sz w:val="24"/>
          <w:szCs w:val="24"/>
        </w:rPr>
        <w:t>, medium 40 µm</w:t>
      </w:r>
      <w:r w:rsidR="00526C6D" w:rsidRPr="00B9382A">
        <w:rPr>
          <w:rFonts w:ascii="Times New Roman" w:hAnsi="Times New Roman" w:cs="Times New Roman"/>
          <w:sz w:val="24"/>
          <w:szCs w:val="24"/>
          <w:vertAlign w:val="superscript"/>
        </w:rPr>
        <w:t>2</w:t>
      </w:r>
      <w:r w:rsidR="00526C6D" w:rsidRPr="00B9382A">
        <w:rPr>
          <w:rFonts w:ascii="Times New Roman" w:hAnsi="Times New Roman" w:cs="Times New Roman"/>
          <w:sz w:val="24"/>
          <w:szCs w:val="24"/>
        </w:rPr>
        <w:t xml:space="preserve"> ≤ and &lt; 400 µm</w:t>
      </w:r>
      <w:r w:rsidR="00526C6D" w:rsidRPr="00B9382A">
        <w:rPr>
          <w:rFonts w:ascii="Times New Roman" w:hAnsi="Times New Roman" w:cs="Times New Roman"/>
          <w:sz w:val="24"/>
          <w:szCs w:val="24"/>
          <w:vertAlign w:val="superscript"/>
        </w:rPr>
        <w:t>2</w:t>
      </w:r>
      <w:r w:rsidR="00526C6D" w:rsidRPr="00B9382A">
        <w:rPr>
          <w:rFonts w:ascii="Times New Roman" w:hAnsi="Times New Roman" w:cs="Times New Roman"/>
          <w:sz w:val="24"/>
          <w:szCs w:val="24"/>
        </w:rPr>
        <w:t>, and large ≥ 400 µm</w:t>
      </w:r>
      <w:r w:rsidR="00526C6D" w:rsidRPr="00B9382A">
        <w:rPr>
          <w:rFonts w:ascii="Times New Roman" w:hAnsi="Times New Roman" w:cs="Times New Roman"/>
          <w:sz w:val="24"/>
          <w:szCs w:val="24"/>
          <w:vertAlign w:val="superscript"/>
        </w:rPr>
        <w:t>2</w:t>
      </w:r>
      <w:r w:rsidR="003F715E" w:rsidRPr="00B9382A">
        <w:rPr>
          <w:rFonts w:ascii="Times New Roman" w:hAnsi="Times New Roman" w:cs="Times New Roman"/>
          <w:sz w:val="24"/>
          <w:szCs w:val="24"/>
        </w:rPr>
        <w:t xml:space="preserve">. </w:t>
      </w:r>
      <w:r w:rsidR="006F4D32" w:rsidRPr="00B9382A">
        <w:rPr>
          <w:rFonts w:ascii="Times New Roman" w:hAnsi="Times New Roman" w:cs="Times New Roman"/>
          <w:bCs/>
          <w:sz w:val="24"/>
          <w:szCs w:val="24"/>
        </w:rPr>
        <w:t>F</w:t>
      </w:r>
      <w:r w:rsidR="006F4D32" w:rsidRPr="00B9382A">
        <w:rPr>
          <w:rFonts w:ascii="Times New Roman" w:hAnsi="Times New Roman" w:cs="Times New Roman"/>
          <w:sz w:val="24"/>
          <w:szCs w:val="24"/>
        </w:rPr>
        <w:t xml:space="preserve">ive most vascularized areas within </w:t>
      </w:r>
      <w:r w:rsidR="00791582" w:rsidRPr="00B9382A">
        <w:rPr>
          <w:rFonts w:ascii="Times New Roman" w:hAnsi="Times New Roman" w:cs="Times New Roman"/>
          <w:sz w:val="24"/>
          <w:szCs w:val="24"/>
        </w:rPr>
        <w:t xml:space="preserve">the </w:t>
      </w:r>
      <w:r w:rsidR="006F4D32" w:rsidRPr="00B9382A">
        <w:rPr>
          <w:rFonts w:ascii="Times New Roman" w:hAnsi="Times New Roman" w:cs="Times New Roman"/>
          <w:sz w:val="24"/>
          <w:szCs w:val="24"/>
        </w:rPr>
        <w:t>tumor</w:t>
      </w:r>
      <w:r w:rsidR="00791582" w:rsidRPr="00B9382A">
        <w:rPr>
          <w:rFonts w:ascii="Times New Roman" w:hAnsi="Times New Roman" w:cs="Times New Roman"/>
          <w:sz w:val="24"/>
          <w:szCs w:val="24"/>
        </w:rPr>
        <w:t>s</w:t>
      </w:r>
      <w:r w:rsidR="006F4D32" w:rsidRPr="006F4D32">
        <w:rPr>
          <w:rFonts w:ascii="Times New Roman" w:hAnsi="Times New Roman" w:cs="Times New Roman"/>
          <w:sz w:val="24"/>
          <w:szCs w:val="24"/>
        </w:rPr>
        <w:t xml:space="preserve"> (‘hotspot’/0.74 mm</w:t>
      </w:r>
      <w:bookmarkStart w:id="0" w:name="_GoBack"/>
      <w:r w:rsidR="006F4D32" w:rsidRPr="007A1A66">
        <w:rPr>
          <w:rFonts w:ascii="Times New Roman" w:hAnsi="Times New Roman" w:cs="Times New Roman"/>
          <w:sz w:val="24"/>
          <w:szCs w:val="24"/>
          <w:vertAlign w:val="superscript"/>
        </w:rPr>
        <w:t>2</w:t>
      </w:r>
      <w:bookmarkEnd w:id="0"/>
      <w:r w:rsidR="006F4D32" w:rsidRPr="006F4D32">
        <w:rPr>
          <w:rFonts w:ascii="Times New Roman" w:hAnsi="Times New Roman" w:cs="Times New Roman"/>
          <w:sz w:val="24"/>
          <w:szCs w:val="24"/>
        </w:rPr>
        <w:t>) were chosen for evaluation of the size distribution. Each of these five areas was analyzed and the mean was calculated per slide</w:t>
      </w:r>
      <w:r w:rsidR="006F4D32">
        <w:rPr>
          <w:rFonts w:ascii="Times New Roman" w:hAnsi="Times New Roman" w:cs="Times New Roman"/>
          <w:sz w:val="24"/>
          <w:szCs w:val="24"/>
        </w:rPr>
        <w:t>.</w:t>
      </w:r>
      <w:r w:rsidR="006F4D32" w:rsidRPr="006F4D32">
        <w:rPr>
          <w:rFonts w:ascii="Times New Roman" w:hAnsi="Times New Roman" w:cs="Times New Roman"/>
          <w:sz w:val="24"/>
          <w:szCs w:val="24"/>
        </w:rPr>
        <w:t xml:space="preserve"> </w:t>
      </w:r>
      <w:r w:rsidR="003F715E" w:rsidRPr="006F4D32">
        <w:rPr>
          <w:rFonts w:ascii="Times New Roman" w:hAnsi="Times New Roman" w:cs="Times New Roman"/>
          <w:sz w:val="24"/>
          <w:szCs w:val="24"/>
        </w:rPr>
        <w:t xml:space="preserve">Data are presented as mean ± SEM (n= 3 or 4). </w:t>
      </w:r>
    </w:p>
    <w:p w:rsidR="003F715E" w:rsidRDefault="003F715E" w:rsidP="00F4208A">
      <w:pPr>
        <w:jc w:val="both"/>
        <w:rPr>
          <w:rFonts w:ascii="Arial" w:hAnsi="Arial" w:cs="Arial"/>
        </w:rPr>
      </w:pPr>
    </w:p>
    <w:sectPr w:rsidR="003F71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3A" w:rsidRDefault="00F44E3A" w:rsidP="00071042">
      <w:pPr>
        <w:spacing w:after="0" w:line="240" w:lineRule="auto"/>
      </w:pPr>
      <w:r>
        <w:separator/>
      </w:r>
    </w:p>
  </w:endnote>
  <w:endnote w:type="continuationSeparator" w:id="0">
    <w:p w:rsidR="00F44E3A" w:rsidRDefault="00F44E3A" w:rsidP="000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45014"/>
      <w:docPartObj>
        <w:docPartGallery w:val="Page Numbers (Bottom of Page)"/>
        <w:docPartUnique/>
      </w:docPartObj>
    </w:sdtPr>
    <w:sdtEndPr>
      <w:rPr>
        <w:noProof/>
      </w:rPr>
    </w:sdtEndPr>
    <w:sdtContent>
      <w:p w:rsidR="00071042" w:rsidRDefault="00071042">
        <w:pPr>
          <w:pStyle w:val="Footer"/>
          <w:jc w:val="center"/>
        </w:pPr>
        <w:r>
          <w:fldChar w:fldCharType="begin"/>
        </w:r>
        <w:r>
          <w:instrText xml:space="preserve"> PAGE   \* MERGEFORMAT </w:instrText>
        </w:r>
        <w:r>
          <w:fldChar w:fldCharType="separate"/>
        </w:r>
        <w:r w:rsidR="007A1A66">
          <w:rPr>
            <w:noProof/>
          </w:rPr>
          <w:t>6</w:t>
        </w:r>
        <w:r>
          <w:rPr>
            <w:noProof/>
          </w:rPr>
          <w:fldChar w:fldCharType="end"/>
        </w:r>
      </w:p>
    </w:sdtContent>
  </w:sdt>
  <w:p w:rsidR="00071042" w:rsidRDefault="00071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3A" w:rsidRDefault="00F44E3A" w:rsidP="00071042">
      <w:pPr>
        <w:spacing w:after="0" w:line="240" w:lineRule="auto"/>
      </w:pPr>
      <w:r>
        <w:separator/>
      </w:r>
    </w:p>
  </w:footnote>
  <w:footnote w:type="continuationSeparator" w:id="0">
    <w:p w:rsidR="00F44E3A" w:rsidRDefault="00F44E3A" w:rsidP="00071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2" w:rsidRDefault="00071042">
    <w:pPr>
      <w:pStyle w:val="Header"/>
    </w:pPr>
  </w:p>
  <w:p w:rsidR="00071042" w:rsidRDefault="0007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EE1"/>
    <w:multiLevelType w:val="hybridMultilevel"/>
    <w:tmpl w:val="22BE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7391D"/>
    <w:multiLevelType w:val="hybridMultilevel"/>
    <w:tmpl w:val="1D06C6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E2616"/>
    <w:multiLevelType w:val="hybridMultilevel"/>
    <w:tmpl w:val="0C04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075DD"/>
    <w:multiLevelType w:val="hybridMultilevel"/>
    <w:tmpl w:val="1850230A"/>
    <w:lvl w:ilvl="0" w:tplc="7878EE0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937E3"/>
    <w:multiLevelType w:val="hybridMultilevel"/>
    <w:tmpl w:val="1C52F65A"/>
    <w:lvl w:ilvl="0" w:tplc="91F4DCEA">
      <w:start w:val="1"/>
      <w:numFmt w:val="decimal"/>
      <w:lvlText w:val="%1."/>
      <w:lvlJc w:val="left"/>
      <w:pPr>
        <w:ind w:left="720" w:hanging="360"/>
      </w:pPr>
      <w:rPr>
        <w:rFonts w:ascii="Arial" w:eastAsiaTheme="minorEastAsia"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F1406"/>
    <w:multiLevelType w:val="hybridMultilevel"/>
    <w:tmpl w:val="45CAA3F6"/>
    <w:lvl w:ilvl="0" w:tplc="9CA8472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A0501"/>
    <w:multiLevelType w:val="hybridMultilevel"/>
    <w:tmpl w:val="C0CCE80A"/>
    <w:lvl w:ilvl="0" w:tplc="8D4AD872">
      <w:start w:val="1"/>
      <w:numFmt w:val="decimal"/>
      <w:lvlText w:val="%1."/>
      <w:lvlJc w:val="left"/>
      <w:pPr>
        <w:ind w:left="72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79"/>
    <w:rsid w:val="000047DF"/>
    <w:rsid w:val="00004EB0"/>
    <w:rsid w:val="00013EAD"/>
    <w:rsid w:val="000224DC"/>
    <w:rsid w:val="00022C0A"/>
    <w:rsid w:val="00025938"/>
    <w:rsid w:val="00027770"/>
    <w:rsid w:val="00035D5E"/>
    <w:rsid w:val="000363D2"/>
    <w:rsid w:val="000431CD"/>
    <w:rsid w:val="00043ABD"/>
    <w:rsid w:val="00060D6D"/>
    <w:rsid w:val="00066F9B"/>
    <w:rsid w:val="00071042"/>
    <w:rsid w:val="00073F12"/>
    <w:rsid w:val="00074AFE"/>
    <w:rsid w:val="000770F8"/>
    <w:rsid w:val="0008241D"/>
    <w:rsid w:val="000931D5"/>
    <w:rsid w:val="000954FC"/>
    <w:rsid w:val="00096D6F"/>
    <w:rsid w:val="00097EA9"/>
    <w:rsid w:val="000A0419"/>
    <w:rsid w:val="000B6AA0"/>
    <w:rsid w:val="000C0772"/>
    <w:rsid w:val="000C2FA3"/>
    <w:rsid w:val="000D2095"/>
    <w:rsid w:val="000D376D"/>
    <w:rsid w:val="000E162A"/>
    <w:rsid w:val="000E175E"/>
    <w:rsid w:val="000E1778"/>
    <w:rsid w:val="000F0193"/>
    <w:rsid w:val="000F2C26"/>
    <w:rsid w:val="000F3496"/>
    <w:rsid w:val="000F493A"/>
    <w:rsid w:val="00100F42"/>
    <w:rsid w:val="0010503C"/>
    <w:rsid w:val="00112759"/>
    <w:rsid w:val="0011406B"/>
    <w:rsid w:val="00115D6B"/>
    <w:rsid w:val="00120E68"/>
    <w:rsid w:val="001230A6"/>
    <w:rsid w:val="00124205"/>
    <w:rsid w:val="00147835"/>
    <w:rsid w:val="00156183"/>
    <w:rsid w:val="0015744E"/>
    <w:rsid w:val="00157525"/>
    <w:rsid w:val="0016178D"/>
    <w:rsid w:val="00176BD3"/>
    <w:rsid w:val="00186FA8"/>
    <w:rsid w:val="00195434"/>
    <w:rsid w:val="001A05EC"/>
    <w:rsid w:val="001A09B8"/>
    <w:rsid w:val="001B2F7F"/>
    <w:rsid w:val="001B4F3F"/>
    <w:rsid w:val="001B5010"/>
    <w:rsid w:val="001C11D9"/>
    <w:rsid w:val="001C2BAD"/>
    <w:rsid w:val="001C3CFD"/>
    <w:rsid w:val="001D4F90"/>
    <w:rsid w:val="001D5435"/>
    <w:rsid w:val="001E5334"/>
    <w:rsid w:val="001E5EAD"/>
    <w:rsid w:val="001E7523"/>
    <w:rsid w:val="001F7F6E"/>
    <w:rsid w:val="00202AA7"/>
    <w:rsid w:val="00204E96"/>
    <w:rsid w:val="0020798E"/>
    <w:rsid w:val="00210CF9"/>
    <w:rsid w:val="00211B88"/>
    <w:rsid w:val="00217F5E"/>
    <w:rsid w:val="00223DB5"/>
    <w:rsid w:val="002265F0"/>
    <w:rsid w:val="00226BC0"/>
    <w:rsid w:val="00235B43"/>
    <w:rsid w:val="00235FD7"/>
    <w:rsid w:val="00237848"/>
    <w:rsid w:val="0024009A"/>
    <w:rsid w:val="002400F3"/>
    <w:rsid w:val="00240E79"/>
    <w:rsid w:val="00243524"/>
    <w:rsid w:val="002466E9"/>
    <w:rsid w:val="00255867"/>
    <w:rsid w:val="00262C91"/>
    <w:rsid w:val="00276172"/>
    <w:rsid w:val="002777F9"/>
    <w:rsid w:val="00277C02"/>
    <w:rsid w:val="00281767"/>
    <w:rsid w:val="00283CE2"/>
    <w:rsid w:val="00286241"/>
    <w:rsid w:val="002A19CE"/>
    <w:rsid w:val="002B57FD"/>
    <w:rsid w:val="002B67A8"/>
    <w:rsid w:val="002B7E9D"/>
    <w:rsid w:val="002C0E08"/>
    <w:rsid w:val="002C1809"/>
    <w:rsid w:val="002C45B7"/>
    <w:rsid w:val="002D0ACB"/>
    <w:rsid w:val="002E2AC7"/>
    <w:rsid w:val="002F07CB"/>
    <w:rsid w:val="002F3A1E"/>
    <w:rsid w:val="002F672C"/>
    <w:rsid w:val="002F6D8D"/>
    <w:rsid w:val="003102D5"/>
    <w:rsid w:val="0031035B"/>
    <w:rsid w:val="00317B85"/>
    <w:rsid w:val="003206D0"/>
    <w:rsid w:val="00321A90"/>
    <w:rsid w:val="003234D0"/>
    <w:rsid w:val="0032533A"/>
    <w:rsid w:val="003339F4"/>
    <w:rsid w:val="0034630D"/>
    <w:rsid w:val="0034659F"/>
    <w:rsid w:val="00347695"/>
    <w:rsid w:val="00347AEC"/>
    <w:rsid w:val="003518CE"/>
    <w:rsid w:val="00351AB2"/>
    <w:rsid w:val="00351D59"/>
    <w:rsid w:val="00365B11"/>
    <w:rsid w:val="0037257E"/>
    <w:rsid w:val="003800AD"/>
    <w:rsid w:val="00383387"/>
    <w:rsid w:val="003907A9"/>
    <w:rsid w:val="0039375D"/>
    <w:rsid w:val="00393F25"/>
    <w:rsid w:val="00396E5B"/>
    <w:rsid w:val="003A753C"/>
    <w:rsid w:val="003B5BE2"/>
    <w:rsid w:val="003B732B"/>
    <w:rsid w:val="003C1B48"/>
    <w:rsid w:val="003C6873"/>
    <w:rsid w:val="003D6FC6"/>
    <w:rsid w:val="003E0155"/>
    <w:rsid w:val="003E0513"/>
    <w:rsid w:val="003E0AA6"/>
    <w:rsid w:val="003E0EB6"/>
    <w:rsid w:val="003E3280"/>
    <w:rsid w:val="003E364E"/>
    <w:rsid w:val="003E3E95"/>
    <w:rsid w:val="003F1252"/>
    <w:rsid w:val="003F59B3"/>
    <w:rsid w:val="003F715E"/>
    <w:rsid w:val="004019CE"/>
    <w:rsid w:val="004102CB"/>
    <w:rsid w:val="00410953"/>
    <w:rsid w:val="00417389"/>
    <w:rsid w:val="004212E0"/>
    <w:rsid w:val="0043359B"/>
    <w:rsid w:val="004564B2"/>
    <w:rsid w:val="0046008F"/>
    <w:rsid w:val="004601BB"/>
    <w:rsid w:val="004631B4"/>
    <w:rsid w:val="00465108"/>
    <w:rsid w:val="0046643D"/>
    <w:rsid w:val="00470BBC"/>
    <w:rsid w:val="00471D95"/>
    <w:rsid w:val="00473A18"/>
    <w:rsid w:val="00474FA5"/>
    <w:rsid w:val="00475036"/>
    <w:rsid w:val="00476708"/>
    <w:rsid w:val="00476C3F"/>
    <w:rsid w:val="00476EF6"/>
    <w:rsid w:val="004908FB"/>
    <w:rsid w:val="00491088"/>
    <w:rsid w:val="004A1822"/>
    <w:rsid w:val="004D359C"/>
    <w:rsid w:val="004E1E04"/>
    <w:rsid w:val="004E2B1C"/>
    <w:rsid w:val="004F00D1"/>
    <w:rsid w:val="005111E3"/>
    <w:rsid w:val="00514BC4"/>
    <w:rsid w:val="00515AB5"/>
    <w:rsid w:val="00526C6D"/>
    <w:rsid w:val="0052754E"/>
    <w:rsid w:val="005315DD"/>
    <w:rsid w:val="00533E38"/>
    <w:rsid w:val="00536AC9"/>
    <w:rsid w:val="00541DAC"/>
    <w:rsid w:val="0055241C"/>
    <w:rsid w:val="00557688"/>
    <w:rsid w:val="005671C0"/>
    <w:rsid w:val="005741BF"/>
    <w:rsid w:val="00577D96"/>
    <w:rsid w:val="00584304"/>
    <w:rsid w:val="005943C5"/>
    <w:rsid w:val="005943D6"/>
    <w:rsid w:val="00595521"/>
    <w:rsid w:val="00596081"/>
    <w:rsid w:val="0059682E"/>
    <w:rsid w:val="005A0202"/>
    <w:rsid w:val="005A3759"/>
    <w:rsid w:val="005A60E8"/>
    <w:rsid w:val="005A739B"/>
    <w:rsid w:val="005D2A28"/>
    <w:rsid w:val="005E046B"/>
    <w:rsid w:val="005E0C6F"/>
    <w:rsid w:val="005E2168"/>
    <w:rsid w:val="005F21E2"/>
    <w:rsid w:val="005F2A85"/>
    <w:rsid w:val="005F4CD5"/>
    <w:rsid w:val="00605987"/>
    <w:rsid w:val="00610BE5"/>
    <w:rsid w:val="006122C6"/>
    <w:rsid w:val="00633953"/>
    <w:rsid w:val="00637F21"/>
    <w:rsid w:val="00640485"/>
    <w:rsid w:val="00643036"/>
    <w:rsid w:val="00644E48"/>
    <w:rsid w:val="00654028"/>
    <w:rsid w:val="00660B42"/>
    <w:rsid w:val="00660EF5"/>
    <w:rsid w:val="00683DB0"/>
    <w:rsid w:val="0068449E"/>
    <w:rsid w:val="0069110C"/>
    <w:rsid w:val="006A3DAB"/>
    <w:rsid w:val="006B0117"/>
    <w:rsid w:val="006B028D"/>
    <w:rsid w:val="006B38A1"/>
    <w:rsid w:val="006D0EAA"/>
    <w:rsid w:val="006D277C"/>
    <w:rsid w:val="006E30E6"/>
    <w:rsid w:val="006E474B"/>
    <w:rsid w:val="006E5BDB"/>
    <w:rsid w:val="006E5E50"/>
    <w:rsid w:val="006F4541"/>
    <w:rsid w:val="006F4D32"/>
    <w:rsid w:val="006F7B5C"/>
    <w:rsid w:val="0070360E"/>
    <w:rsid w:val="00706016"/>
    <w:rsid w:val="00710FA7"/>
    <w:rsid w:val="00716919"/>
    <w:rsid w:val="0071780E"/>
    <w:rsid w:val="00736FAC"/>
    <w:rsid w:val="007402B0"/>
    <w:rsid w:val="00741B7B"/>
    <w:rsid w:val="007458E4"/>
    <w:rsid w:val="0075228C"/>
    <w:rsid w:val="00757A48"/>
    <w:rsid w:val="00761452"/>
    <w:rsid w:val="00762321"/>
    <w:rsid w:val="0076437D"/>
    <w:rsid w:val="007663C0"/>
    <w:rsid w:val="00774F0D"/>
    <w:rsid w:val="00784533"/>
    <w:rsid w:val="00784CC4"/>
    <w:rsid w:val="00785A7E"/>
    <w:rsid w:val="00791582"/>
    <w:rsid w:val="0079298B"/>
    <w:rsid w:val="00793EDC"/>
    <w:rsid w:val="0079401B"/>
    <w:rsid w:val="007943FB"/>
    <w:rsid w:val="007A1A66"/>
    <w:rsid w:val="007A65FC"/>
    <w:rsid w:val="007B2CA8"/>
    <w:rsid w:val="007B2F66"/>
    <w:rsid w:val="007B3AF1"/>
    <w:rsid w:val="007B4B8A"/>
    <w:rsid w:val="007C1889"/>
    <w:rsid w:val="007C3609"/>
    <w:rsid w:val="007D14A7"/>
    <w:rsid w:val="007D15C0"/>
    <w:rsid w:val="007D34E8"/>
    <w:rsid w:val="007D3EBD"/>
    <w:rsid w:val="007D713D"/>
    <w:rsid w:val="007E3089"/>
    <w:rsid w:val="007E73D9"/>
    <w:rsid w:val="007F7BAD"/>
    <w:rsid w:val="0080334F"/>
    <w:rsid w:val="00804694"/>
    <w:rsid w:val="00813D05"/>
    <w:rsid w:val="00814B88"/>
    <w:rsid w:val="00817358"/>
    <w:rsid w:val="00820D0A"/>
    <w:rsid w:val="00825671"/>
    <w:rsid w:val="0083345C"/>
    <w:rsid w:val="008434A2"/>
    <w:rsid w:val="00843B88"/>
    <w:rsid w:val="0084665E"/>
    <w:rsid w:val="00851531"/>
    <w:rsid w:val="00852E90"/>
    <w:rsid w:val="008542B2"/>
    <w:rsid w:val="00861542"/>
    <w:rsid w:val="008729AE"/>
    <w:rsid w:val="00873208"/>
    <w:rsid w:val="00884CC4"/>
    <w:rsid w:val="008850AE"/>
    <w:rsid w:val="00885DA9"/>
    <w:rsid w:val="00886911"/>
    <w:rsid w:val="0089008A"/>
    <w:rsid w:val="008916FB"/>
    <w:rsid w:val="00892E2B"/>
    <w:rsid w:val="008943F6"/>
    <w:rsid w:val="008A6223"/>
    <w:rsid w:val="008B49C2"/>
    <w:rsid w:val="008C49D7"/>
    <w:rsid w:val="008C6111"/>
    <w:rsid w:val="008D0FA3"/>
    <w:rsid w:val="008D5038"/>
    <w:rsid w:val="008E6813"/>
    <w:rsid w:val="008F252E"/>
    <w:rsid w:val="008F3521"/>
    <w:rsid w:val="00900B3B"/>
    <w:rsid w:val="00903FD9"/>
    <w:rsid w:val="00910B59"/>
    <w:rsid w:val="009209E0"/>
    <w:rsid w:val="00925BEE"/>
    <w:rsid w:val="00927CE1"/>
    <w:rsid w:val="00931D11"/>
    <w:rsid w:val="00936FB6"/>
    <w:rsid w:val="00944C58"/>
    <w:rsid w:val="00946E92"/>
    <w:rsid w:val="009516FE"/>
    <w:rsid w:val="00957DB2"/>
    <w:rsid w:val="0096210D"/>
    <w:rsid w:val="0096379F"/>
    <w:rsid w:val="0097140C"/>
    <w:rsid w:val="009722E3"/>
    <w:rsid w:val="009729AA"/>
    <w:rsid w:val="00973B63"/>
    <w:rsid w:val="009809C6"/>
    <w:rsid w:val="00984FB0"/>
    <w:rsid w:val="00987ED4"/>
    <w:rsid w:val="00991506"/>
    <w:rsid w:val="009A0381"/>
    <w:rsid w:val="009A384A"/>
    <w:rsid w:val="009A3F1F"/>
    <w:rsid w:val="009A7CBF"/>
    <w:rsid w:val="009C6E02"/>
    <w:rsid w:val="009D49BC"/>
    <w:rsid w:val="009D7525"/>
    <w:rsid w:val="009E0093"/>
    <w:rsid w:val="009E627C"/>
    <w:rsid w:val="00A00197"/>
    <w:rsid w:val="00A022ED"/>
    <w:rsid w:val="00A03663"/>
    <w:rsid w:val="00A05BC1"/>
    <w:rsid w:val="00A161E1"/>
    <w:rsid w:val="00A20DC5"/>
    <w:rsid w:val="00A22E16"/>
    <w:rsid w:val="00A25D47"/>
    <w:rsid w:val="00A32AFF"/>
    <w:rsid w:val="00A37F6B"/>
    <w:rsid w:val="00A41C26"/>
    <w:rsid w:val="00A81F40"/>
    <w:rsid w:val="00A82ED4"/>
    <w:rsid w:val="00A966AF"/>
    <w:rsid w:val="00AA0FAB"/>
    <w:rsid w:val="00AA5E19"/>
    <w:rsid w:val="00AA6B23"/>
    <w:rsid w:val="00AA7A1D"/>
    <w:rsid w:val="00AB15A1"/>
    <w:rsid w:val="00AB5B9E"/>
    <w:rsid w:val="00AC1616"/>
    <w:rsid w:val="00AC23E2"/>
    <w:rsid w:val="00AC3E79"/>
    <w:rsid w:val="00AD0473"/>
    <w:rsid w:val="00AE30F6"/>
    <w:rsid w:val="00AE3FD3"/>
    <w:rsid w:val="00AE439E"/>
    <w:rsid w:val="00AE5761"/>
    <w:rsid w:val="00AE5C57"/>
    <w:rsid w:val="00AF0EF0"/>
    <w:rsid w:val="00AF1194"/>
    <w:rsid w:val="00B01E1A"/>
    <w:rsid w:val="00B020ED"/>
    <w:rsid w:val="00B02426"/>
    <w:rsid w:val="00B10C02"/>
    <w:rsid w:val="00B25336"/>
    <w:rsid w:val="00B33A73"/>
    <w:rsid w:val="00B35D41"/>
    <w:rsid w:val="00B40CB2"/>
    <w:rsid w:val="00B453D2"/>
    <w:rsid w:val="00B45AA1"/>
    <w:rsid w:val="00B5129D"/>
    <w:rsid w:val="00B63EE5"/>
    <w:rsid w:val="00B711DA"/>
    <w:rsid w:val="00B7483C"/>
    <w:rsid w:val="00B9382A"/>
    <w:rsid w:val="00B967DB"/>
    <w:rsid w:val="00B9691E"/>
    <w:rsid w:val="00B9725E"/>
    <w:rsid w:val="00BA450F"/>
    <w:rsid w:val="00BB2EC4"/>
    <w:rsid w:val="00BB39F9"/>
    <w:rsid w:val="00BC3C1B"/>
    <w:rsid w:val="00BD024C"/>
    <w:rsid w:val="00BD18F9"/>
    <w:rsid w:val="00BD5A90"/>
    <w:rsid w:val="00BD7551"/>
    <w:rsid w:val="00BD7FD8"/>
    <w:rsid w:val="00BE4703"/>
    <w:rsid w:val="00BE47EA"/>
    <w:rsid w:val="00BE4BF1"/>
    <w:rsid w:val="00BE67B1"/>
    <w:rsid w:val="00BE693F"/>
    <w:rsid w:val="00BF5C1A"/>
    <w:rsid w:val="00BF627A"/>
    <w:rsid w:val="00BF638B"/>
    <w:rsid w:val="00BF6B02"/>
    <w:rsid w:val="00C0048D"/>
    <w:rsid w:val="00C04969"/>
    <w:rsid w:val="00C128AF"/>
    <w:rsid w:val="00C17AEA"/>
    <w:rsid w:val="00C2075C"/>
    <w:rsid w:val="00C26E17"/>
    <w:rsid w:val="00C27B6C"/>
    <w:rsid w:val="00C33072"/>
    <w:rsid w:val="00C37647"/>
    <w:rsid w:val="00C44DE4"/>
    <w:rsid w:val="00C45AD6"/>
    <w:rsid w:val="00C45BD1"/>
    <w:rsid w:val="00C45DEF"/>
    <w:rsid w:val="00C55A03"/>
    <w:rsid w:val="00C601ED"/>
    <w:rsid w:val="00C60D6C"/>
    <w:rsid w:val="00C6276D"/>
    <w:rsid w:val="00C66043"/>
    <w:rsid w:val="00C71BA0"/>
    <w:rsid w:val="00C7263F"/>
    <w:rsid w:val="00C758DA"/>
    <w:rsid w:val="00C81781"/>
    <w:rsid w:val="00C837F3"/>
    <w:rsid w:val="00C8434C"/>
    <w:rsid w:val="00C85157"/>
    <w:rsid w:val="00C87076"/>
    <w:rsid w:val="00C909D3"/>
    <w:rsid w:val="00CA4BB0"/>
    <w:rsid w:val="00CA6F27"/>
    <w:rsid w:val="00CB0264"/>
    <w:rsid w:val="00CB52D4"/>
    <w:rsid w:val="00CC4C22"/>
    <w:rsid w:val="00CC4DB9"/>
    <w:rsid w:val="00CD3150"/>
    <w:rsid w:val="00CD7C0B"/>
    <w:rsid w:val="00CE572D"/>
    <w:rsid w:val="00CE6DD6"/>
    <w:rsid w:val="00CE7499"/>
    <w:rsid w:val="00CE7E13"/>
    <w:rsid w:val="00CF0DB6"/>
    <w:rsid w:val="00CF5CB8"/>
    <w:rsid w:val="00CF6C30"/>
    <w:rsid w:val="00D021E2"/>
    <w:rsid w:val="00D04947"/>
    <w:rsid w:val="00D16C08"/>
    <w:rsid w:val="00D31773"/>
    <w:rsid w:val="00D42018"/>
    <w:rsid w:val="00D44874"/>
    <w:rsid w:val="00D51864"/>
    <w:rsid w:val="00D5281A"/>
    <w:rsid w:val="00D56EB4"/>
    <w:rsid w:val="00D611BD"/>
    <w:rsid w:val="00D62EFB"/>
    <w:rsid w:val="00D63A41"/>
    <w:rsid w:val="00D70AB8"/>
    <w:rsid w:val="00D7397E"/>
    <w:rsid w:val="00D76B4F"/>
    <w:rsid w:val="00D778FF"/>
    <w:rsid w:val="00D80175"/>
    <w:rsid w:val="00D824C4"/>
    <w:rsid w:val="00D83B2F"/>
    <w:rsid w:val="00D87CC0"/>
    <w:rsid w:val="00D929AD"/>
    <w:rsid w:val="00D945BC"/>
    <w:rsid w:val="00D97A02"/>
    <w:rsid w:val="00DA0A7C"/>
    <w:rsid w:val="00DA2D6F"/>
    <w:rsid w:val="00DA35A3"/>
    <w:rsid w:val="00DB0D35"/>
    <w:rsid w:val="00DB48E5"/>
    <w:rsid w:val="00DC6B10"/>
    <w:rsid w:val="00DD4F27"/>
    <w:rsid w:val="00DE4854"/>
    <w:rsid w:val="00DE516D"/>
    <w:rsid w:val="00DE6016"/>
    <w:rsid w:val="00DE64B2"/>
    <w:rsid w:val="00DE7943"/>
    <w:rsid w:val="00DF6E24"/>
    <w:rsid w:val="00E024D9"/>
    <w:rsid w:val="00E0448B"/>
    <w:rsid w:val="00E11434"/>
    <w:rsid w:val="00E23637"/>
    <w:rsid w:val="00E24169"/>
    <w:rsid w:val="00E24931"/>
    <w:rsid w:val="00E25067"/>
    <w:rsid w:val="00E334D7"/>
    <w:rsid w:val="00E339F7"/>
    <w:rsid w:val="00E374BB"/>
    <w:rsid w:val="00E4472D"/>
    <w:rsid w:val="00E471F0"/>
    <w:rsid w:val="00E516DF"/>
    <w:rsid w:val="00E5524F"/>
    <w:rsid w:val="00E5615D"/>
    <w:rsid w:val="00E56F68"/>
    <w:rsid w:val="00E661DF"/>
    <w:rsid w:val="00E733D1"/>
    <w:rsid w:val="00E740F9"/>
    <w:rsid w:val="00E819FE"/>
    <w:rsid w:val="00E85DBD"/>
    <w:rsid w:val="00E914F6"/>
    <w:rsid w:val="00E94369"/>
    <w:rsid w:val="00E970C1"/>
    <w:rsid w:val="00EA16FC"/>
    <w:rsid w:val="00EA5F30"/>
    <w:rsid w:val="00EC0903"/>
    <w:rsid w:val="00EC2691"/>
    <w:rsid w:val="00EC5F5D"/>
    <w:rsid w:val="00EC63EA"/>
    <w:rsid w:val="00ED46CF"/>
    <w:rsid w:val="00EE30A6"/>
    <w:rsid w:val="00EE5711"/>
    <w:rsid w:val="00EF0BCD"/>
    <w:rsid w:val="00EF4960"/>
    <w:rsid w:val="00F055FF"/>
    <w:rsid w:val="00F2185B"/>
    <w:rsid w:val="00F317E1"/>
    <w:rsid w:val="00F323AC"/>
    <w:rsid w:val="00F33BDF"/>
    <w:rsid w:val="00F4208A"/>
    <w:rsid w:val="00F44E3A"/>
    <w:rsid w:val="00F46D62"/>
    <w:rsid w:val="00F479DA"/>
    <w:rsid w:val="00F50ABB"/>
    <w:rsid w:val="00F55AB6"/>
    <w:rsid w:val="00F63251"/>
    <w:rsid w:val="00F67A53"/>
    <w:rsid w:val="00F67BF5"/>
    <w:rsid w:val="00F757A9"/>
    <w:rsid w:val="00F7711D"/>
    <w:rsid w:val="00F848D1"/>
    <w:rsid w:val="00F85E12"/>
    <w:rsid w:val="00F90B72"/>
    <w:rsid w:val="00F94591"/>
    <w:rsid w:val="00F9597A"/>
    <w:rsid w:val="00FA3F48"/>
    <w:rsid w:val="00FB0263"/>
    <w:rsid w:val="00FB32C4"/>
    <w:rsid w:val="00FB346E"/>
    <w:rsid w:val="00FB42EE"/>
    <w:rsid w:val="00FC417E"/>
    <w:rsid w:val="00FE4307"/>
    <w:rsid w:val="00FF08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27"/>
    <w:rPr>
      <w:rFonts w:ascii="Tahoma" w:hAnsi="Tahoma" w:cs="Tahoma"/>
      <w:sz w:val="16"/>
      <w:szCs w:val="16"/>
    </w:rPr>
  </w:style>
  <w:style w:type="paragraph" w:styleId="NormalWeb">
    <w:name w:val="Normal (Web)"/>
    <w:basedOn w:val="Normal"/>
    <w:uiPriority w:val="99"/>
    <w:unhideWhenUsed/>
    <w:rsid w:val="00124205"/>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66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523"/>
    <w:pPr>
      <w:ind w:left="720"/>
      <w:contextualSpacing/>
    </w:pPr>
  </w:style>
  <w:style w:type="paragraph" w:styleId="Header">
    <w:name w:val="header"/>
    <w:basedOn w:val="Normal"/>
    <w:link w:val="HeaderChar"/>
    <w:uiPriority w:val="99"/>
    <w:unhideWhenUsed/>
    <w:rsid w:val="0007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42"/>
  </w:style>
  <w:style w:type="paragraph" w:styleId="Footer">
    <w:name w:val="footer"/>
    <w:basedOn w:val="Normal"/>
    <w:link w:val="FooterChar"/>
    <w:uiPriority w:val="99"/>
    <w:unhideWhenUsed/>
    <w:rsid w:val="0007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42"/>
  </w:style>
  <w:style w:type="paragraph" w:customStyle="1" w:styleId="TAMainText">
    <w:name w:val="TA_Main_Text"/>
    <w:basedOn w:val="Normal"/>
    <w:rsid w:val="008A6223"/>
    <w:pPr>
      <w:spacing w:after="0" w:line="480" w:lineRule="auto"/>
      <w:ind w:firstLine="202"/>
      <w:jc w:val="both"/>
    </w:pPr>
    <w:rPr>
      <w:rFonts w:ascii="Times" w:hAnsi="Times" w:cs="Times New Roman"/>
      <w:sz w:val="24"/>
      <w:szCs w:val="20"/>
      <w:lang w:eastAsia="en-US"/>
    </w:rPr>
  </w:style>
  <w:style w:type="paragraph" w:customStyle="1" w:styleId="VAFigureCaption">
    <w:name w:val="VA_Figure_Caption"/>
    <w:basedOn w:val="Normal"/>
    <w:next w:val="Normal"/>
    <w:rsid w:val="00CB52D4"/>
    <w:pPr>
      <w:spacing w:line="480" w:lineRule="auto"/>
      <w:jc w:val="both"/>
    </w:pPr>
    <w:rPr>
      <w:rFonts w:ascii="Times" w:hAnsi="Times" w:cs="Times New Roman"/>
      <w:sz w:val="24"/>
      <w:szCs w:val="20"/>
      <w:lang w:eastAsia="en-US"/>
    </w:rPr>
  </w:style>
  <w:style w:type="paragraph" w:customStyle="1" w:styleId="FETableFootnote">
    <w:name w:val="FE_Table_Footnote"/>
    <w:basedOn w:val="Normal"/>
    <w:next w:val="Normal"/>
    <w:rsid w:val="00CB52D4"/>
    <w:pPr>
      <w:spacing w:line="240" w:lineRule="auto"/>
      <w:ind w:firstLine="187"/>
      <w:jc w:val="both"/>
    </w:pPr>
    <w:rPr>
      <w:rFonts w:ascii="Times" w:hAnsi="Times" w:cs="Times New Roman"/>
      <w:sz w:val="24"/>
      <w:szCs w:val="20"/>
      <w:lang w:eastAsia="en-US"/>
    </w:rPr>
  </w:style>
  <w:style w:type="table" w:customStyle="1" w:styleId="TableGrid1">
    <w:name w:val="Table Grid1"/>
    <w:basedOn w:val="TableNormal"/>
    <w:next w:val="TableGrid"/>
    <w:uiPriority w:val="59"/>
    <w:rsid w:val="00CB5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20D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27"/>
    <w:rPr>
      <w:rFonts w:ascii="Tahoma" w:hAnsi="Tahoma" w:cs="Tahoma"/>
      <w:sz w:val="16"/>
      <w:szCs w:val="16"/>
    </w:rPr>
  </w:style>
  <w:style w:type="paragraph" w:styleId="NormalWeb">
    <w:name w:val="Normal (Web)"/>
    <w:basedOn w:val="Normal"/>
    <w:uiPriority w:val="99"/>
    <w:unhideWhenUsed/>
    <w:rsid w:val="00124205"/>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66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523"/>
    <w:pPr>
      <w:ind w:left="720"/>
      <w:contextualSpacing/>
    </w:pPr>
  </w:style>
  <w:style w:type="paragraph" w:styleId="Header">
    <w:name w:val="header"/>
    <w:basedOn w:val="Normal"/>
    <w:link w:val="HeaderChar"/>
    <w:uiPriority w:val="99"/>
    <w:unhideWhenUsed/>
    <w:rsid w:val="0007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42"/>
  </w:style>
  <w:style w:type="paragraph" w:styleId="Footer">
    <w:name w:val="footer"/>
    <w:basedOn w:val="Normal"/>
    <w:link w:val="FooterChar"/>
    <w:uiPriority w:val="99"/>
    <w:unhideWhenUsed/>
    <w:rsid w:val="0007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42"/>
  </w:style>
  <w:style w:type="paragraph" w:customStyle="1" w:styleId="TAMainText">
    <w:name w:val="TA_Main_Text"/>
    <w:basedOn w:val="Normal"/>
    <w:rsid w:val="008A6223"/>
    <w:pPr>
      <w:spacing w:after="0" w:line="480" w:lineRule="auto"/>
      <w:ind w:firstLine="202"/>
      <w:jc w:val="both"/>
    </w:pPr>
    <w:rPr>
      <w:rFonts w:ascii="Times" w:hAnsi="Times" w:cs="Times New Roman"/>
      <w:sz w:val="24"/>
      <w:szCs w:val="20"/>
      <w:lang w:eastAsia="en-US"/>
    </w:rPr>
  </w:style>
  <w:style w:type="paragraph" w:customStyle="1" w:styleId="VAFigureCaption">
    <w:name w:val="VA_Figure_Caption"/>
    <w:basedOn w:val="Normal"/>
    <w:next w:val="Normal"/>
    <w:rsid w:val="00CB52D4"/>
    <w:pPr>
      <w:spacing w:line="480" w:lineRule="auto"/>
      <w:jc w:val="both"/>
    </w:pPr>
    <w:rPr>
      <w:rFonts w:ascii="Times" w:hAnsi="Times" w:cs="Times New Roman"/>
      <w:sz w:val="24"/>
      <w:szCs w:val="20"/>
      <w:lang w:eastAsia="en-US"/>
    </w:rPr>
  </w:style>
  <w:style w:type="paragraph" w:customStyle="1" w:styleId="FETableFootnote">
    <w:name w:val="FE_Table_Footnote"/>
    <w:basedOn w:val="Normal"/>
    <w:next w:val="Normal"/>
    <w:rsid w:val="00CB52D4"/>
    <w:pPr>
      <w:spacing w:line="240" w:lineRule="auto"/>
      <w:ind w:firstLine="187"/>
      <w:jc w:val="both"/>
    </w:pPr>
    <w:rPr>
      <w:rFonts w:ascii="Times" w:hAnsi="Times" w:cs="Times New Roman"/>
      <w:sz w:val="24"/>
      <w:szCs w:val="20"/>
      <w:lang w:eastAsia="en-US"/>
    </w:rPr>
  </w:style>
  <w:style w:type="table" w:customStyle="1" w:styleId="TableGrid1">
    <w:name w:val="Table Grid1"/>
    <w:basedOn w:val="TableNormal"/>
    <w:next w:val="TableGrid"/>
    <w:uiPriority w:val="59"/>
    <w:rsid w:val="00CB5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20D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gsong</dc:creator>
  <cp:lastModifiedBy>gsong</cp:lastModifiedBy>
  <cp:revision>5</cp:revision>
  <dcterms:created xsi:type="dcterms:W3CDTF">2014-06-12T17:59:00Z</dcterms:created>
  <dcterms:modified xsi:type="dcterms:W3CDTF">2014-06-12T18:00:00Z</dcterms:modified>
</cp:coreProperties>
</file>