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D" w:rsidRPr="003C5572" w:rsidRDefault="00F5753D" w:rsidP="00F5753D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Appendix 2: </w:t>
      </w:r>
      <w:r w:rsidRPr="003C557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Calculation </w:t>
      </w:r>
      <w:r w:rsidRPr="003C557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of </w:t>
      </w:r>
      <w:r w:rsidRPr="003C557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the hazard ratio for other</w:t>
      </w:r>
      <w:r w:rsidRPr="003C5572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3C557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cause death</w:t>
      </w:r>
    </w:p>
    <w:p w:rsidR="00F5753D" w:rsidRDefault="00F5753D" w:rsidP="00F5753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Our goal was to determine how the risk of other-cause death among localized prostate cancer cases treated with RP differed from the </w:t>
      </w:r>
      <w:r>
        <w:rPr>
          <w:rFonts w:ascii="Times New Roman" w:hAnsi="Times New Roman" w:cs="Times New Roman" w:hint="eastAsia"/>
          <w:lang w:eastAsia="zh-CN"/>
        </w:rPr>
        <w:t xml:space="preserve">mortality risk in </w:t>
      </w:r>
      <w:r>
        <w:rPr>
          <w:rFonts w:ascii="Times New Roman" w:hAnsi="Times New Roman" w:cs="Times New Roman"/>
          <w:lang w:eastAsia="zh-CN"/>
        </w:rPr>
        <w:t>the age-matched general population.  We used the Surveillance, Epidemiology and End Results SEER*Stat (</w:t>
      </w:r>
      <w:r w:rsidRPr="00AD0D96">
        <w:rPr>
          <w:rFonts w:ascii="Times New Roman" w:hAnsi="Times New Roman" w:cs="Times New Roman"/>
          <w:u w:val="single"/>
          <w:lang w:eastAsia="zh-CN"/>
        </w:rPr>
        <w:t>seer.cancer.gov/</w:t>
      </w:r>
      <w:proofErr w:type="spellStart"/>
      <w:r w:rsidRPr="00AD0D96">
        <w:rPr>
          <w:rFonts w:ascii="Times New Roman" w:hAnsi="Times New Roman" w:cs="Times New Roman"/>
          <w:u w:val="single"/>
          <w:lang w:eastAsia="zh-CN"/>
        </w:rPr>
        <w:t>seerstat</w:t>
      </w:r>
      <w:proofErr w:type="spellEnd"/>
      <w:r>
        <w:rPr>
          <w:rFonts w:ascii="Times New Roman" w:hAnsi="Times New Roman" w:cs="Times New Roman"/>
          <w:lang w:eastAsia="zh-CN"/>
        </w:rPr>
        <w:t xml:space="preserve">) program to provide (other-cause) survival after diagnosis over a period of ten years and obtained estimates over a similar time period for a comparable population. </w:t>
      </w:r>
    </w:p>
    <w:p w:rsidR="00F5753D" w:rsidRDefault="00F5753D" w:rsidP="00F5753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First we </w:t>
      </w:r>
      <w:r w:rsidRPr="003C5572">
        <w:rPr>
          <w:rFonts w:ascii="Times New Roman" w:hAnsi="Times New Roman" w:cs="Times New Roman" w:hint="eastAsia"/>
          <w:lang w:eastAsia="zh-CN"/>
        </w:rPr>
        <w:t xml:space="preserve">used </w:t>
      </w:r>
      <w:r>
        <w:rPr>
          <w:rFonts w:ascii="Times New Roman" w:hAnsi="Times New Roman" w:cs="Times New Roman"/>
          <w:lang w:eastAsia="zh-CN"/>
        </w:rPr>
        <w:t xml:space="preserve">SEER data </w:t>
      </w:r>
      <w:r w:rsidRPr="003C5572">
        <w:rPr>
          <w:rFonts w:ascii="Times New Roman" w:hAnsi="Times New Roman" w:cs="Times New Roman" w:hint="eastAsia"/>
          <w:lang w:eastAsia="zh-CN"/>
        </w:rPr>
        <w:t xml:space="preserve">to obtain observed all-cause survival and </w:t>
      </w:r>
      <w:r w:rsidRPr="003C5572">
        <w:rPr>
          <w:rFonts w:ascii="Times New Roman" w:hAnsi="Times New Roman" w:cs="Times New Roman"/>
          <w:lang w:eastAsia="zh-CN"/>
        </w:rPr>
        <w:t>disease</w:t>
      </w:r>
      <w:r w:rsidRPr="003C5572">
        <w:rPr>
          <w:rFonts w:ascii="Times New Roman" w:hAnsi="Times New Roman" w:cs="Times New Roman" w:hint="eastAsia"/>
          <w:lang w:eastAsia="zh-CN"/>
        </w:rPr>
        <w:t>-specific survival rates for US men aged 40 years and over who were diagnosed with localized prosta</w:t>
      </w:r>
      <w:r>
        <w:rPr>
          <w:rFonts w:ascii="Times New Roman" w:hAnsi="Times New Roman" w:cs="Times New Roman" w:hint="eastAsia"/>
          <w:lang w:eastAsia="zh-CN"/>
        </w:rPr>
        <w:t xml:space="preserve">te cancer </w:t>
      </w:r>
      <w:r>
        <w:rPr>
          <w:rFonts w:ascii="Times New Roman" w:hAnsi="Times New Roman" w:cs="Times New Roman"/>
          <w:lang w:eastAsia="zh-CN"/>
        </w:rPr>
        <w:t>(</w:t>
      </w:r>
      <w:r w:rsidRPr="003C5572">
        <w:rPr>
          <w:rFonts w:ascii="Times New Roman" w:hAnsi="Times New Roman" w:cs="Times New Roman" w:hint="eastAsia"/>
          <w:lang w:eastAsia="zh-CN"/>
        </w:rPr>
        <w:t>T-stage less than T4, N-stage N0 or NX, and M-stage M0 or MX</w:t>
      </w:r>
      <w:r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 w:hint="eastAsia"/>
          <w:lang w:eastAsia="zh-CN"/>
        </w:rPr>
        <w:t xml:space="preserve"> between 1994 and 2007 inclusive</w:t>
      </w:r>
      <w:r w:rsidRPr="003C5572">
        <w:rPr>
          <w:rFonts w:ascii="Times New Roman" w:hAnsi="Times New Roman" w:cs="Times New Roman" w:hint="eastAsia"/>
          <w:lang w:eastAsia="zh-CN"/>
        </w:rPr>
        <w:t xml:space="preserve"> and who received radical </w:t>
      </w:r>
      <w:r w:rsidRPr="003C5572">
        <w:rPr>
          <w:rFonts w:ascii="Times New Roman" w:hAnsi="Times New Roman" w:cs="Times New Roman"/>
          <w:lang w:eastAsia="zh-CN"/>
        </w:rPr>
        <w:t>prostatectomy</w:t>
      </w:r>
      <w:r w:rsidRPr="003C5572">
        <w:rPr>
          <w:rFonts w:ascii="Times New Roman" w:hAnsi="Times New Roman" w:cs="Times New Roman" w:hint="eastAsia"/>
          <w:lang w:eastAsia="zh-CN"/>
        </w:rPr>
        <w:t xml:space="preserve"> and no radiation therapy as primar</w:t>
      </w:r>
      <w:r>
        <w:rPr>
          <w:rFonts w:ascii="Times New Roman" w:hAnsi="Times New Roman" w:cs="Times New Roman" w:hint="eastAsia"/>
          <w:lang w:eastAsia="zh-CN"/>
        </w:rPr>
        <w:t>y treatment.</w:t>
      </w:r>
      <w:r>
        <w:rPr>
          <w:rFonts w:ascii="Times New Roman" w:hAnsi="Times New Roman" w:cs="Times New Roman"/>
          <w:lang w:eastAsia="zh-CN"/>
        </w:rPr>
        <w:t xml:space="preserve"> For each year following diagnosis we obtained the interval survival estimates for any cause </w:t>
      </w:r>
      <m:oMath>
        <m:r>
          <m:rPr>
            <m:sty m:val="p"/>
          </m:rPr>
          <w:rPr>
            <w:rFonts w:ascii="Cambria Math" w:hAnsi="Cambria Math" w:cs="Times New Roman"/>
            <w:lang w:eastAsia="zh-CN"/>
          </w:rPr>
          <m:t>(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all cause</m:t>
            </m:r>
          </m:sub>
        </m:sSub>
        <m:r>
          <w:rPr>
            <w:rFonts w:ascii="Cambria Math" w:hAnsi="Cambria Math" w:cs="Times New Roman"/>
            <w:lang w:eastAsia="zh-CN"/>
          </w:rPr>
          <m:t>)</m:t>
        </m:r>
      </m:oMath>
      <w:r>
        <w:rPr>
          <w:rFonts w:ascii="Times New Roman" w:hAnsi="Times New Roman" w:cs="Times New Roman"/>
          <w:lang w:eastAsia="zh-CN"/>
        </w:rPr>
        <w:t xml:space="preserve"> and prostate cancer (</w:t>
      </w:r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 xml:space="preserve"> disease-specific</m:t>
            </m:r>
          </m:sub>
        </m:sSub>
        <m:r>
          <m:rPr>
            <m:sty m:val="p"/>
          </m:rPr>
          <w:rPr>
            <w:rFonts w:ascii="Cambria Math" w:hAnsi="Cambria Math" w:cs="Times New Roman"/>
            <w:lang w:eastAsia="zh-CN"/>
          </w:rPr>
          <m:t>)</m:t>
        </m:r>
      </m:oMath>
      <w:r>
        <w:rPr>
          <w:rFonts w:ascii="Times New Roman" w:hAnsi="Times New Roman" w:cs="Times New Roman"/>
          <w:lang w:eastAsia="zh-CN"/>
        </w:rPr>
        <w:t xml:space="preserve">. We then calculated the implied chance of other-cause death within the interval </w:t>
      </w:r>
      <w:proofErr w:type="gramStart"/>
      <w:r>
        <w:rPr>
          <w:rFonts w:ascii="Times New Roman" w:hAnsi="Times New Roman" w:cs="Times New Roman"/>
          <w:lang w:eastAsia="zh-CN"/>
        </w:rPr>
        <w:t xml:space="preserve">as  </w:t>
      </w:r>
      <w:proofErr w:type="gramEnd"/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zh-C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zh-CN"/>
                  </w:rPr>
                  <m:t>other cause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=</m:t>
            </m:r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all cause</m:t>
            </m:r>
          </m:sub>
        </m:sSub>
        <m:r>
          <m:rPr>
            <m:sty m:val="p"/>
          </m:rPr>
          <w:rPr>
            <w:rFonts w:ascii="Cambria Math" w:hAnsi="Cambria Math" w:cs="Times New Roman"/>
            <w:lang w:eastAsia="zh-CN"/>
          </w:rPr>
          <m:t>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 xml:space="preserve"> disease-specific</m:t>
            </m:r>
          </m:sub>
        </m:sSub>
      </m:oMath>
      <w:r>
        <w:rPr>
          <w:rFonts w:ascii="Times New Roman" w:hAnsi="Times New Roman" w:cs="Times New Roman"/>
          <w:lang w:eastAsia="zh-CN"/>
        </w:rPr>
        <w:t xml:space="preserve">.  </w:t>
      </w:r>
    </w:p>
    <w:p w:rsidR="00F5753D" w:rsidRDefault="00F5753D" w:rsidP="00F5753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To obtain expected survival estimates, we used the SEER*Stat survival run option to</w:t>
      </w:r>
      <w:r w:rsidRPr="003C5572">
        <w:rPr>
          <w:rFonts w:ascii="Times New Roman" w:hAnsi="Times New Roman" w:cs="Times New Roman" w:hint="eastAsia"/>
          <w:lang w:eastAsia="zh-CN"/>
        </w:rPr>
        <w:t xml:space="preserve"> generate estimates </w:t>
      </w:r>
      <w:r w:rsidRPr="003C5572">
        <w:rPr>
          <w:rFonts w:ascii="Times New Roman" w:hAnsi="Times New Roman" w:cs="Times New Roman"/>
          <w:lang w:eastAsia="zh-CN"/>
        </w:rPr>
        <w:t xml:space="preserve">of expected all-cause </w:t>
      </w:r>
      <w:r>
        <w:rPr>
          <w:rFonts w:ascii="Times New Roman" w:hAnsi="Times New Roman" w:cs="Times New Roman"/>
          <w:lang w:eastAsia="zh-CN"/>
        </w:rPr>
        <w:t xml:space="preserve">interval </w:t>
      </w:r>
      <w:r w:rsidRPr="003C5572">
        <w:rPr>
          <w:rFonts w:ascii="Times New Roman" w:hAnsi="Times New Roman" w:cs="Times New Roman"/>
          <w:lang w:eastAsia="zh-CN"/>
        </w:rPr>
        <w:t>survival</w:t>
      </w:r>
      <w:r>
        <w:rPr>
          <w:rFonts w:ascii="Times New Roman" w:hAnsi="Times New Roman" w:cs="Times New Roman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(</m:t>
            </m:r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expected</m:t>
            </m:r>
          </m:sub>
        </m:sSub>
      </m:oMath>
      <w:r>
        <w:rPr>
          <w:rFonts w:ascii="Times New Roman" w:hAnsi="Times New Roman" w:cs="Times New Roman"/>
          <w:lang w:eastAsia="zh-CN"/>
        </w:rPr>
        <w:t>)</w:t>
      </w:r>
      <w:r w:rsidRPr="003C5572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for  men in the </w:t>
      </w:r>
      <w:r w:rsidRPr="003C5572">
        <w:rPr>
          <w:rFonts w:ascii="Times New Roman" w:hAnsi="Times New Roman" w:cs="Times New Roman"/>
          <w:lang w:eastAsia="zh-CN"/>
        </w:rPr>
        <w:t xml:space="preserve">US population matched </w:t>
      </w:r>
      <w:r>
        <w:rPr>
          <w:rFonts w:ascii="Times New Roman" w:hAnsi="Times New Roman" w:cs="Times New Roman"/>
          <w:lang w:eastAsia="zh-CN"/>
        </w:rPr>
        <w:t xml:space="preserve">to the case cohort </w:t>
      </w:r>
      <w:r w:rsidRPr="003C5572">
        <w:rPr>
          <w:rFonts w:ascii="Times New Roman" w:hAnsi="Times New Roman" w:cs="Times New Roman"/>
          <w:lang w:eastAsia="zh-CN"/>
        </w:rPr>
        <w:t>by race, sex, and birth cohort</w:t>
      </w:r>
      <w:r>
        <w:rPr>
          <w:rFonts w:ascii="Times New Roman" w:hAnsi="Times New Roman" w:cs="Times New Roman"/>
          <w:lang w:eastAsia="zh-CN"/>
        </w:rPr>
        <w:t>, by year, over a similar time interval</w:t>
      </w:r>
      <w:r w:rsidRPr="003C5572">
        <w:rPr>
          <w:rFonts w:ascii="Times New Roman" w:hAnsi="Times New Roman" w:cs="Times New Roman"/>
          <w:lang w:eastAsia="zh-CN"/>
        </w:rPr>
        <w:t>. Because prostate cancer death is relatively rare</w:t>
      </w:r>
      <w:r>
        <w:rPr>
          <w:rFonts w:ascii="Times New Roman" w:hAnsi="Times New Roman" w:cs="Times New Roman"/>
          <w:lang w:eastAsia="zh-CN"/>
        </w:rPr>
        <w:t xml:space="preserve"> in the general population</w:t>
      </w:r>
      <w:r w:rsidRPr="003C5572">
        <w:rPr>
          <w:rFonts w:ascii="Times New Roman" w:hAnsi="Times New Roman" w:cs="Times New Roman"/>
          <w:lang w:eastAsia="zh-CN"/>
        </w:rPr>
        <w:t xml:space="preserve">, we considered this to be a reasonable approximation of the expected other-cause survival in the general population. </w:t>
      </w:r>
      <w:r>
        <w:rPr>
          <w:rFonts w:ascii="Times New Roman" w:hAnsi="Times New Roman" w:cs="Times New Roman"/>
          <w:lang w:eastAsia="zh-CN"/>
        </w:rPr>
        <w:t xml:space="preserve"> We denoted the expected chance of other-cause death in each interval </w:t>
      </w:r>
      <w:proofErr w:type="gramStart"/>
      <w:r>
        <w:rPr>
          <w:rFonts w:ascii="Times New Roman" w:hAnsi="Times New Roman" w:cs="Times New Roman"/>
          <w:lang w:eastAsia="zh-CN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all cause</m:t>
            </m:r>
          </m:sub>
        </m:sSub>
      </m:oMath>
      <w:r>
        <w:rPr>
          <w:rFonts w:ascii="Times New Roman" w:hAnsi="Times New Roman" w:cs="Times New Roman"/>
          <w:lang w:eastAsia="zh-CN"/>
        </w:rPr>
        <w:t>.</w:t>
      </w:r>
    </w:p>
    <w:p w:rsidR="00F5753D" w:rsidRDefault="00F5753D" w:rsidP="00F5753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There are now two approaches to calculate a hazard ratio for other-cause death in prostate cancer cases </w:t>
      </w:r>
      <w:proofErr w:type="gramStart"/>
      <w:r>
        <w:rPr>
          <w:rFonts w:ascii="Times New Roman" w:hAnsi="Times New Roman" w:cs="Times New Roman"/>
          <w:lang w:eastAsia="zh-CN"/>
        </w:rPr>
        <w:t>who</w:t>
      </w:r>
      <w:proofErr w:type="gramEnd"/>
      <w:r>
        <w:rPr>
          <w:rFonts w:ascii="Times New Roman" w:hAnsi="Times New Roman" w:cs="Times New Roman"/>
          <w:lang w:eastAsia="zh-CN"/>
        </w:rPr>
        <w:t xml:space="preserve"> have had RP relative to the general population.  The first considers the annual probabilities of death as discrete hazards and calculates a ratio each year </w:t>
      </w:r>
      <w:proofErr w:type="gramStart"/>
      <w:r>
        <w:rPr>
          <w:rFonts w:ascii="Times New Roman" w:hAnsi="Times New Roman" w:cs="Times New Roman"/>
          <w:lang w:eastAsia="zh-CN"/>
        </w:rPr>
        <w:t xml:space="preserve">as  </w:t>
      </w:r>
      <w:proofErr w:type="gramEnd"/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zh-C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zh-CN"/>
                  </w:rPr>
                  <m:t>expected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/</m:t>
            </m:r>
            <m:r>
              <w:rPr>
                <w:rFonts w:ascii="Cambria Math" w:hAnsi="Cambria Math" w:cs="Times New Roman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other cause</m:t>
            </m:r>
          </m:sub>
        </m:sSub>
      </m:oMath>
      <w:r>
        <w:rPr>
          <w:rFonts w:ascii="Times New Roman" w:hAnsi="Times New Roman" w:cs="Times New Roman"/>
          <w:lang w:eastAsia="zh-CN"/>
        </w:rPr>
        <w:t xml:space="preserve">. The second considers the problem in continuous time and assumes that the distribution of survival in each interval is exponential. Then </w:t>
      </w:r>
      <w:r w:rsidRPr="003C5572">
        <w:rPr>
          <w:rFonts w:ascii="Times New Roman" w:hAnsi="Times New Roman" w:cs="Times New Roman"/>
          <w:lang w:eastAsia="zh-CN"/>
        </w:rPr>
        <w:t>the hazard ratio comparing the other-cause death</w:t>
      </w:r>
      <w:r>
        <w:rPr>
          <w:rFonts w:ascii="Times New Roman" w:hAnsi="Times New Roman" w:cs="Times New Roman"/>
          <w:lang w:eastAsia="zh-CN"/>
        </w:rPr>
        <w:t xml:space="preserve"> among cases</w:t>
      </w:r>
      <w:r w:rsidRPr="003C5572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with the </w:t>
      </w:r>
      <w:r w:rsidRPr="003C5572">
        <w:rPr>
          <w:rFonts w:ascii="Times New Roman" w:hAnsi="Times New Roman" w:cs="Times New Roman"/>
          <w:lang w:eastAsia="zh-CN"/>
        </w:rPr>
        <w:t xml:space="preserve">expected other-cause death </w:t>
      </w:r>
      <w:r>
        <w:rPr>
          <w:rFonts w:ascii="Times New Roman" w:hAnsi="Times New Roman" w:cs="Times New Roman"/>
          <w:lang w:eastAsia="zh-CN"/>
        </w:rPr>
        <w:lastRenderedPageBreak/>
        <w:t>in the population is</w:t>
      </w:r>
      <m:oMath>
        <m:r>
          <m:rPr>
            <m:sty m:val="p"/>
          </m:rPr>
          <w:rPr>
            <w:rFonts w:ascii="Cambria Math" w:hAnsi="Cambria Math" w:cs="Times New Roman"/>
            <w:lang w:eastAsia="zh-CN"/>
          </w:rPr>
          <m:t xml:space="preserve"> HR=log⁡(1-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other cause</m:t>
            </m:r>
          </m:sub>
        </m:sSub>
        <m:r>
          <w:rPr>
            <w:rFonts w:ascii="Cambria Math" w:hAnsi="Cambria Math" w:cs="Times New Roman"/>
            <w:lang w:eastAsia="zh-CN"/>
          </w:rPr>
          <m:t>)/</m:t>
        </m:r>
        <m:r>
          <m:rPr>
            <m:sty m:val="p"/>
          </m:rPr>
          <w:rPr>
            <w:rFonts w:ascii="Cambria Math" w:hAnsi="Cambria Math" w:cs="Times New Roman"/>
            <w:lang w:eastAsia="zh-CN"/>
          </w:rPr>
          <m:t>log⁡(1-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expected</m:t>
            </m:r>
          </m:sub>
        </m:sSub>
        <m:r>
          <w:rPr>
            <w:rFonts w:ascii="Cambria Math" w:hAnsi="Cambria Math" w:cs="Times New Roman"/>
            <w:lang w:eastAsia="zh-CN"/>
          </w:rPr>
          <m:t>)</m:t>
        </m:r>
      </m:oMath>
      <w:r w:rsidRPr="003C5572">
        <w:rPr>
          <w:rFonts w:ascii="Times New Roman" w:hAnsi="Times New Roman" w:cs="Times New Roman" w:hint="eastAsia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The results of both approaches are very similar given the low risk of death in each interval. We used the second method. </w:t>
      </w:r>
      <w:r w:rsidRPr="003C5572">
        <w:rPr>
          <w:rFonts w:ascii="Times New Roman" w:hAnsi="Times New Roman" w:cs="Times New Roman"/>
          <w:lang w:eastAsia="zh-CN"/>
        </w:rPr>
        <w:t xml:space="preserve">The </w:t>
      </w:r>
      <w:r w:rsidR="00614C75">
        <w:rPr>
          <w:rFonts w:ascii="Times New Roman" w:hAnsi="Times New Roman" w:cs="Times New Roman" w:hint="eastAsia"/>
          <w:lang w:eastAsia="zh-CN"/>
        </w:rPr>
        <w:t>Supplemental</w:t>
      </w:r>
      <w:r w:rsidRPr="003C5572">
        <w:rPr>
          <w:rFonts w:ascii="Times New Roman" w:hAnsi="Times New Roman" w:cs="Times New Roman"/>
          <w:lang w:eastAsia="zh-CN"/>
        </w:rPr>
        <w:t xml:space="preserve"> Figure </w:t>
      </w:r>
      <w:r w:rsidR="00614C75">
        <w:rPr>
          <w:rFonts w:ascii="Times New Roman" w:hAnsi="Times New Roman" w:cs="Times New Roman" w:hint="eastAsia"/>
          <w:lang w:eastAsia="zh-CN"/>
        </w:rPr>
        <w:t xml:space="preserve">1 </w:t>
      </w:r>
      <w:r w:rsidRPr="003C5572">
        <w:rPr>
          <w:rFonts w:ascii="Times New Roman" w:hAnsi="Times New Roman" w:cs="Times New Roman" w:hint="eastAsia"/>
          <w:lang w:eastAsia="zh-CN"/>
        </w:rPr>
        <w:t>shows the hazard ratio</w:t>
      </w:r>
      <w:r>
        <w:rPr>
          <w:rFonts w:ascii="Times New Roman" w:hAnsi="Times New Roman" w:cs="Times New Roman"/>
          <w:lang w:eastAsia="zh-CN"/>
        </w:rPr>
        <w:t>s</w:t>
      </w:r>
      <w:r w:rsidRPr="003C5572"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by year </w:t>
      </w:r>
      <w:r w:rsidRPr="003C5572">
        <w:rPr>
          <w:rFonts w:ascii="Times New Roman" w:hAnsi="Times New Roman" w:cs="Times New Roman" w:hint="eastAsia"/>
          <w:lang w:eastAsia="zh-CN"/>
        </w:rPr>
        <w:t>for different age groups</w:t>
      </w:r>
      <w:r w:rsidRPr="003C5572">
        <w:rPr>
          <w:rFonts w:ascii="Times New Roman" w:hAnsi="Times New Roman" w:cs="Times New Roman"/>
          <w:lang w:eastAsia="zh-CN"/>
        </w:rPr>
        <w:t xml:space="preserve"> over the first 10 years following diagnosis</w:t>
      </w:r>
      <w:r w:rsidRPr="003C5572">
        <w:rPr>
          <w:rFonts w:ascii="Times New Roman" w:hAnsi="Times New Roman" w:cs="Times New Roman" w:hint="eastAsia"/>
          <w:lang w:eastAsia="zh-CN"/>
        </w:rPr>
        <w:t>. Although the hazard ratio differs acros</w:t>
      </w:r>
      <w:r>
        <w:rPr>
          <w:rFonts w:ascii="Times New Roman" w:hAnsi="Times New Roman" w:cs="Times New Roman" w:hint="eastAsia"/>
          <w:lang w:eastAsia="zh-CN"/>
        </w:rPr>
        <w:t xml:space="preserve">s age groups, we use 0.4 </w:t>
      </w:r>
      <w:r>
        <w:rPr>
          <w:rFonts w:ascii="Times New Roman" w:hAnsi="Times New Roman" w:cs="Times New Roman"/>
          <w:lang w:eastAsia="zh-CN"/>
        </w:rPr>
        <w:t>as a summary value</w:t>
      </w:r>
      <w:r w:rsidRPr="003C5572">
        <w:rPr>
          <w:rFonts w:ascii="Times New Roman" w:hAnsi="Times New Roman" w:cs="Times New Roman" w:hint="eastAsia"/>
          <w:lang w:eastAsia="zh-CN"/>
        </w:rPr>
        <w:t xml:space="preserve">. </w:t>
      </w:r>
    </w:p>
    <w:p w:rsidR="00F5753D" w:rsidRDefault="00F5753D" w:rsidP="00F5753D">
      <w:pPr>
        <w:spacing w:after="0"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Details of calculating HR using SEER stat:</w:t>
      </w:r>
    </w:p>
    <w:p w:rsidR="00F5753D" w:rsidRDefault="00F5753D" w:rsidP="00F575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Restrict </w:t>
      </w:r>
      <w:r>
        <w:rPr>
          <w:rFonts w:ascii="Times New Roman" w:hAnsi="Times New Roman" w:cs="Times New Roman"/>
          <w:lang w:eastAsia="zh-CN"/>
        </w:rPr>
        <w:t>to the cases satisfying the inclusion</w:t>
      </w:r>
      <w:r>
        <w:rPr>
          <w:rFonts w:ascii="Times New Roman" w:hAnsi="Times New Roman" w:cs="Times New Roman" w:hint="eastAsia"/>
          <w:lang w:eastAsia="zh-CN"/>
        </w:rPr>
        <w:t>.</w:t>
      </w:r>
    </w:p>
    <w:p w:rsidR="00F5753D" w:rsidRDefault="00F5753D" w:rsidP="00F575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Generate</w:t>
      </w:r>
      <w:r>
        <w:rPr>
          <w:rFonts w:ascii="Times New Roman" w:hAnsi="Times New Roman" w:cs="Times New Roman"/>
          <w:lang w:eastAsia="zh-CN"/>
        </w:rPr>
        <w:t xml:space="preserve"> SEER relative survival</w:t>
      </w:r>
      <w:r>
        <w:rPr>
          <w:rFonts w:ascii="Times New Roman" w:hAnsi="Times New Roman" w:cs="Times New Roman" w:hint="eastAsia"/>
          <w:lang w:eastAsia="zh-CN"/>
        </w:rPr>
        <w:t xml:space="preserve"> table for each age group (Supplemental Table 1). </w:t>
      </w:r>
    </w:p>
    <w:p w:rsidR="00F5753D" w:rsidRPr="002530A3" w:rsidRDefault="00F5753D" w:rsidP="00F5753D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Supplemental </w:t>
      </w:r>
      <w:r w:rsidRPr="002530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 xml:space="preserve">Table </w:t>
      </w:r>
      <w:r w:rsidRPr="002530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begin"/>
      </w:r>
      <w:r w:rsidRPr="002530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instrText xml:space="preserve"> SEQ Table \* ARABIC </w:instrText>
      </w:r>
      <w:r w:rsidRPr="002530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zh-CN"/>
        </w:rPr>
        <w:t>1</w:t>
      </w:r>
      <w:r w:rsidRPr="002530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end"/>
      </w:r>
      <w:r w:rsidRPr="002530A3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>: SEER relative survival table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for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localized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prostate cancer cases diagnosed between 1994 and 2007. </w:t>
      </w:r>
    </w:p>
    <w:tbl>
      <w:tblPr>
        <w:tblStyle w:val="TableGrid"/>
        <w:tblW w:w="8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0"/>
        <w:gridCol w:w="1156"/>
        <w:gridCol w:w="983"/>
        <w:gridCol w:w="1069"/>
        <w:gridCol w:w="1069"/>
        <w:gridCol w:w="1070"/>
        <w:gridCol w:w="1069"/>
        <w:gridCol w:w="1070"/>
      </w:tblGrid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Alive at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Lost to </w:t>
            </w:r>
          </w:p>
        </w:tc>
        <w:tc>
          <w:tcPr>
            <w:tcW w:w="2139" w:type="dxa"/>
            <w:gridSpan w:val="2"/>
            <w:noWrap/>
            <w:hideMark/>
          </w:tcPr>
          <w:p w:rsidR="00F5753D" w:rsidRPr="00EC4E34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Observed</w:t>
            </w:r>
          </w:p>
        </w:tc>
        <w:tc>
          <w:tcPr>
            <w:tcW w:w="2139" w:type="dxa"/>
            <w:gridSpan w:val="2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Expected</w:t>
            </w:r>
          </w:p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2530A3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Year Interval</w:t>
            </w:r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Start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Died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Follow-up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Interval</w:t>
            </w:r>
          </w:p>
        </w:tc>
        <w:tc>
          <w:tcPr>
            <w:tcW w:w="1069" w:type="dxa"/>
            <w:noWrap/>
            <w:hideMark/>
          </w:tcPr>
          <w:p w:rsidR="00F5753D" w:rsidRPr="00DF7904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Cum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  <w:t>ulative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Interval</w:t>
            </w:r>
          </w:p>
        </w:tc>
        <w:tc>
          <w:tcPr>
            <w:tcW w:w="1069" w:type="dxa"/>
            <w:noWrap/>
            <w:hideMark/>
          </w:tcPr>
          <w:p w:rsidR="00F5753D" w:rsidRPr="00DF7904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Cum</w:t>
            </w: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ulative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&lt; 1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8,326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99.50%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1-&lt;2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8,235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99.00%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2-&lt;3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8,141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1,645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98.80%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98.50%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3-&lt;4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6,455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1,456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98.30%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97.90%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4-&lt;5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4,971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1,323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97.80%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97.20%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5-&lt;6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3,623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1,309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97.00%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99.30%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96.60%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6-&lt;7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2,291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419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96.20%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99.30%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95.80%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7-&lt;8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1,855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386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95.40%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95.10%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8-&lt;9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1,455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377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98.90%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94.40%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99.10%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94.30%</w:t>
            </w:r>
          </w:p>
        </w:tc>
      </w:tr>
      <w:tr w:rsidR="00F5753D" w:rsidRPr="008835C3" w:rsidTr="004926D1">
        <w:trPr>
          <w:trHeight w:val="304"/>
        </w:trPr>
        <w:tc>
          <w:tcPr>
            <w:tcW w:w="1300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9-&lt;10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156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1,064</w:t>
            </w:r>
          </w:p>
        </w:tc>
        <w:tc>
          <w:tcPr>
            <w:tcW w:w="98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329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93.60%</w:t>
            </w:r>
          </w:p>
        </w:tc>
        <w:tc>
          <w:tcPr>
            <w:tcW w:w="1069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99.10%</w:t>
            </w:r>
          </w:p>
        </w:tc>
        <w:tc>
          <w:tcPr>
            <w:tcW w:w="1069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93.40%</w:t>
            </w:r>
          </w:p>
        </w:tc>
      </w:tr>
    </w:tbl>
    <w:p w:rsidR="00F5753D" w:rsidRDefault="00F5753D" w:rsidP="00F5753D">
      <w:pPr>
        <w:pStyle w:val="ListParagraph"/>
        <w:spacing w:line="480" w:lineRule="auto"/>
        <w:rPr>
          <w:rFonts w:ascii="Times New Roman" w:hAnsi="Times New Roman" w:cs="Times New Roman"/>
          <w:lang w:eastAsia="zh-CN"/>
        </w:rPr>
      </w:pPr>
    </w:p>
    <w:p w:rsidR="00F5753D" w:rsidRDefault="00F5753D" w:rsidP="00F575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Generate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SEER cause-specific </w:t>
      </w:r>
      <w:r>
        <w:rPr>
          <w:rFonts w:ascii="Times New Roman" w:hAnsi="Times New Roman" w:cs="Times New Roman" w:hint="eastAsia"/>
          <w:lang w:eastAsia="zh-CN"/>
        </w:rPr>
        <w:t xml:space="preserve">survival table for each age group (Supplemental Table 2). </w:t>
      </w:r>
    </w:p>
    <w:p w:rsidR="00F5753D" w:rsidRPr="006E68D4" w:rsidRDefault="00F5753D" w:rsidP="00F5753D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Supplemental 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 xml:space="preserve">Table 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begin"/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instrText xml:space="preserve"> SEQ Table \* ARABIC </w:instrTex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zh-CN"/>
        </w:rPr>
        <w:t>2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end"/>
      </w:r>
      <w:r w:rsidRPr="006E68D4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>: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</w:t>
      </w:r>
      <w:r w:rsidRPr="002530A3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SEER 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>cause-specific</w:t>
      </w:r>
      <w:r w:rsidRPr="002530A3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survival table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for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localized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prostate cancer cases diagnosed between 1994 and 2007.</w:t>
      </w:r>
    </w:p>
    <w:tbl>
      <w:tblPr>
        <w:tblStyle w:val="TableGrid"/>
        <w:tblW w:w="7531" w:type="dxa"/>
        <w:jc w:val="center"/>
        <w:tblInd w:w="720" w:type="dxa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5"/>
        <w:gridCol w:w="1256"/>
      </w:tblGrid>
      <w:tr w:rsidR="00F5753D" w:rsidRPr="008D6077" w:rsidTr="004926D1">
        <w:trPr>
          <w:trHeight w:val="187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Alive at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Lost to </w:t>
            </w:r>
          </w:p>
        </w:tc>
        <w:tc>
          <w:tcPr>
            <w:tcW w:w="2511" w:type="dxa"/>
            <w:gridSpan w:val="2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Cause-Specific</w:t>
            </w:r>
          </w:p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Year Interval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Start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Died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Follow-up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Interval</w:t>
            </w:r>
          </w:p>
        </w:tc>
        <w:tc>
          <w:tcPr>
            <w:tcW w:w="1255" w:type="dxa"/>
            <w:noWrap/>
            <w:hideMark/>
          </w:tcPr>
          <w:p w:rsidR="00F5753D" w:rsidRPr="009F32C0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Cum</w:t>
            </w: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ulative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&lt; 1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8,326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99.90%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1-&lt;2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8,235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99.80%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2-&lt;3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8,141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1,670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99.80%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99.60%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3-&lt;4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6,455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1,477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99.50%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4-&lt;5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4,971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1,335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99.20%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5-&lt;6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3,623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1,318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98.70%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6-&lt;7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2,291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427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99.60%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98.30%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7-&lt;8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1,855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394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99.60%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97.90%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8-&lt;9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1,455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384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97.40%</w:t>
            </w:r>
          </w:p>
        </w:tc>
      </w:tr>
      <w:tr w:rsidR="00F5753D" w:rsidRPr="008D6077" w:rsidTr="004926D1">
        <w:trPr>
          <w:trHeight w:val="251"/>
          <w:jc w:val="center"/>
        </w:trPr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9-&lt;10 </w:t>
            </w:r>
            <w:proofErr w:type="spellStart"/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1,064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331</w:t>
            </w:r>
          </w:p>
        </w:tc>
        <w:tc>
          <w:tcPr>
            <w:tcW w:w="1255" w:type="dxa"/>
            <w:noWrap/>
            <w:hideMark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255" w:type="dxa"/>
            <w:noWrap/>
            <w:hideMark/>
          </w:tcPr>
          <w:p w:rsidR="00F5753D" w:rsidRPr="008D6077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8D60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96.90%</w:t>
            </w:r>
          </w:p>
        </w:tc>
      </w:tr>
    </w:tbl>
    <w:p w:rsidR="00F5753D" w:rsidRDefault="00F5753D" w:rsidP="00F5753D">
      <w:pPr>
        <w:pStyle w:val="ListParagraph"/>
        <w:spacing w:line="480" w:lineRule="auto"/>
        <w:rPr>
          <w:rFonts w:ascii="Times New Roman" w:hAnsi="Times New Roman" w:cs="Times New Roman"/>
          <w:lang w:eastAsia="zh-CN"/>
        </w:rPr>
      </w:pPr>
    </w:p>
    <w:p w:rsidR="00F5753D" w:rsidRDefault="00F5753D" w:rsidP="00F575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Merge Supplemental Table 1 and 2 as one table based on 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 w:hint="eastAsia"/>
          <w:lang w:eastAsia="zh-CN"/>
        </w:rPr>
        <w:t>Alive at Start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 w:hint="eastAsia"/>
          <w:lang w:eastAsia="zh-CN"/>
        </w:rPr>
        <w:t xml:space="preserve"> (Supplemental Table 3).</w:t>
      </w:r>
    </w:p>
    <w:p w:rsidR="00F5753D" w:rsidRPr="006E68D4" w:rsidRDefault="00F5753D" w:rsidP="00F5753D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Supplemental 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 xml:space="preserve">Table 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begin"/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instrText xml:space="preserve"> SEQ Table \* ARABIC </w:instrTex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separate"/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3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fldChar w:fldCharType="end"/>
      </w:r>
      <w:r w:rsidRPr="006E68D4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>: SEER observed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 xml:space="preserve"> interval 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>surviva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l</w:t>
      </w:r>
      <w:r w:rsidRPr="006E68D4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and </w:t>
      </w:r>
      <w:r w:rsidRPr="006E68D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expected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 xml:space="preserve"> interval</w:t>
      </w:r>
      <w:r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surviva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zh-CN"/>
        </w:rPr>
        <w:t>l</w:t>
      </w:r>
      <w:r w:rsidRPr="006E68D4">
        <w:rPr>
          <w:rFonts w:ascii="Times New Roman" w:hAnsi="Times New Roman" w:cs="Times New Roman" w:hint="eastAsia"/>
          <w:b w:val="0"/>
          <w:bCs w:val="0"/>
          <w:color w:val="auto"/>
          <w:sz w:val="22"/>
          <w:szCs w:val="22"/>
          <w:lang w:eastAsia="zh-CN"/>
        </w:rPr>
        <w:t xml:space="preserve"> for localized prostate cancer cases diagnosed between 1994 and 2007.</w:t>
      </w:r>
    </w:p>
    <w:tbl>
      <w:tblPr>
        <w:tblStyle w:val="TableGrid"/>
        <w:tblW w:w="745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165"/>
        <w:gridCol w:w="1213"/>
        <w:gridCol w:w="1692"/>
        <w:gridCol w:w="1693"/>
        <w:gridCol w:w="1693"/>
      </w:tblGrid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Year Interval</w:t>
            </w:r>
          </w:p>
        </w:tc>
        <w:tc>
          <w:tcPr>
            <w:tcW w:w="1213" w:type="dxa"/>
            <w:noWrap/>
            <w:hideMark/>
          </w:tcPr>
          <w:p w:rsidR="00F5753D" w:rsidRPr="00EB690C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Alive at</w:t>
            </w: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 xml:space="preserve"> start</w:t>
            </w:r>
          </w:p>
        </w:tc>
        <w:tc>
          <w:tcPr>
            <w:tcW w:w="1692" w:type="dxa"/>
            <w:noWrap/>
          </w:tcPr>
          <w:p w:rsidR="00F5753D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  <w:t>Observe</w:t>
            </w: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d Interval</w:t>
            </w:r>
          </w:p>
          <w:p w:rsidR="00F5753D" w:rsidRPr="00EB690C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(OBS)</w:t>
            </w:r>
          </w:p>
        </w:tc>
        <w:tc>
          <w:tcPr>
            <w:tcW w:w="1693" w:type="dxa"/>
          </w:tcPr>
          <w:p w:rsidR="00F5753D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Expected Interval</w:t>
            </w:r>
          </w:p>
          <w:p w:rsidR="00F5753D" w:rsidRPr="00EB690C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(EXP)</w:t>
            </w:r>
          </w:p>
        </w:tc>
        <w:tc>
          <w:tcPr>
            <w:tcW w:w="1693" w:type="dxa"/>
          </w:tcPr>
          <w:p w:rsidR="00F5753D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Cause Specific Interval</w:t>
            </w:r>
          </w:p>
          <w:p w:rsidR="00F5753D" w:rsidRPr="00EB690C" w:rsidRDefault="00F5753D" w:rsidP="004926D1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16"/>
                <w:szCs w:val="16"/>
                <w:lang w:eastAsia="zh-CN"/>
              </w:rPr>
              <w:t>(CS)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&lt; 1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8,326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1-&lt;2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8,235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2-&lt;3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8,141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99.80%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3-&lt;4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6,455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99.90%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4-&lt;5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4,971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99.70%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5-&lt;6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3,623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99.30%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99.50%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6-&lt;7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2,291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99.30%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99.60%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7-&lt;8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1,855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99.60%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8-&lt;9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1,455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98.90%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99.10%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</w:tr>
      <w:tr w:rsidR="00F5753D" w:rsidRPr="008835C3" w:rsidTr="004926D1">
        <w:trPr>
          <w:trHeight w:val="316"/>
          <w:jc w:val="center"/>
        </w:trPr>
        <w:tc>
          <w:tcPr>
            <w:tcW w:w="1165" w:type="dxa"/>
            <w:noWrap/>
            <w:hideMark/>
          </w:tcPr>
          <w:p w:rsidR="00F5753D" w:rsidRPr="00EC4E34" w:rsidRDefault="00F5753D" w:rsidP="004926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9-&lt;10 </w:t>
            </w:r>
            <w:proofErr w:type="spellStart"/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</w:p>
        </w:tc>
        <w:tc>
          <w:tcPr>
            <w:tcW w:w="1213" w:type="dxa"/>
            <w:noWrap/>
            <w:hideMark/>
          </w:tcPr>
          <w:p w:rsidR="00F5753D" w:rsidRPr="00EC4E34" w:rsidRDefault="00F5753D" w:rsidP="004926D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EC4E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1,064</w:t>
            </w:r>
          </w:p>
        </w:tc>
        <w:tc>
          <w:tcPr>
            <w:tcW w:w="1692" w:type="dxa"/>
            <w:noWrap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99.20%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99.10%</w:t>
            </w:r>
          </w:p>
        </w:tc>
        <w:tc>
          <w:tcPr>
            <w:tcW w:w="1693" w:type="dxa"/>
          </w:tcPr>
          <w:p w:rsidR="00F5753D" w:rsidRPr="00FA4B27" w:rsidRDefault="00F5753D" w:rsidP="004926D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A4B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zh-CN"/>
              </w:rPr>
              <w:t>99.40%</w:t>
            </w:r>
          </w:p>
        </w:tc>
      </w:tr>
    </w:tbl>
    <w:p w:rsidR="00F5753D" w:rsidRDefault="00F5753D" w:rsidP="00F5753D">
      <w:pPr>
        <w:pStyle w:val="ListParagraph"/>
        <w:spacing w:line="480" w:lineRule="auto"/>
        <w:rPr>
          <w:rFonts w:ascii="Times New Roman" w:hAnsi="Times New Roman" w:cs="Times New Roman"/>
          <w:lang w:eastAsia="zh-CN"/>
        </w:rPr>
      </w:pPr>
    </w:p>
    <w:p w:rsidR="00F5753D" w:rsidRPr="003C5572" w:rsidRDefault="00F5753D" w:rsidP="00F5753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Based on Supplemental Table 3, we could calculate the </w:t>
      </w:r>
      <w:r>
        <w:rPr>
          <w:rFonts w:ascii="Times New Roman" w:hAnsi="Times New Roman" w:cs="Times New Roman"/>
          <w:lang w:eastAsia="zh-CN"/>
        </w:rPr>
        <w:t xml:space="preserve">probability of other-cause death in the case population </w:t>
      </w:r>
      <w:proofErr w:type="gramStart"/>
      <w:r>
        <w:rPr>
          <w:rFonts w:ascii="Times New Roman" w:hAnsi="Times New Roman" w:cs="Times New Roman"/>
          <w:lang w:eastAsia="zh-CN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zh-C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zh-CN"/>
                  </w:rPr>
                  <m:t>other cause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=</m:t>
            </m:r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all cause</m:t>
            </m:r>
          </m:sub>
        </m:sSub>
        <m:r>
          <m:rPr>
            <m:sty m:val="p"/>
          </m:rPr>
          <w:rPr>
            <w:rFonts w:ascii="Cambria Math" w:hAnsi="Cambria Math" w:cs="Times New Roman"/>
            <w:lang w:eastAsia="zh-CN"/>
          </w:rPr>
          <m:t>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 xml:space="preserve"> disease-specific</m:t>
            </m:r>
          </m:sub>
        </m:sSub>
      </m:oMath>
      <w:r>
        <w:rPr>
          <w:rFonts w:ascii="Times New Roman" w:hAnsi="Times New Roman" w:cs="Times New Roman"/>
          <w:lang w:eastAsia="zh-CN"/>
        </w:rPr>
        <w:t>, the expected probability of death in the age-matched population each year as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zh-C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zh-CN"/>
                  </w:rPr>
                  <m:t>expected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=1-</m:t>
            </m:r>
            <m:r>
              <w:rPr>
                <w:rFonts w:ascii="Cambria Math" w:hAnsi="Cambria Math" w:cs="Times New Roman"/>
                <w:lang w:eastAsia="zh-C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expected</m:t>
            </m:r>
          </m:sub>
        </m:sSub>
      </m:oMath>
      <w:r>
        <w:rPr>
          <w:rFonts w:ascii="Times New Roman" w:hAnsi="Times New Roman" w:cs="Times New Roman" w:hint="eastAsia"/>
          <w:lang w:eastAsia="zh-CN"/>
        </w:rPr>
        <w:t xml:space="preserve">, </w:t>
      </w:r>
      <w:r>
        <w:rPr>
          <w:rFonts w:ascii="Times New Roman" w:hAnsi="Times New Roman" w:cs="Times New Roman"/>
          <w:lang w:eastAsia="zh-CN"/>
        </w:rPr>
        <w:t xml:space="preserve"> and the hazard ratio as </w:t>
      </w:r>
      <m:oMath>
        <m:r>
          <m:rPr>
            <m:sty m:val="p"/>
          </m:rPr>
          <w:rPr>
            <w:rFonts w:ascii="Cambria Math" w:hAnsi="Cambria Math" w:cs="Times New Roman"/>
            <w:lang w:eastAsia="zh-CN"/>
          </w:rPr>
          <m:t>HR=log⁡(1-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other cause</m:t>
            </m:r>
          </m:sub>
        </m:sSub>
        <m:r>
          <w:rPr>
            <w:rFonts w:ascii="Cambria Math" w:hAnsi="Cambria Math" w:cs="Times New Roman"/>
            <w:lang w:eastAsia="zh-CN"/>
          </w:rPr>
          <m:t>)/</m:t>
        </m:r>
        <m:r>
          <m:rPr>
            <m:sty m:val="p"/>
          </m:rPr>
          <w:rPr>
            <w:rFonts w:ascii="Cambria Math" w:hAnsi="Cambria Math" w:cs="Times New Roman"/>
            <w:lang w:eastAsia="zh-CN"/>
          </w:rPr>
          <m:t>log⁡(1-</m:t>
        </m:r>
        <m:sSub>
          <m:sSubPr>
            <m:ctrlPr>
              <w:rPr>
                <w:rFonts w:ascii="Cambria Math" w:hAnsi="Cambria Math" w:cs="Times New Roman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eastAsia="zh-CN"/>
              </w:rPr>
              <m:t>expected</m:t>
            </m:r>
          </m:sub>
        </m:sSub>
        <m:r>
          <w:rPr>
            <w:rFonts w:ascii="Cambria Math" w:hAnsi="Cambria Math" w:cs="Times New Roman"/>
            <w:lang w:eastAsia="zh-CN"/>
          </w:rPr>
          <m:t>)</m:t>
        </m:r>
      </m:oMath>
      <w:r w:rsidRPr="003C5572">
        <w:rPr>
          <w:rFonts w:ascii="Times New Roman" w:hAnsi="Times New Roman" w:cs="Times New Roman" w:hint="eastAsia"/>
          <w:lang w:eastAsia="zh-CN"/>
        </w:rPr>
        <w:t>.</w:t>
      </w:r>
    </w:p>
    <w:p w:rsidR="00F5753D" w:rsidRPr="003C5572" w:rsidRDefault="00F5753D" w:rsidP="00F5753D">
      <w:pPr>
        <w:keepNext/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Supplemental</w:t>
      </w:r>
      <w:r w:rsidRPr="003C557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Figure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1</w:t>
      </w:r>
      <w:r w:rsidRPr="003C557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: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>Hazard ratios of o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ther-cause death among </w:t>
      </w:r>
      <w:r w:rsidR="00DE103A">
        <w:rPr>
          <w:rFonts w:ascii="Times New Roman" w:hAnsi="Times New Roman" w:cs="Times New Roman"/>
          <w:sz w:val="24"/>
          <w:szCs w:val="24"/>
          <w:lang w:eastAsia="zh-CN"/>
        </w:rPr>
        <w:t xml:space="preserve">localized 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prostate cancer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 xml:space="preserve">patients 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diagnosed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 xml:space="preserve">between 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1994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 xml:space="preserve">and 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2007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 xml:space="preserve">in </w:t>
      </w:r>
      <w:r w:rsidR="00DE103A">
        <w:rPr>
          <w:rFonts w:ascii="Times New Roman" w:hAnsi="Times New Roman" w:cs="Times New Roman"/>
          <w:sz w:val="24"/>
          <w:szCs w:val="24"/>
          <w:lang w:eastAsia="zh-CN"/>
        </w:rPr>
        <w:t xml:space="preserve">SEER </w:t>
      </w:r>
      <w:bookmarkStart w:id="0" w:name="_GoBack"/>
      <w:bookmarkEnd w:id="0"/>
      <w:r w:rsidRPr="003C5572">
        <w:rPr>
          <w:rFonts w:ascii="Times New Roman" w:hAnsi="Times New Roman" w:cs="Times New Roman"/>
          <w:sz w:val="24"/>
          <w:szCs w:val="24"/>
          <w:lang w:eastAsia="zh-CN"/>
        </w:rPr>
        <w:t xml:space="preserve">relative 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to </w:t>
      </w:r>
      <w:r w:rsidRPr="003C5572">
        <w:rPr>
          <w:rFonts w:ascii="Times New Roman" w:hAnsi="Times New Roman" w:cs="Times New Roman"/>
          <w:sz w:val="24"/>
          <w:szCs w:val="24"/>
          <w:lang w:eastAsia="zh-CN"/>
        </w:rPr>
        <w:t>standard US life tables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by year after diagnosis</w:t>
      </w:r>
      <w:r w:rsidRPr="003C5572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</w:p>
    <w:p w:rsidR="00F5753D" w:rsidRPr="003C5572" w:rsidRDefault="00F5753D" w:rsidP="00F5753D">
      <w:pPr>
        <w:keepNext/>
        <w:spacing w:line="480" w:lineRule="auto"/>
        <w:jc w:val="center"/>
        <w:rPr>
          <w:lang w:eastAsia="zh-CN"/>
        </w:rPr>
      </w:pPr>
      <w:r w:rsidRPr="003C5572">
        <w:rPr>
          <w:rFonts w:ascii="Times New Roman" w:hAnsi="Times New Roman" w:cs="Times New Roman"/>
          <w:noProof/>
        </w:rPr>
        <w:drawing>
          <wp:inline distT="0" distB="0" distL="0" distR="0" wp14:anchorId="70FC5063" wp14:editId="1AA4CBB8">
            <wp:extent cx="4939200" cy="370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_diag1994to2007_locreg_rp_by_10yrage_0.4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3D" w:rsidRPr="003C5572" w:rsidRDefault="00F5753D" w:rsidP="00F5753D">
      <w:pPr>
        <w:spacing w:line="480" w:lineRule="auto"/>
        <w:rPr>
          <w:lang w:eastAsia="zh-CN"/>
        </w:rPr>
      </w:pPr>
    </w:p>
    <w:p w:rsidR="005E1753" w:rsidRDefault="005E1753"/>
    <w:sectPr w:rsidR="005E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101"/>
    <w:multiLevelType w:val="hybridMultilevel"/>
    <w:tmpl w:val="5FA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03EF"/>
    <w:multiLevelType w:val="hybridMultilevel"/>
    <w:tmpl w:val="00367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D"/>
    <w:rsid w:val="005E1753"/>
    <w:rsid w:val="00614C75"/>
    <w:rsid w:val="009A1E29"/>
    <w:rsid w:val="00DE103A"/>
    <w:rsid w:val="00F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3D"/>
    <w:pPr>
      <w:ind w:left="720"/>
      <w:contextualSpacing/>
    </w:pPr>
  </w:style>
  <w:style w:type="table" w:styleId="TableGrid">
    <w:name w:val="Table Grid"/>
    <w:basedOn w:val="TableNormal"/>
    <w:uiPriority w:val="59"/>
    <w:rsid w:val="00F5753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575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3D"/>
    <w:pPr>
      <w:ind w:left="720"/>
      <w:contextualSpacing/>
    </w:pPr>
  </w:style>
  <w:style w:type="table" w:styleId="TableGrid">
    <w:name w:val="Table Grid"/>
    <w:basedOn w:val="TableNormal"/>
    <w:uiPriority w:val="59"/>
    <w:rsid w:val="00F5753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575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Xia, Jing</dc:creator>
  <cp:lastModifiedBy>Gulati, Roman H</cp:lastModifiedBy>
  <cp:revision>3</cp:revision>
  <dcterms:created xsi:type="dcterms:W3CDTF">2014-04-04T17:22:00Z</dcterms:created>
  <dcterms:modified xsi:type="dcterms:W3CDTF">2014-04-07T18:08:00Z</dcterms:modified>
</cp:coreProperties>
</file>