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7" w:rsidRPr="00472317" w:rsidRDefault="005F1397" w:rsidP="005F1397">
      <w:pPr>
        <w:autoSpaceDE w:val="0"/>
        <w:autoSpaceDN w:val="0"/>
        <w:adjustRightInd w:val="0"/>
        <w:spacing w:line="480" w:lineRule="auto"/>
        <w:rPr>
          <w:rFonts w:eastAsia="MS Mincho"/>
          <w:b/>
          <w:bCs/>
          <w:sz w:val="24"/>
          <w:szCs w:val="24"/>
        </w:rPr>
      </w:pPr>
      <w:proofErr w:type="gramStart"/>
      <w:r w:rsidRPr="00472317">
        <w:rPr>
          <w:rFonts w:eastAsia="MS Mincho"/>
          <w:b/>
          <w:bCs/>
          <w:sz w:val="24"/>
          <w:szCs w:val="24"/>
        </w:rPr>
        <w:t>Supplementary Figure S1.</w:t>
      </w:r>
      <w:proofErr w:type="gramEnd"/>
      <w:r w:rsidRPr="00472317">
        <w:rPr>
          <w:rFonts w:eastAsia="MS Mincho"/>
          <w:b/>
          <w:bCs/>
          <w:sz w:val="24"/>
          <w:szCs w:val="24"/>
        </w:rPr>
        <w:t xml:space="preserve"> Study profile.</w:t>
      </w:r>
    </w:p>
    <w:p w:rsidR="005F1397" w:rsidRPr="00472317" w:rsidRDefault="005F1397" w:rsidP="005F1397">
      <w:pPr>
        <w:autoSpaceDE w:val="0"/>
        <w:autoSpaceDN w:val="0"/>
        <w:adjustRightInd w:val="0"/>
        <w:spacing w:line="480" w:lineRule="auto"/>
        <w:rPr>
          <w:sz w:val="24"/>
        </w:rPr>
      </w:pPr>
      <w:r w:rsidRPr="00472317">
        <w:rPr>
          <w:rFonts w:eastAsia="MS Mincho"/>
          <w:sz w:val="24"/>
          <w:szCs w:val="24"/>
        </w:rPr>
        <w:t xml:space="preserve">Two patients with pancreatic ductal adenocarcinoma (PDA) and 1 patient with intrahepatic </w:t>
      </w:r>
      <w:proofErr w:type="spellStart"/>
      <w:r w:rsidRPr="00472317">
        <w:rPr>
          <w:rFonts w:eastAsia="MS Mincho"/>
          <w:sz w:val="24"/>
          <w:szCs w:val="24"/>
        </w:rPr>
        <w:t>cholangiocarcinoma</w:t>
      </w:r>
      <w:proofErr w:type="spellEnd"/>
      <w:r w:rsidRPr="00472317">
        <w:rPr>
          <w:rFonts w:eastAsia="MS Mincho"/>
          <w:sz w:val="24"/>
          <w:szCs w:val="24"/>
        </w:rPr>
        <w:t xml:space="preserve"> (ICC) who were positive for HLA-A*02:01, A*02:06, or A*24:02 received the DC/WT1-I vaccination. One PDA patient who was positive for HLA-DRB1*08:03 and DPB1*05:01 received the DC/WT1-II vaccination. Then, 7 PDA patients who were positive for HLA-A*02:01, A*02:06, A*24:02, DRB1*04:05, DRB1*08:03, DRB1*15:01, DRB1*15:02, DPB1*05:01, or DPB1*09:01 received the DC/WT1-I/II vaccination. </w:t>
      </w:r>
      <w:r w:rsidRPr="00472317">
        <w:rPr>
          <w:rFonts w:eastAsia="MS Mincho"/>
          <w:kern w:val="1"/>
          <w:sz w:val="24"/>
          <w:szCs w:val="24"/>
        </w:rPr>
        <w:t xml:space="preserve">The 7 PDA patients who received the DC/WT1-I/II vaccination and the 3 PDA patients who received the DC/WT1-I or -II vaccination were analyzed for </w:t>
      </w:r>
      <w:r w:rsidRPr="00472317">
        <w:rPr>
          <w:rFonts w:eastAsia="MS Mincho"/>
          <w:sz w:val="24"/>
          <w:szCs w:val="24"/>
        </w:rPr>
        <w:t>toxicities,</w:t>
      </w:r>
      <w:r w:rsidRPr="00472317">
        <w:rPr>
          <w:rFonts w:eastAsia="MS Mincho"/>
          <w:kern w:val="1"/>
          <w:sz w:val="24"/>
          <w:szCs w:val="24"/>
        </w:rPr>
        <w:t xml:space="preserve"> their clinical responses, and their WT1-specific immunological responses. One ICC patient who received the DC/WT1-I vaccination was analyzed for </w:t>
      </w:r>
      <w:r w:rsidRPr="00472317">
        <w:rPr>
          <w:rFonts w:eastAsia="MS Mincho"/>
          <w:sz w:val="24"/>
          <w:szCs w:val="24"/>
        </w:rPr>
        <w:t>toxicities</w:t>
      </w:r>
      <w:r w:rsidRPr="00472317">
        <w:rPr>
          <w:rFonts w:eastAsia="MS Mincho"/>
          <w:kern w:val="1"/>
          <w:sz w:val="24"/>
          <w:szCs w:val="24"/>
        </w:rPr>
        <w:t xml:space="preserve"> and WT1-specific immunological responses. </w:t>
      </w:r>
    </w:p>
    <w:p w:rsidR="005F1397" w:rsidRPr="00472317" w:rsidRDefault="005F1397" w:rsidP="005F1397">
      <w:pPr>
        <w:widowControl/>
        <w:jc w:val="left"/>
        <w:rPr>
          <w:color w:val="000000"/>
        </w:rPr>
      </w:pPr>
    </w:p>
    <w:p w:rsidR="005F1397" w:rsidRPr="00472317" w:rsidRDefault="005F1397" w:rsidP="005F1397">
      <w:pPr>
        <w:autoSpaceDE w:val="0"/>
        <w:autoSpaceDN w:val="0"/>
        <w:adjustRightInd w:val="0"/>
        <w:spacing w:line="480" w:lineRule="auto"/>
        <w:rPr>
          <w:b/>
          <w:sz w:val="24"/>
        </w:rPr>
      </w:pPr>
      <w:proofErr w:type="gramStart"/>
      <w:r w:rsidRPr="00472317">
        <w:rPr>
          <w:b/>
          <w:sz w:val="24"/>
        </w:rPr>
        <w:t>Supplementary Figure S2.</w:t>
      </w:r>
      <w:proofErr w:type="gramEnd"/>
      <w:r w:rsidRPr="00472317">
        <w:rPr>
          <w:b/>
          <w:sz w:val="24"/>
        </w:rPr>
        <w:t xml:space="preserve"> </w:t>
      </w:r>
      <w:proofErr w:type="gramStart"/>
      <w:r w:rsidRPr="00472317">
        <w:rPr>
          <w:b/>
          <w:sz w:val="24"/>
        </w:rPr>
        <w:t>Treatment schedule.</w:t>
      </w:r>
      <w:proofErr w:type="gramEnd"/>
    </w:p>
    <w:p w:rsidR="005F1397" w:rsidRPr="00472317" w:rsidRDefault="005F1397" w:rsidP="005F1397">
      <w:pPr>
        <w:widowControl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472317">
        <w:rPr>
          <w:sz w:val="24"/>
        </w:rPr>
        <w:t xml:space="preserve">In the first course, gemcitabine was administered alone at a dose of </w:t>
      </w:r>
      <w:r w:rsidRPr="00472317">
        <w:rPr>
          <w:sz w:val="24"/>
          <w:szCs w:val="24"/>
        </w:rPr>
        <w:t>1,000</w:t>
      </w:r>
      <w:r w:rsidRPr="00472317">
        <w:rPr>
          <w:sz w:val="24"/>
        </w:rPr>
        <w:t xml:space="preserve"> mg/m</w:t>
      </w:r>
      <w:r w:rsidRPr="00472317">
        <w:rPr>
          <w:sz w:val="24"/>
          <w:vertAlign w:val="superscript"/>
        </w:rPr>
        <w:t>2</w:t>
      </w:r>
      <w:r w:rsidRPr="00472317">
        <w:rPr>
          <w:sz w:val="24"/>
        </w:rPr>
        <w:t xml:space="preserve"> on days 1, 8, and 15 in a 28-day cycle. </w:t>
      </w:r>
      <w:r w:rsidRPr="00472317">
        <w:rPr>
          <w:sz w:val="24"/>
          <w:szCs w:val="24"/>
        </w:rPr>
        <w:t>For</w:t>
      </w:r>
      <w:r w:rsidRPr="00472317">
        <w:rPr>
          <w:sz w:val="24"/>
        </w:rPr>
        <w:t xml:space="preserve"> the second course, patients received gemcitabine on days 1, 8, and 15 in a 28-day cycle and DC/WT1 vaccines </w:t>
      </w:r>
      <w:proofErr w:type="spellStart"/>
      <w:r w:rsidRPr="00472317">
        <w:rPr>
          <w:sz w:val="24"/>
        </w:rPr>
        <w:t>intradermally</w:t>
      </w:r>
      <w:proofErr w:type="spellEnd"/>
      <w:r w:rsidRPr="00472317">
        <w:rPr>
          <w:sz w:val="24"/>
        </w:rPr>
        <w:t xml:space="preserve"> biweekly, regardless of the regimen of chemotherapy. </w:t>
      </w:r>
      <w:r w:rsidRPr="00472317">
        <w:rPr>
          <w:sz w:val="24"/>
          <w:szCs w:val="24"/>
        </w:rPr>
        <w:t xml:space="preserve">However, nearly all vaccines overlapped with standard chemotherapy. </w:t>
      </w:r>
      <w:r w:rsidRPr="00472317">
        <w:rPr>
          <w:sz w:val="24"/>
        </w:rPr>
        <w:t xml:space="preserve">The patients received treatment until the occurrence of disease progression, </w:t>
      </w:r>
      <w:r w:rsidRPr="00472317">
        <w:rPr>
          <w:kern w:val="1"/>
          <w:sz w:val="24"/>
        </w:rPr>
        <w:t>unacceptable adverse events, or withdrawal of consent.</w:t>
      </w:r>
    </w:p>
    <w:p w:rsidR="005F1397" w:rsidRPr="00472317" w:rsidRDefault="005F1397" w:rsidP="005F1397">
      <w:pPr>
        <w:widowControl/>
        <w:autoSpaceDE w:val="0"/>
        <w:autoSpaceDN w:val="0"/>
        <w:adjustRightInd w:val="0"/>
        <w:spacing w:line="480" w:lineRule="auto"/>
        <w:rPr>
          <w:rFonts w:eastAsia="MS Mincho"/>
          <w:kern w:val="1"/>
          <w:sz w:val="24"/>
          <w:szCs w:val="24"/>
        </w:rPr>
      </w:pPr>
    </w:p>
    <w:p w:rsidR="005F1397" w:rsidRPr="00472317" w:rsidRDefault="005F1397" w:rsidP="005F1397">
      <w:pPr>
        <w:autoSpaceDE w:val="0"/>
        <w:autoSpaceDN w:val="0"/>
        <w:adjustRightInd w:val="0"/>
        <w:spacing w:line="480" w:lineRule="auto"/>
        <w:rPr>
          <w:rFonts w:eastAsia="MS Mincho"/>
          <w:b/>
          <w:bCs/>
          <w:kern w:val="1"/>
          <w:sz w:val="24"/>
          <w:szCs w:val="24"/>
        </w:rPr>
      </w:pPr>
      <w:proofErr w:type="gramStart"/>
      <w:r w:rsidRPr="00472317">
        <w:rPr>
          <w:rFonts w:eastAsia="MS Mincho"/>
          <w:b/>
          <w:bCs/>
          <w:sz w:val="24"/>
          <w:szCs w:val="24"/>
        </w:rPr>
        <w:t>Supplementary Figure S3.</w:t>
      </w:r>
      <w:proofErr w:type="gramEnd"/>
      <w:r w:rsidRPr="00472317">
        <w:rPr>
          <w:rFonts w:eastAsia="MS Mincho"/>
          <w:b/>
          <w:bCs/>
          <w:sz w:val="24"/>
          <w:szCs w:val="24"/>
        </w:rPr>
        <w:t xml:space="preserve"> </w:t>
      </w:r>
      <w:proofErr w:type="gramStart"/>
      <w:r w:rsidRPr="00472317">
        <w:rPr>
          <w:rFonts w:eastAsia="MS Mincho"/>
          <w:b/>
          <w:bCs/>
          <w:sz w:val="24"/>
          <w:szCs w:val="24"/>
        </w:rPr>
        <w:t xml:space="preserve">Frequency of </w:t>
      </w:r>
      <w:r w:rsidRPr="00472317">
        <w:rPr>
          <w:rFonts w:eastAsia="MS Mincho"/>
          <w:b/>
          <w:sz w:val="24"/>
          <w:szCs w:val="24"/>
        </w:rPr>
        <w:t>regulatory T cells</w:t>
      </w:r>
      <w:r w:rsidRPr="00472317">
        <w:rPr>
          <w:rFonts w:eastAsia="MS Mincho"/>
          <w:b/>
          <w:bCs/>
          <w:sz w:val="24"/>
          <w:szCs w:val="24"/>
        </w:rPr>
        <w:t xml:space="preserve"> or </w:t>
      </w:r>
      <w:r w:rsidRPr="00472317">
        <w:rPr>
          <w:rFonts w:eastAsia="MS Mincho"/>
          <w:b/>
          <w:sz w:val="24"/>
          <w:szCs w:val="24"/>
        </w:rPr>
        <w:t>myeloid-derived suppressor cells</w:t>
      </w:r>
      <w:r w:rsidRPr="00472317">
        <w:rPr>
          <w:rFonts w:eastAsia="MS Mincho"/>
          <w:b/>
          <w:bCs/>
          <w:sz w:val="24"/>
          <w:szCs w:val="24"/>
        </w:rPr>
        <w:t xml:space="preserve"> in patients before and after therapy.</w:t>
      </w:r>
      <w:proofErr w:type="gramEnd"/>
    </w:p>
    <w:p w:rsidR="005F1397" w:rsidRPr="00472317" w:rsidRDefault="005F1397" w:rsidP="005F1397">
      <w:pPr>
        <w:widowControl/>
        <w:autoSpaceDE w:val="0"/>
        <w:autoSpaceDN w:val="0"/>
        <w:adjustRightInd w:val="0"/>
        <w:spacing w:line="480" w:lineRule="auto"/>
        <w:rPr>
          <w:rFonts w:eastAsia="MS Mincho"/>
          <w:sz w:val="24"/>
          <w:szCs w:val="24"/>
        </w:rPr>
      </w:pPr>
      <w:r w:rsidRPr="00472317">
        <w:rPr>
          <w:rFonts w:eastAsia="MS Mincho"/>
          <w:sz w:val="24"/>
          <w:szCs w:val="24"/>
        </w:rPr>
        <w:lastRenderedPageBreak/>
        <w:t>A, Dot plots of CD25+Foxp3+ cells in the CD4+ T cell populations from PDA-04 after 11 vaccinations with DC/WT1-I/II are shown</w:t>
      </w:r>
      <w:r w:rsidRPr="00472317">
        <w:rPr>
          <w:sz w:val="24"/>
          <w:szCs w:val="24"/>
        </w:rPr>
        <w:t xml:space="preserve">. B, </w:t>
      </w:r>
      <w:r w:rsidRPr="00472317">
        <w:rPr>
          <w:sz w:val="24"/>
        </w:rPr>
        <w:t xml:space="preserve">The percentages of CD25+Foxp3+ cells in the CD4+ T cell population in patients </w:t>
      </w:r>
      <w:r w:rsidRPr="00472317">
        <w:rPr>
          <w:rFonts w:eastAsia="MS Mincho"/>
          <w:sz w:val="24"/>
          <w:szCs w:val="24"/>
        </w:rPr>
        <w:t>who received DC/WT1-I or -II (left panel) or DCWT1-I/II (</w:t>
      </w:r>
      <w:r w:rsidRPr="00472317">
        <w:rPr>
          <w:kern w:val="1"/>
          <w:sz w:val="24"/>
        </w:rPr>
        <w:t xml:space="preserve">the </w:t>
      </w:r>
      <w:r w:rsidRPr="00472317">
        <w:rPr>
          <w:sz w:val="24"/>
        </w:rPr>
        <w:t>delayed type hypersensitivity</w:t>
      </w:r>
      <w:r w:rsidRPr="00472317">
        <w:rPr>
          <w:kern w:val="1"/>
          <w:sz w:val="24"/>
        </w:rPr>
        <w:t xml:space="preserve"> (DTH)</w:t>
      </w:r>
      <w:r w:rsidRPr="00472317">
        <w:rPr>
          <w:sz w:val="24"/>
        </w:rPr>
        <w:t>-positive patients</w:t>
      </w:r>
      <w:r w:rsidRPr="00472317">
        <w:rPr>
          <w:rFonts w:eastAsia="MS Mincho"/>
          <w:sz w:val="24"/>
          <w:szCs w:val="24"/>
        </w:rPr>
        <w:t>, middle panel; and DTH-negative,</w:t>
      </w:r>
      <w:r w:rsidRPr="00472317">
        <w:rPr>
          <w:sz w:val="24"/>
        </w:rPr>
        <w:t xml:space="preserve"> right panel) </w:t>
      </w:r>
      <w:r w:rsidRPr="00472317">
        <w:rPr>
          <w:rFonts w:eastAsia="MS Mincho"/>
          <w:kern w:val="1"/>
          <w:sz w:val="24"/>
          <w:szCs w:val="24"/>
        </w:rPr>
        <w:t>during</w:t>
      </w:r>
      <w:r w:rsidRPr="00472317">
        <w:rPr>
          <w:kern w:val="1"/>
          <w:sz w:val="24"/>
        </w:rPr>
        <w:t xml:space="preserve"> the </w:t>
      </w:r>
      <w:r w:rsidRPr="00472317">
        <w:rPr>
          <w:rFonts w:eastAsia="MS Mincho"/>
          <w:kern w:val="1"/>
          <w:sz w:val="24"/>
          <w:szCs w:val="24"/>
        </w:rPr>
        <w:t>vaccination period</w:t>
      </w:r>
      <w:r w:rsidRPr="00472317">
        <w:rPr>
          <w:sz w:val="24"/>
        </w:rPr>
        <w:t xml:space="preserve"> were assessed</w:t>
      </w:r>
      <w:r w:rsidRPr="00472317">
        <w:rPr>
          <w:rFonts w:eastAsia="MS Mincho"/>
          <w:kern w:val="1"/>
          <w:sz w:val="24"/>
          <w:szCs w:val="24"/>
        </w:rPr>
        <w:t xml:space="preserve">. </w:t>
      </w:r>
      <w:r w:rsidRPr="00472317">
        <w:rPr>
          <w:rFonts w:eastAsia="MS Mincho"/>
          <w:sz w:val="24"/>
          <w:szCs w:val="24"/>
        </w:rPr>
        <w:t>C, Dot plots of CD14-</w:t>
      </w:r>
      <w:r w:rsidRPr="00472317">
        <w:rPr>
          <w:sz w:val="24"/>
        </w:rPr>
        <w:t xml:space="preserve">CD11b+CD33+ cells in </w:t>
      </w:r>
      <w:r w:rsidRPr="00472317">
        <w:rPr>
          <w:rFonts w:eastAsia="MS Mincho"/>
          <w:sz w:val="24"/>
          <w:szCs w:val="24"/>
        </w:rPr>
        <w:t xml:space="preserve">live </w:t>
      </w:r>
      <w:r w:rsidRPr="00472317">
        <w:rPr>
          <w:sz w:val="24"/>
        </w:rPr>
        <w:t xml:space="preserve">PBMCs </w:t>
      </w:r>
      <w:r w:rsidRPr="00472317">
        <w:rPr>
          <w:sz w:val="24"/>
          <w:szCs w:val="24"/>
        </w:rPr>
        <w:t>from PDA-04</w:t>
      </w:r>
      <w:r w:rsidRPr="00472317">
        <w:rPr>
          <w:sz w:val="24"/>
        </w:rPr>
        <w:t xml:space="preserve"> after </w:t>
      </w:r>
      <w:r w:rsidRPr="00472317">
        <w:rPr>
          <w:rFonts w:eastAsia="MS Mincho"/>
          <w:sz w:val="24"/>
          <w:szCs w:val="24"/>
        </w:rPr>
        <w:t>11 vaccinations with DC/WT1-I/II</w:t>
      </w:r>
      <w:r w:rsidRPr="00472317">
        <w:rPr>
          <w:sz w:val="24"/>
        </w:rPr>
        <w:t xml:space="preserve"> are </w:t>
      </w:r>
      <w:r w:rsidRPr="00472317">
        <w:rPr>
          <w:rFonts w:eastAsia="MS Mincho"/>
          <w:sz w:val="24"/>
          <w:szCs w:val="24"/>
        </w:rPr>
        <w:t>shown</w:t>
      </w:r>
      <w:r w:rsidRPr="00472317">
        <w:rPr>
          <w:sz w:val="24"/>
          <w:szCs w:val="24"/>
        </w:rPr>
        <w:t xml:space="preserve">. D, </w:t>
      </w:r>
      <w:r w:rsidRPr="00472317">
        <w:rPr>
          <w:rFonts w:eastAsia="MS Mincho"/>
          <w:kern w:val="1"/>
          <w:sz w:val="24"/>
          <w:szCs w:val="24"/>
        </w:rPr>
        <w:t xml:space="preserve">The percentage of CD14-CD11b+CD33+ cells in live </w:t>
      </w:r>
      <w:r w:rsidRPr="00472317">
        <w:rPr>
          <w:rFonts w:eastAsia="MS Mincho"/>
          <w:sz w:val="24"/>
          <w:szCs w:val="24"/>
        </w:rPr>
        <w:t>PBMCs</w:t>
      </w:r>
      <w:r w:rsidRPr="00472317">
        <w:rPr>
          <w:rFonts w:eastAsia="MS Mincho"/>
          <w:kern w:val="1"/>
          <w:sz w:val="24"/>
          <w:szCs w:val="24"/>
        </w:rPr>
        <w:t xml:space="preserve"> was </w:t>
      </w:r>
      <w:r w:rsidRPr="00472317">
        <w:rPr>
          <w:kern w:val="1"/>
          <w:sz w:val="24"/>
        </w:rPr>
        <w:t xml:space="preserve">assessed in </w:t>
      </w:r>
      <w:r w:rsidRPr="00472317">
        <w:rPr>
          <w:sz w:val="24"/>
        </w:rPr>
        <w:t>patients who received DC/WT1-I,</w:t>
      </w:r>
      <w:r w:rsidRPr="00472317">
        <w:rPr>
          <w:rFonts w:eastAsia="MS Mincho"/>
          <w:sz w:val="24"/>
          <w:szCs w:val="24"/>
        </w:rPr>
        <w:t xml:space="preserve"> -</w:t>
      </w:r>
      <w:r w:rsidRPr="00472317">
        <w:rPr>
          <w:sz w:val="24"/>
        </w:rPr>
        <w:t xml:space="preserve">II </w:t>
      </w:r>
      <w:r w:rsidRPr="00472317">
        <w:rPr>
          <w:rFonts w:eastAsia="MS Mincho"/>
          <w:sz w:val="24"/>
          <w:szCs w:val="24"/>
        </w:rPr>
        <w:t>(left panel) or DCWT1-I/II (</w:t>
      </w:r>
      <w:r w:rsidRPr="00472317">
        <w:rPr>
          <w:rFonts w:eastAsia="MS Mincho"/>
          <w:kern w:val="1"/>
          <w:sz w:val="24"/>
          <w:szCs w:val="24"/>
        </w:rPr>
        <w:t>DTH</w:t>
      </w:r>
      <w:r w:rsidRPr="00472317">
        <w:rPr>
          <w:rFonts w:eastAsia="MS Mincho"/>
          <w:sz w:val="24"/>
          <w:szCs w:val="24"/>
        </w:rPr>
        <w:t>-positive patients, middle panel; and DTH negative, right panel) during the vaccination period.</w:t>
      </w:r>
    </w:p>
    <w:p w:rsidR="00294B72" w:rsidRDefault="00294B72">
      <w:bookmarkStart w:id="0" w:name="_GoBack"/>
      <w:bookmarkEnd w:id="0"/>
    </w:p>
    <w:sectPr w:rsidR="00294B72" w:rsidSect="008A5A84">
      <w:headerReference w:type="default" r:id="rId5"/>
      <w:footerReference w:type="even" r:id="rId6"/>
      <w:footerReference w:type="default" r:id="rId7"/>
      <w:pgSz w:w="11900" w:h="16820"/>
      <w:pgMar w:top="1985" w:right="1701" w:bottom="1701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E" w:rsidRDefault="005F1397" w:rsidP="001A3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5DE" w:rsidRDefault="005F1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E" w:rsidRDefault="005F1397" w:rsidP="001A3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55DE" w:rsidRDefault="005F139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E" w:rsidRDefault="005F1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7"/>
    <w:rsid w:val="00051B97"/>
    <w:rsid w:val="00056DE0"/>
    <w:rsid w:val="00062220"/>
    <w:rsid w:val="0009453B"/>
    <w:rsid w:val="0009702D"/>
    <w:rsid w:val="000C03FD"/>
    <w:rsid w:val="00105C9D"/>
    <w:rsid w:val="0014335D"/>
    <w:rsid w:val="00143D6C"/>
    <w:rsid w:val="00152F24"/>
    <w:rsid w:val="00172CBE"/>
    <w:rsid w:val="002177FE"/>
    <w:rsid w:val="0022330E"/>
    <w:rsid w:val="00286ABC"/>
    <w:rsid w:val="00294B72"/>
    <w:rsid w:val="002D3E77"/>
    <w:rsid w:val="002F3184"/>
    <w:rsid w:val="00311964"/>
    <w:rsid w:val="003A3D9E"/>
    <w:rsid w:val="003F20BB"/>
    <w:rsid w:val="00405B97"/>
    <w:rsid w:val="00445EF5"/>
    <w:rsid w:val="0046136E"/>
    <w:rsid w:val="004D6F02"/>
    <w:rsid w:val="004E744F"/>
    <w:rsid w:val="005627BD"/>
    <w:rsid w:val="00562899"/>
    <w:rsid w:val="0059028B"/>
    <w:rsid w:val="00594E85"/>
    <w:rsid w:val="0059517A"/>
    <w:rsid w:val="005F1397"/>
    <w:rsid w:val="00651482"/>
    <w:rsid w:val="006604C6"/>
    <w:rsid w:val="00673245"/>
    <w:rsid w:val="006854CA"/>
    <w:rsid w:val="006F58F1"/>
    <w:rsid w:val="006F7831"/>
    <w:rsid w:val="0072442E"/>
    <w:rsid w:val="0073076A"/>
    <w:rsid w:val="007D3FC2"/>
    <w:rsid w:val="007E725F"/>
    <w:rsid w:val="00853075"/>
    <w:rsid w:val="008A657A"/>
    <w:rsid w:val="008B2726"/>
    <w:rsid w:val="008E780E"/>
    <w:rsid w:val="00915CA0"/>
    <w:rsid w:val="00931E7F"/>
    <w:rsid w:val="009B0F38"/>
    <w:rsid w:val="009C017C"/>
    <w:rsid w:val="009E3C95"/>
    <w:rsid w:val="00A12874"/>
    <w:rsid w:val="00A40450"/>
    <w:rsid w:val="00A44D31"/>
    <w:rsid w:val="00A55A49"/>
    <w:rsid w:val="00AB1F7D"/>
    <w:rsid w:val="00AD50DF"/>
    <w:rsid w:val="00BA2ABC"/>
    <w:rsid w:val="00BA2E46"/>
    <w:rsid w:val="00BE3937"/>
    <w:rsid w:val="00C63466"/>
    <w:rsid w:val="00C67A42"/>
    <w:rsid w:val="00C726FE"/>
    <w:rsid w:val="00CA168B"/>
    <w:rsid w:val="00CD5181"/>
    <w:rsid w:val="00D53EFD"/>
    <w:rsid w:val="00EF26C3"/>
    <w:rsid w:val="00F14FFC"/>
    <w:rsid w:val="00F21AF9"/>
    <w:rsid w:val="00F60597"/>
    <w:rsid w:val="00F70E09"/>
    <w:rsid w:val="00F8442B"/>
    <w:rsid w:val="00F920EE"/>
    <w:rsid w:val="00FC6A2D"/>
    <w:rsid w:val="00FD0DC2"/>
    <w:rsid w:val="00FD7EED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7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3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F1397"/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F1397"/>
  </w:style>
  <w:style w:type="paragraph" w:styleId="Header">
    <w:name w:val="header"/>
    <w:basedOn w:val="Normal"/>
    <w:link w:val="HeaderChar"/>
    <w:uiPriority w:val="99"/>
    <w:unhideWhenUsed/>
    <w:rsid w:val="005F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97"/>
    <w:rPr>
      <w:rFonts w:ascii="Times New Roman" w:eastAsiaTheme="minorEastAsia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7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3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F1397"/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F1397"/>
  </w:style>
  <w:style w:type="paragraph" w:styleId="Header">
    <w:name w:val="header"/>
    <w:basedOn w:val="Normal"/>
    <w:link w:val="HeaderChar"/>
    <w:uiPriority w:val="99"/>
    <w:unhideWhenUsed/>
    <w:rsid w:val="005F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97"/>
    <w:rPr>
      <w:rFonts w:ascii="Times New Roman" w:eastAsiaTheme="minorEastAsia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2014-05-22T14:50:00Z</dcterms:created>
  <dcterms:modified xsi:type="dcterms:W3CDTF">2014-05-22T14:50:00Z</dcterms:modified>
</cp:coreProperties>
</file>