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51" w:rsidRDefault="00740E51" w:rsidP="00C0412C">
      <w:pPr>
        <w:adjustRightInd w:val="0"/>
        <w:snapToGrid w:val="0"/>
        <w:spacing w:after="0" w:line="480" w:lineRule="auto"/>
        <w:jc w:val="both"/>
        <w:rPr>
          <w:rFonts w:ascii="Arial" w:eastAsia="SimSun" w:hAnsi="Arial" w:cs="Arial"/>
          <w:b/>
          <w:bCs/>
          <w:noProof/>
          <w:color w:val="000000"/>
          <w:sz w:val="24"/>
          <w:szCs w:val="24"/>
          <w:lang w:val="en-US" w:eastAsia="zh-CN" w:bidi="en-US"/>
        </w:rPr>
      </w:pPr>
      <w:r w:rsidRPr="0020110A">
        <w:rPr>
          <w:rFonts w:ascii="Arial" w:eastAsia="SimSun" w:hAnsi="Arial" w:cs="Arial"/>
          <w:b/>
          <w:bCs/>
          <w:noProof/>
          <w:color w:val="000000"/>
          <w:sz w:val="24"/>
          <w:szCs w:val="24"/>
          <w:lang w:val="en-US" w:eastAsia="zh-CN" w:bidi="en-US"/>
        </w:rPr>
        <w:t xml:space="preserve">SUPPLEMENTARY </w:t>
      </w:r>
      <w:r w:rsidR="00C0412C" w:rsidRPr="0020110A">
        <w:rPr>
          <w:rFonts w:ascii="Arial" w:eastAsia="SimSun" w:hAnsi="Arial" w:cs="Arial"/>
          <w:b/>
          <w:bCs/>
          <w:noProof/>
          <w:color w:val="000000"/>
          <w:sz w:val="24"/>
          <w:szCs w:val="24"/>
          <w:lang w:val="en-US" w:eastAsia="zh-CN" w:bidi="en-US"/>
        </w:rPr>
        <w:t>DATA</w:t>
      </w:r>
    </w:p>
    <w:p w:rsidR="00C0412C" w:rsidRPr="0020110A" w:rsidRDefault="00C0412C" w:rsidP="00C0412C">
      <w:pPr>
        <w:adjustRightInd w:val="0"/>
        <w:snapToGrid w:val="0"/>
        <w:spacing w:after="0" w:line="480" w:lineRule="auto"/>
        <w:jc w:val="both"/>
        <w:rPr>
          <w:rFonts w:ascii="Arial" w:eastAsia="SimSun" w:hAnsi="Arial" w:cs="Arial"/>
          <w:bCs/>
          <w:noProof/>
          <w:color w:val="000000"/>
          <w:sz w:val="24"/>
          <w:szCs w:val="24"/>
          <w:lang w:val="en-US" w:eastAsia="zh-CN" w:bidi="en-US"/>
        </w:rPr>
      </w:pPr>
      <w:bookmarkStart w:id="0" w:name="_GoBack"/>
      <w:bookmarkEnd w:id="0"/>
    </w:p>
    <w:p w:rsidR="00E7541F" w:rsidRPr="0020110A" w:rsidRDefault="00740E51" w:rsidP="00C0412C">
      <w:pPr>
        <w:pStyle w:val="MDPI41tablecaption"/>
        <w:spacing w:before="0"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110A">
        <w:rPr>
          <w:rFonts w:ascii="Arial" w:hAnsi="Arial" w:cs="Arial"/>
          <w:b/>
          <w:sz w:val="24"/>
          <w:szCs w:val="24"/>
        </w:rPr>
        <w:t xml:space="preserve">Table S1. </w:t>
      </w:r>
      <w:r w:rsidRPr="0020110A">
        <w:rPr>
          <w:rFonts w:ascii="Arial" w:hAnsi="Arial" w:cs="Arial"/>
          <w:sz w:val="24"/>
          <w:szCs w:val="24"/>
        </w:rPr>
        <w:t>SNPs genotyped in this study previously associate</w:t>
      </w:r>
      <w:r w:rsidR="00E7541F">
        <w:rPr>
          <w:rFonts w:ascii="Arial" w:hAnsi="Arial" w:cs="Arial"/>
          <w:sz w:val="24"/>
          <w:szCs w:val="24"/>
        </w:rPr>
        <w:t>d to CRC genetic susceptibility.</w:t>
      </w:r>
    </w:p>
    <w:tbl>
      <w:tblPr>
        <w:tblW w:w="144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1420"/>
        <w:gridCol w:w="2510"/>
        <w:gridCol w:w="3226"/>
        <w:gridCol w:w="5459"/>
      </w:tblGrid>
      <w:tr w:rsidR="00740E51" w:rsidRPr="0020110A" w:rsidTr="003C5237">
        <w:trPr>
          <w:trHeight w:val="458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SNP ID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Chr.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Gene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Used OR (95%CI)</w:t>
            </w: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Reference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rs6983267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8q24.21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MYC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1.16 (1.14-1.18)</w:t>
            </w:r>
          </w:p>
        </w:tc>
        <w:tc>
          <w:tcPr>
            <w:tcW w:w="54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rs719725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9p24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TPD52L3-UHRF2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AE24BF" w:rsidP="003C5237">
            <w:pPr>
              <w:pStyle w:val="MDPI42tablebody"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  <w:snapToGrid/>
              </w:rPr>
              <w:t>1.14(1.05-</w:t>
            </w:r>
            <w:r w:rsidR="00740E51" w:rsidRPr="0020110A">
              <w:rPr>
                <w:rFonts w:ascii="Arial" w:hAnsi="Arial" w:cs="Arial"/>
                <w:snapToGrid/>
              </w:rPr>
              <w:t>1.15)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Zanke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BW et al. Nature Genetics 2007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rs4939827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18q21.1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SMAD7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1.17 (1.15-1.19)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rs7229639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18q21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SMAD7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AE24BF" w:rsidP="003C5237">
            <w:pPr>
              <w:pStyle w:val="MDPI42tablebody"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  <w:snapToGrid/>
              </w:rPr>
              <w:t>1.22(1.15-</w:t>
            </w:r>
            <w:r w:rsidR="00740E51" w:rsidRPr="0020110A">
              <w:rPr>
                <w:rFonts w:ascii="Arial" w:hAnsi="Arial" w:cs="Arial"/>
                <w:snapToGrid/>
              </w:rPr>
              <w:t>1.29)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 xml:space="preserve">Zhang B, et al. </w:t>
            </w:r>
            <w:proofErr w:type="spellStart"/>
            <w:r w:rsidRPr="0020110A">
              <w:rPr>
                <w:rFonts w:ascii="Arial" w:hAnsi="Arial" w:cs="Arial"/>
                <w:snapToGrid/>
              </w:rPr>
              <w:t>Int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 Cancer. 2014a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rs16892766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8q23.3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EIF3H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1.20 (1.17-1.24)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rs3802842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11q23.1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C0412C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COLCA2/</w:t>
            </w:r>
            <w:r w:rsidR="00740E51" w:rsidRPr="0020110A">
              <w:rPr>
                <w:rFonts w:ascii="Arial" w:hAnsi="Arial" w:cs="Arial"/>
                <w:i/>
                <w:snapToGrid/>
              </w:rPr>
              <w:t>COLCA1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1.12 (1.10-1.14)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rs4779584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15q13.3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GREM1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1.26 (1.19-1.34)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Tomlinson IP, et al. Nat Genet. 2008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rs10795668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10p14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ARN5SP299/GATA3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1.09 (1.07-1.12)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rs4444235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14q22.2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BMP4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1.09 (1.07-1.11)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rs9929218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16q22.1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CDH1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1.06 (1.04-1.08)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rs10411210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19q13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RHNP2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1.21 (1.17-1.26)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rs961253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20p12.3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BMP2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1.10 (1.08-1.12)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rs6691170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1q41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DUSP10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1.09 (1.07-1.12)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lastRenderedPageBreak/>
              <w:t>rs7136702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12q13.13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C0412C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LARP4/</w:t>
            </w:r>
            <w:r w:rsidR="00740E51" w:rsidRPr="0020110A">
              <w:rPr>
                <w:rFonts w:ascii="Arial" w:hAnsi="Arial" w:cs="Arial"/>
                <w:i/>
                <w:snapToGrid/>
              </w:rPr>
              <w:t>DIP2B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AE24BF" w:rsidP="003C5237">
            <w:pPr>
              <w:pStyle w:val="MDPI42tablebody"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  <w:snapToGrid/>
              </w:rPr>
              <w:t>1.06(1.04-</w:t>
            </w:r>
            <w:r w:rsidR="00740E51" w:rsidRPr="0020110A">
              <w:rPr>
                <w:rFonts w:ascii="Arial" w:hAnsi="Arial" w:cs="Arial"/>
                <w:snapToGrid/>
              </w:rPr>
              <w:t>1.08)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Houlston et al. Nat Genet 2010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rs10936599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3q26.2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TERC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1.05 (1.03-1.07)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rs11169552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12q13.3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C0412C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DIP2B/</w:t>
            </w:r>
            <w:r w:rsidR="00740E51" w:rsidRPr="0020110A">
              <w:rPr>
                <w:rFonts w:ascii="Arial" w:hAnsi="Arial" w:cs="Arial"/>
                <w:i/>
                <w:snapToGrid/>
              </w:rPr>
              <w:t>ATF1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1.09 (1.07-1.11)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rs4925386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20q13.33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LAMA5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1.12 (1.10-1.15)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rs1957636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14q22.2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BMP4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1.06 (1.04-1.08)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rs4813802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20p12.3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BMP2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1.07 (1.05-1.09)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rs2736100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5p15.33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TERT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1.07 (1.04-1.10)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Kinnersley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et al. Br J Cancer 2012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rs1321311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6p21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CDKN1A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1.06 (1.03-1.08)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rs3824999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11q13.4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POLD3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1.08 (1.07-1.10)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rs5934683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Xp22.2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SHROOM2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1.07 (1.04-1.10)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Dunlop et al. Nat Genet. 2012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rs12080929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1p33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SLC5A9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0.86 (0.78-0.95)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  <w:lang w:val="es-ES"/>
              </w:rPr>
            </w:pPr>
            <w:r w:rsidRPr="0020110A">
              <w:rPr>
                <w:rFonts w:ascii="Arial" w:hAnsi="Arial" w:cs="Arial"/>
                <w:snapToGrid/>
                <w:lang w:val="es-ES"/>
              </w:rPr>
              <w:t xml:space="preserve">Fernandez-Rozadilla et al. BMC </w:t>
            </w:r>
            <w:proofErr w:type="spellStart"/>
            <w:r w:rsidR="0097165E">
              <w:rPr>
                <w:rFonts w:ascii="Arial" w:hAnsi="Arial" w:cs="Arial"/>
                <w:snapToGrid/>
                <w:lang w:val="es-ES"/>
              </w:rPr>
              <w:t>Genomics</w:t>
            </w:r>
            <w:proofErr w:type="spellEnd"/>
            <w:r w:rsidR="0097165E">
              <w:rPr>
                <w:rFonts w:ascii="Arial" w:hAnsi="Arial" w:cs="Arial"/>
                <w:snapToGrid/>
                <w:lang w:val="es-ES"/>
              </w:rPr>
              <w:t xml:space="preserve"> 2013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rs11987193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8p12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DUSP4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0.78 (0.70-0.87)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  <w:lang w:val="es-ES"/>
              </w:rPr>
            </w:pPr>
            <w:r w:rsidRPr="0020110A">
              <w:rPr>
                <w:rFonts w:ascii="Arial" w:hAnsi="Arial" w:cs="Arial"/>
                <w:snapToGrid/>
                <w:lang w:val="es-ES"/>
              </w:rPr>
              <w:t>Fernandez-Roz</w:t>
            </w:r>
            <w:r w:rsidR="0097165E">
              <w:rPr>
                <w:rFonts w:ascii="Arial" w:hAnsi="Arial" w:cs="Arial"/>
                <w:snapToGrid/>
                <w:lang w:val="es-ES"/>
              </w:rPr>
              <w:t xml:space="preserve">adilla et al. BMC </w:t>
            </w:r>
            <w:proofErr w:type="spellStart"/>
            <w:r w:rsidR="0097165E">
              <w:rPr>
                <w:rFonts w:ascii="Arial" w:hAnsi="Arial" w:cs="Arial"/>
                <w:snapToGrid/>
                <w:lang w:val="es-ES"/>
              </w:rPr>
              <w:t>Genomics</w:t>
            </w:r>
            <w:proofErr w:type="spellEnd"/>
            <w:r w:rsidR="0097165E">
              <w:rPr>
                <w:rFonts w:ascii="Arial" w:hAnsi="Arial" w:cs="Arial"/>
                <w:snapToGrid/>
                <w:lang w:val="es-ES"/>
              </w:rPr>
              <w:t xml:space="preserve"> 2013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rs10774214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12p13.32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CCND2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1.08 (1.06-1.11)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rs647161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5q31.1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PITX1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1.07 (1.05-1.09)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rs2423279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20p12.3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HAQ1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1.09 (1.07-1.12)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rs11903757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2q32.3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NABP1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1.04 (1.02-1.07)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rs10911251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1q25.3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LAMC1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1.08 (1.06-1.09)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rs3217810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12p13.32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CCND2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1.13 (1.10-1.17)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lastRenderedPageBreak/>
              <w:t>rs3217901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12p13.32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CCND2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1.10 (1.06-1.14)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Peters et al. Gastroenterology 2013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rs59336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12q24.21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TBX3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1.09 (1.06-1.13)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Peters et al. Gastroenterology 2013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rs704017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10q22.3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ZMIZ1-AS1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1.08 (1.06-1.10)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rs11196172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10q25.2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TCF7L2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1.06 (1.03-1.08)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rs174537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11q12.2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MYRF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1.07 (1.05-1.09)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rs4246215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11q12.2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FEN1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1.15(1.12–1.19)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Zhang et al. Nat Genet. 2014b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rs174550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11q12.2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FADS1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1.15(1.12–1.19)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Zhang et al. Nat Genet. 2014b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rs1535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11q12.2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FADS2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1.15(1.12–1.19)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Zhang et al. Nat Genet. 2014b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rs10849432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12p13.31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CD9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1.07 (1.04-1.09)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rs12603526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17p13.3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NXN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1.07 (1.05-1.09)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rs1800469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19q13.2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TGFB1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1.05 (1.03-1.06)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rs2241714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19q13.2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B9D2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1.09(1.06–1.12)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Zhang et al. Nat Genet. 2014b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rs812481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3p14.1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LRIG1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1.06 (1.04-1.08)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rs35360328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3p22.1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CTNNB1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1.10 (1.08-1.13)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rs3184504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12q24.12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SH2B3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1.08 (1.06-1.10)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rs73208120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12q24.22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NOS1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1.07 (1.04-1.09)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rs6066825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20q13.13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PREX1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1.07 (1.06-1.09)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rs11190164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10q24.2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SLC25A28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1.08 (1.06-1.10)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lastRenderedPageBreak/>
              <w:t>rs1035209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10q24.2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ABCC2/MRP2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1.08 (1.06-1.10)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rs3987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4q26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NDST3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1.36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 xml:space="preserve">Real LM et al </w:t>
            </w:r>
            <w:proofErr w:type="spellStart"/>
            <w:r w:rsidRPr="0020110A">
              <w:rPr>
                <w:rFonts w:ascii="Arial" w:hAnsi="Arial" w:cs="Arial"/>
                <w:snapToGrid/>
              </w:rPr>
              <w:t>Plos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One 2014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rs72647484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1p36.2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CDC42/WNT4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1.05 (1.02-1.08)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rs16941835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16q24.1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C0412C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RP11-58A18.1/</w:t>
            </w:r>
            <w:r w:rsidR="00740E51" w:rsidRPr="0020110A">
              <w:rPr>
                <w:rFonts w:ascii="Arial" w:hAnsi="Arial" w:cs="Arial"/>
                <w:i/>
                <w:snapToGrid/>
              </w:rPr>
              <w:t>FOXL1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1.05 (1.03-1.07)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rs10904849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10p13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CUBN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1.13(1.08-1.19)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Al-</w:t>
            </w:r>
            <w:proofErr w:type="spellStart"/>
            <w:r w:rsidRPr="0020110A">
              <w:rPr>
                <w:rFonts w:ascii="Arial" w:hAnsi="Arial" w:cs="Arial"/>
                <w:snapToGrid/>
              </w:rPr>
              <w:t>Tassan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et al. Scientific Reports 2015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rs17094983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14q23.1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RTN1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1,09 (1,06-1,12)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rs12241008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10q25.2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VTI1A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1.19(1.12-1.26)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 xml:space="preserve">Wang H et al. Nat </w:t>
            </w:r>
            <w:proofErr w:type="spellStart"/>
            <w:r w:rsidRPr="0020110A">
              <w:rPr>
                <w:rFonts w:ascii="Arial" w:hAnsi="Arial" w:cs="Arial"/>
                <w:snapToGrid/>
              </w:rPr>
              <w:t>Commun</w:t>
            </w:r>
            <w:proofErr w:type="spellEnd"/>
            <w:r w:rsidRPr="0020110A">
              <w:rPr>
                <w:rFonts w:ascii="Arial" w:hAnsi="Arial" w:cs="Arial"/>
                <w:snapToGrid/>
              </w:rPr>
              <w:t>. 2014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rs12970291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18q22.3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TSHZ1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1.27(1.16-1.38)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Cheng TH et al Scientific Reports 2015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rs4711689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6p21.1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TFEB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1.03 (1.01-1.05)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rs6469656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8q23.3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EIF3H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1.12(1.07-1.16)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Zeng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et al, Gastroenterology 2016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rs11064437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12p13.3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SPSB2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1.24 (1.02-1.51)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rs6061231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20q13.3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RPS21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1.19(1.12-1.27)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Zeng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et al, Gastroenterology 2016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rs11676348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2q35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CXCR2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0.93 (0.89-0.99)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Khalili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et al Carcinogenesis 2015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rs2238126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12p13.2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ETV6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1.01 (0.99-1.04)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rs992157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2q35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40E51" w:rsidRPr="0020110A" w:rsidRDefault="00C0412C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PNKD/</w:t>
            </w:r>
            <w:r w:rsidR="00740E51" w:rsidRPr="0020110A">
              <w:rPr>
                <w:rFonts w:ascii="Arial" w:hAnsi="Arial" w:cs="Arial"/>
                <w:i/>
                <w:snapToGrid/>
              </w:rPr>
              <w:t>TMBIM1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1.06 (1.04-1.08)</w:t>
            </w:r>
          </w:p>
        </w:tc>
        <w:tc>
          <w:tcPr>
            <w:tcW w:w="5459" w:type="dxa"/>
            <w:shd w:val="clear" w:color="auto" w:fill="auto"/>
            <w:noWrap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Huyghe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JR, et al. Nat Genet. 2019</w:t>
            </w:r>
          </w:p>
        </w:tc>
      </w:tr>
      <w:tr w:rsidR="00740E51" w:rsidRPr="0020110A" w:rsidTr="003C5237">
        <w:trPr>
          <w:trHeight w:val="458"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rs3764482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18q21.1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SMAD7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1.48 (1.29-1.70)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0E51" w:rsidRPr="0020110A" w:rsidRDefault="00740E51" w:rsidP="003C5237">
            <w:pPr>
              <w:pStyle w:val="MDPI42tablebody"/>
              <w:rPr>
                <w:rFonts w:ascii="Arial" w:hAnsi="Arial" w:cs="Arial"/>
                <w:snapToGrid/>
                <w:lang w:val="es-ES"/>
              </w:rPr>
            </w:pPr>
            <w:r w:rsidRPr="0020110A">
              <w:rPr>
                <w:rFonts w:ascii="Arial" w:hAnsi="Arial" w:cs="Arial"/>
                <w:snapToGrid/>
                <w:lang w:val="es-ES"/>
              </w:rPr>
              <w:t xml:space="preserve">Li J et al, Mol </w:t>
            </w:r>
            <w:proofErr w:type="spellStart"/>
            <w:r w:rsidRPr="0020110A">
              <w:rPr>
                <w:rFonts w:ascii="Arial" w:hAnsi="Arial" w:cs="Arial"/>
                <w:snapToGrid/>
                <w:lang w:val="es-ES"/>
              </w:rPr>
              <w:t>Carcinog</w:t>
            </w:r>
            <w:proofErr w:type="spellEnd"/>
            <w:r w:rsidRPr="0020110A">
              <w:rPr>
                <w:rFonts w:ascii="Arial" w:hAnsi="Arial" w:cs="Arial"/>
                <w:snapToGrid/>
                <w:lang w:val="es-ES"/>
              </w:rPr>
              <w:t xml:space="preserve"> 2017</w:t>
            </w:r>
          </w:p>
        </w:tc>
      </w:tr>
    </w:tbl>
    <w:p w:rsidR="00CC5196" w:rsidRDefault="00CC5196" w:rsidP="003C5237">
      <w:pPr>
        <w:pStyle w:val="MDPI31text"/>
        <w:ind w:left="0" w:firstLine="0"/>
        <w:rPr>
          <w:rFonts w:ascii="Arial" w:hAnsi="Arial" w:cs="Arial"/>
          <w:snapToGrid/>
          <w:szCs w:val="20"/>
        </w:rPr>
      </w:pPr>
    </w:p>
    <w:p w:rsidR="00740E51" w:rsidRPr="0020110A" w:rsidRDefault="00740E51" w:rsidP="003C5237">
      <w:pPr>
        <w:pStyle w:val="MDPI31text"/>
        <w:ind w:left="0" w:firstLine="0"/>
        <w:rPr>
          <w:rFonts w:ascii="Arial" w:hAnsi="Arial" w:cs="Arial"/>
          <w:snapToGrid/>
          <w:szCs w:val="20"/>
        </w:rPr>
      </w:pPr>
      <w:r w:rsidRPr="0020110A">
        <w:rPr>
          <w:rFonts w:ascii="Arial" w:hAnsi="Arial" w:cs="Arial"/>
          <w:snapToGrid/>
          <w:szCs w:val="20"/>
        </w:rPr>
        <w:t xml:space="preserve">SNP ID, single nucleotide polymorphism identification. </w:t>
      </w:r>
      <w:proofErr w:type="spellStart"/>
      <w:r w:rsidRPr="0020110A">
        <w:rPr>
          <w:rFonts w:ascii="Arial" w:hAnsi="Arial" w:cs="Arial"/>
          <w:snapToGrid/>
          <w:szCs w:val="20"/>
        </w:rPr>
        <w:t>Chr</w:t>
      </w:r>
      <w:proofErr w:type="spellEnd"/>
      <w:r w:rsidRPr="0020110A">
        <w:rPr>
          <w:rFonts w:ascii="Arial" w:hAnsi="Arial" w:cs="Arial"/>
          <w:snapToGrid/>
          <w:szCs w:val="20"/>
        </w:rPr>
        <w:t>: Chromosome; OR, odds ratio.</w:t>
      </w:r>
    </w:p>
    <w:p w:rsidR="00740E51" w:rsidRPr="0020110A" w:rsidRDefault="00740E51" w:rsidP="00740E51">
      <w:pPr>
        <w:rPr>
          <w:rFonts w:ascii="Arial" w:eastAsia="Times New Roman" w:hAnsi="Arial" w:cs="Arial"/>
          <w:b/>
          <w:lang w:val="en-US" w:eastAsia="ca-ES"/>
        </w:rPr>
      </w:pPr>
      <w:r w:rsidRPr="0020110A">
        <w:rPr>
          <w:rFonts w:ascii="Arial" w:hAnsi="Arial" w:cs="Arial"/>
          <w:b/>
          <w:lang w:val="en-US"/>
        </w:rPr>
        <w:br w:type="page"/>
      </w:r>
    </w:p>
    <w:p w:rsidR="00740E51" w:rsidRPr="0020110A" w:rsidRDefault="00740E51" w:rsidP="00756060">
      <w:pPr>
        <w:adjustRightInd w:val="0"/>
        <w:snapToGrid w:val="0"/>
        <w:spacing w:after="0" w:line="480" w:lineRule="auto"/>
        <w:jc w:val="both"/>
        <w:rPr>
          <w:rFonts w:ascii="Arial" w:eastAsia="SimSun" w:hAnsi="Arial" w:cs="Arial"/>
          <w:b/>
          <w:bCs/>
          <w:noProof/>
          <w:color w:val="000000"/>
          <w:sz w:val="24"/>
          <w:szCs w:val="24"/>
          <w:lang w:val="en-US" w:eastAsia="zh-CN" w:bidi="en-US"/>
        </w:rPr>
      </w:pPr>
      <w:r w:rsidRPr="0020110A">
        <w:rPr>
          <w:rFonts w:ascii="Arial" w:eastAsia="SimSun" w:hAnsi="Arial" w:cs="Arial"/>
          <w:b/>
          <w:bCs/>
          <w:noProof/>
          <w:color w:val="000000"/>
          <w:sz w:val="24"/>
          <w:szCs w:val="24"/>
          <w:lang w:val="en-US" w:eastAsia="zh-CN" w:bidi="en-US"/>
        </w:rPr>
        <w:lastRenderedPageBreak/>
        <w:t>Association tests for individual SNPs</w:t>
      </w:r>
    </w:p>
    <w:p w:rsidR="00756060" w:rsidRPr="0020110A" w:rsidRDefault="00756060" w:rsidP="00756060">
      <w:pPr>
        <w:pStyle w:val="MDPI41tablecaption"/>
        <w:spacing w:before="0"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40E51" w:rsidRPr="0020110A" w:rsidRDefault="00740E51" w:rsidP="00756060">
      <w:pPr>
        <w:pStyle w:val="MDPI41tablecaption"/>
        <w:spacing w:before="0"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110A">
        <w:rPr>
          <w:rFonts w:ascii="Arial" w:hAnsi="Arial" w:cs="Arial"/>
          <w:b/>
          <w:sz w:val="24"/>
          <w:szCs w:val="24"/>
        </w:rPr>
        <w:t xml:space="preserve">Table S2. </w:t>
      </w:r>
      <w:proofErr w:type="gramStart"/>
      <w:r w:rsidRPr="0020110A">
        <w:rPr>
          <w:rFonts w:ascii="Arial" w:hAnsi="Arial" w:cs="Arial"/>
          <w:sz w:val="24"/>
          <w:szCs w:val="24"/>
        </w:rPr>
        <w:t>Case-control association results obtained by logistic regression analyses.</w:t>
      </w:r>
      <w:proofErr w:type="gramEnd"/>
      <w:r w:rsidRPr="0020110A">
        <w:rPr>
          <w:rFonts w:ascii="Arial" w:hAnsi="Arial" w:cs="Arial"/>
          <w:sz w:val="24"/>
          <w:szCs w:val="24"/>
        </w:rPr>
        <w:t xml:space="preserve"> Association results for </w:t>
      </w:r>
      <w:r w:rsidR="00463647" w:rsidRPr="0020110A">
        <w:rPr>
          <w:rFonts w:ascii="Arial" w:hAnsi="Arial" w:cs="Arial"/>
          <w:sz w:val="24"/>
          <w:szCs w:val="24"/>
        </w:rPr>
        <w:t>1,200 cases and 1,629 controls</w:t>
      </w:r>
      <w:r w:rsidRPr="0020110A">
        <w:rPr>
          <w:rFonts w:ascii="Arial" w:hAnsi="Arial" w:cs="Arial"/>
          <w:sz w:val="24"/>
          <w:szCs w:val="24"/>
        </w:rPr>
        <w:t>. Results are based on the reported risk</w:t>
      </w:r>
      <w:r w:rsidR="00993255">
        <w:rPr>
          <w:rFonts w:ascii="Arial" w:hAnsi="Arial" w:cs="Arial"/>
          <w:sz w:val="24"/>
          <w:szCs w:val="24"/>
        </w:rPr>
        <w:t xml:space="preserve"> allele from previous CRC GWAS.</w:t>
      </w:r>
    </w:p>
    <w:tbl>
      <w:tblPr>
        <w:tblStyle w:val="Tablaconcuadrcula"/>
        <w:tblW w:w="14418" w:type="dxa"/>
        <w:tblLook w:val="04A0" w:firstRow="1" w:lastRow="0" w:firstColumn="1" w:lastColumn="0" w:noHBand="0" w:noVBand="1"/>
      </w:tblPr>
      <w:tblGrid>
        <w:gridCol w:w="1493"/>
        <w:gridCol w:w="1228"/>
        <w:gridCol w:w="2564"/>
        <w:gridCol w:w="2655"/>
        <w:gridCol w:w="963"/>
        <w:gridCol w:w="1873"/>
        <w:gridCol w:w="833"/>
        <w:gridCol w:w="1517"/>
        <w:gridCol w:w="1292"/>
      </w:tblGrid>
      <w:tr w:rsidR="00740E51" w:rsidRPr="0020110A" w:rsidTr="00AC0216">
        <w:trPr>
          <w:trHeight w:val="467"/>
        </w:trPr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SNP ID*</w:t>
            </w:r>
          </w:p>
        </w:tc>
        <w:tc>
          <w:tcPr>
            <w:tcW w:w="12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Region</w:t>
            </w:r>
          </w:p>
        </w:tc>
        <w:tc>
          <w:tcPr>
            <w:tcW w:w="25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Relevant gene</w:t>
            </w:r>
          </w:p>
        </w:tc>
        <w:tc>
          <w:tcPr>
            <w:tcW w:w="26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Variant type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Risk</w:t>
            </w:r>
          </w:p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allele</w:t>
            </w: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RAF</w:t>
            </w:r>
          </w:p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cases/controls</w:t>
            </w: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OR</w:t>
            </w: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95%CI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P-value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rs12080929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1p33</w:t>
            </w:r>
          </w:p>
        </w:tc>
        <w:tc>
          <w:tcPr>
            <w:tcW w:w="256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SLC5A9</w:t>
            </w:r>
          </w:p>
        </w:tc>
        <w:tc>
          <w:tcPr>
            <w:tcW w:w="265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T</w:t>
            </w:r>
          </w:p>
        </w:tc>
        <w:tc>
          <w:tcPr>
            <w:tcW w:w="187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0.73/0.73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(0.89-1.13)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0.9984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rs10911251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1q25.3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CDC42/WNT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0.59/0.59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(0.9-1.12)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0.9507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rs72647484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1p36.12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LAMC1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0.07/0.07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(0.78-1.19)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0.7494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rs6691170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1q41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DUSP10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0.37/0.36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(0.94-1.17)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0.3685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rs992157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2q35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NABP1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0.51/0.52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(0.88-1.09)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0.7308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rs11676348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2q35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PNKD/TMBIM1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0.52/0.52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(0.9-1.11)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0.9823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rs11903757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2q32.3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CXCR2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0.14/0.15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(0.8-1.07)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0.2917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rs10936599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3q26.2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LRIG1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0.79/0.76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(1.02-1.31)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0.0232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rs35360328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3p22.1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CTNNB1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0.16/0.14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(0.97-1.3)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0.1154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rs812481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3p14.1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TERC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synonymous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0.54/0.52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(0.97-1.2)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0.1577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rs7136702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4q13.2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LARP4/DIP2B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0.38/0.36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(0.96-1.2)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0.1928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rs3987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4q26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NDST3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0.45/0.44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(0.91-1.12)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0.8651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lastRenderedPageBreak/>
              <w:t>rs2736100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5p15.33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TERT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0.49/0.5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(0.84-1.04)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0.2461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rs647161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5q31.1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PITX1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0.71/0.7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(0.94-1.17)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0.3977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rs4711689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6p21.1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CDKN1A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0.56/0.55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(0.93-1.15)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0.5442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rs1321311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6p1.2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TFEB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0.26/0.25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(0.92-1.17)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0.537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rs719725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8q23.3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DUSP4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0.58/0.58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(0.87-1.08)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0.5939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rs16892766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8q23.3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EIF3H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0.06/0.06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(0.83-1.27)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0.8119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rs6983267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8q24.21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EIF3H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intargenic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0.54/0.53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(0.94-1.17)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0.3843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rs6469656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8q23.3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MYC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 xml:space="preserve">non coding transcript variant / </w:t>
            </w: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0.88/0.88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(0.88-1.23)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0.627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rs11987193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8p12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TPD52L3/UHRF2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0.73/0.74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(0.84-1.06)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0.3477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rs10795668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10p14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ARN5SP299/GATA3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0.3/0.32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(0.8-1)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0.0597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rs704017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10q22.3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ZMIZ1-AS1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0.56/0.52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(1.08-1.34)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6,00E-04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rs11196172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10q25.2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ABCC2/MRP2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0.14/0.16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0.88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(0.75-1.02)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0.0836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rs1035209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10q24.2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SLC25A28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0.2/0.17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(1.05-1.38)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0.0074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rs12241008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10q25.2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TCF7L2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0.09/0.09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(0.79-1.15)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0.6137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rs11190164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10q24.2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VTI1A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0.25/0.23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(0.99-1.26)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0.0806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rs4246215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11q12.2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FEN1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3'-UTR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0.3/0.34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0.84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(0.75-0.95)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0.0039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rs3802842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11q23.1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MYRF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0.28/0.28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(0.92-1.16)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0.607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rs174537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11q12.2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FADS2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0.7/0.66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(1.05-1.32)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0.0043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lastRenderedPageBreak/>
              <w:t>rs1535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11q12.2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FADS1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0.69/0.65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(1.05-1.31)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0.0061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rs174550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11q12.2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POLD3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0.7/0.66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(1.07-1.34)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0.0016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rs3824999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11q13.4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COLCA1/COLCA2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0.5/0.5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(0.93-1.15)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0.4936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rs73208120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12q24.22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ETV6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0.06/0.06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(0.81-1.27)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0.8886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rs3217901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12.13.32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CD9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0.36/0.36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(0.88-1.1)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0.8354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rs11169552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12q13.12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SPSB2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splice acceptor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0.77/0.76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(0.92-1.18)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0.5512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rs59336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12q24.21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CCND2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0.53/0.51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(0.96-1.19)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0.1996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rs10849432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12p13.31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CCND2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0.87/0.86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(0.89-1.21)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0.6366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rs3184504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12q24.12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CCND2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0.55/0.56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(0.87-1.07)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0.5241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rs11064437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12p13.31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DIP2B/ATF1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0.99/0.98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1.49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(0.95-2.35)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0.0859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rs10774214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12p13.32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SH2B3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missense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0.37/0.36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(0.97-1.2)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0.1823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rs2238126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12p13.2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TBX3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0.17/0.17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(0.87-1.14)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0.9638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rs3217810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12p13.32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NOS1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0.1/0.08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1.21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(1.01-1.46)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0.0425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rs4444235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14q22.2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BMP4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0.55/0.55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(0.91-1.13)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0.8243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rs17094983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14q23.1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BMP4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0.86/0.85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(0.93-1.25)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0.3255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rs1957636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14q22.2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RTN1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0.42/0.41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(0.95-1.18)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0.291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rs4779584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15q13.3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GREM1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0.19/0.18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(0.93-1.22)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0.3726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rs9929218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16q22.1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CDH1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0.71/0.69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(0.99-1.25)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0.0619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lastRenderedPageBreak/>
              <w:t>rs16941835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16q24.1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FOXL1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0.17/0.18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(0.83-1.09)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0.4603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rs12603526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17q13.3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NXN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intron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0.01/0.01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1.22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(0.77-1.93)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0.3991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rs4939827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18q21.1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SMAD7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0.57/0.53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(1.05-1.31)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0.0031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rs12970291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18q22.3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TSHZ1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0.03/0.04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0.89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(0.67-1.18)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0.4007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rs10411210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19q13.11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RHPN2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0.88/0.88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(0.88-1.22)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0.6621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rs2241714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19q13.2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B9D2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missense variant / 2 kb upstream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0.67/0.64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(1-1.25)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0.0443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rs1800469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19q13.2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TGFB1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 kb upstream variant / 0.5 kb downstream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0.67/0.64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(1.01-1.27)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0.0272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rs2423279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20p12.3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HAQ1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0.32/0.3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(0.94-1.18)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0.3389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rs961253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20p12.3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BMP2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0.36/0.32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(1.04-1.3)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0.0093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rs6066825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20q13.13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BMP2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0.6/0.57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(0.99-1.23)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0.0717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rs6061231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20q13.33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PREX1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0.75/0.72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(1.06-1.34)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0.0035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rs4925386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20q13.33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LAMA5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intergenic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0.71/0.67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1.18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(1.05-1.32)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0.0039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rs4813802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20p12.3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LAMA5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0.31/0.31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1.03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(0.92-1.16)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0.5898</w:t>
            </w:r>
          </w:p>
        </w:tc>
      </w:tr>
      <w:tr w:rsidR="00740E51" w:rsidRPr="0020110A" w:rsidTr="00AC0216">
        <w:trPr>
          <w:trHeight w:val="467"/>
        </w:trPr>
        <w:tc>
          <w:tcPr>
            <w:tcW w:w="149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b/>
                <w:snapToGrid/>
              </w:rPr>
            </w:pPr>
            <w:r w:rsidRPr="0020110A">
              <w:rPr>
                <w:rFonts w:ascii="Arial" w:hAnsi="Arial" w:cs="Arial"/>
                <w:b/>
                <w:snapToGrid/>
              </w:rPr>
              <w:t>rs5934683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Xp22.2</w:t>
            </w:r>
          </w:p>
        </w:tc>
        <w:tc>
          <w:tcPr>
            <w:tcW w:w="256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i/>
                <w:snapToGrid/>
              </w:rPr>
            </w:pPr>
            <w:r w:rsidRPr="0020110A">
              <w:rPr>
                <w:rFonts w:ascii="Arial" w:hAnsi="Arial" w:cs="Arial"/>
                <w:i/>
                <w:snapToGrid/>
              </w:rPr>
              <w:t>SHROOM2</w:t>
            </w: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proofErr w:type="spellStart"/>
            <w:r w:rsidRPr="0020110A">
              <w:rPr>
                <w:rFonts w:ascii="Arial" w:hAnsi="Arial" w:cs="Arial"/>
                <w:snapToGrid/>
              </w:rPr>
              <w:t>intronic</w:t>
            </w:r>
            <w:proofErr w:type="spellEnd"/>
            <w:r w:rsidRPr="0020110A">
              <w:rPr>
                <w:rFonts w:ascii="Arial" w:hAnsi="Arial" w:cs="Arial"/>
                <w:snapToGrid/>
              </w:rPr>
              <w:t xml:space="preserve"> variant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0.61/0.62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0.94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(0.83-1.06)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40E51" w:rsidRPr="0020110A" w:rsidRDefault="00740E51" w:rsidP="00AC0216">
            <w:pPr>
              <w:pStyle w:val="MDPI42tablebody"/>
              <w:rPr>
                <w:rFonts w:ascii="Arial" w:hAnsi="Arial" w:cs="Arial"/>
                <w:snapToGrid/>
              </w:rPr>
            </w:pPr>
            <w:r w:rsidRPr="0020110A">
              <w:rPr>
                <w:rFonts w:ascii="Arial" w:hAnsi="Arial" w:cs="Arial"/>
                <w:snapToGrid/>
              </w:rPr>
              <w:t>0.3191</w:t>
            </w:r>
          </w:p>
        </w:tc>
      </w:tr>
    </w:tbl>
    <w:p w:rsidR="00993255" w:rsidRDefault="00993255" w:rsidP="00F65892">
      <w:pPr>
        <w:pStyle w:val="MDPI31text"/>
        <w:ind w:left="0" w:firstLine="0"/>
        <w:rPr>
          <w:rFonts w:ascii="Arial" w:hAnsi="Arial" w:cs="Arial"/>
          <w:snapToGrid/>
          <w:szCs w:val="20"/>
        </w:rPr>
      </w:pPr>
    </w:p>
    <w:p w:rsidR="00740E51" w:rsidRPr="0020110A" w:rsidRDefault="00740E51" w:rsidP="00F65892">
      <w:pPr>
        <w:pStyle w:val="MDPI31text"/>
        <w:ind w:left="0" w:firstLine="0"/>
        <w:rPr>
          <w:rFonts w:ascii="Arial" w:hAnsi="Arial" w:cs="Arial"/>
          <w:snapToGrid/>
          <w:szCs w:val="20"/>
        </w:rPr>
      </w:pPr>
      <w:r w:rsidRPr="0020110A">
        <w:rPr>
          <w:rFonts w:ascii="Arial" w:hAnsi="Arial" w:cs="Arial"/>
          <w:snapToGrid/>
          <w:szCs w:val="20"/>
        </w:rPr>
        <w:t xml:space="preserve">*SNPs with genotyping success rate below 90% were removed from subsequent analyses (including rs7229639, rs3764482). We also removed a monomorphic SNP (rs10904849). SNP, single nucleotide polymorphism; RAF, risk allele frequency; OR, odds ratio; 95%CI, 95% confidence interval; UTR, </w:t>
      </w:r>
      <w:proofErr w:type="spellStart"/>
      <w:r w:rsidRPr="0020110A">
        <w:rPr>
          <w:rFonts w:ascii="Arial" w:hAnsi="Arial" w:cs="Arial"/>
          <w:snapToGrid/>
          <w:szCs w:val="20"/>
        </w:rPr>
        <w:t>untranslated</w:t>
      </w:r>
      <w:proofErr w:type="spellEnd"/>
      <w:r w:rsidRPr="0020110A">
        <w:rPr>
          <w:rFonts w:ascii="Arial" w:hAnsi="Arial" w:cs="Arial"/>
          <w:snapToGrid/>
          <w:szCs w:val="20"/>
        </w:rPr>
        <w:t xml:space="preserve"> region; kb, </w:t>
      </w:r>
      <w:proofErr w:type="spellStart"/>
      <w:r w:rsidRPr="0020110A">
        <w:rPr>
          <w:rFonts w:ascii="Arial" w:hAnsi="Arial" w:cs="Arial"/>
          <w:snapToGrid/>
          <w:szCs w:val="20"/>
        </w:rPr>
        <w:t>kilobase</w:t>
      </w:r>
      <w:proofErr w:type="spellEnd"/>
      <w:r w:rsidRPr="0020110A">
        <w:rPr>
          <w:rFonts w:ascii="Arial" w:hAnsi="Arial" w:cs="Arial"/>
          <w:snapToGrid/>
          <w:szCs w:val="20"/>
        </w:rPr>
        <w:t>.</w:t>
      </w:r>
    </w:p>
    <w:p w:rsidR="00740E51" w:rsidRPr="0020110A" w:rsidRDefault="00740E51" w:rsidP="00740E5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en-US"/>
        </w:rPr>
        <w:sectPr w:rsidR="00740E51" w:rsidRPr="0020110A" w:rsidSect="00AC0216">
          <w:footerReference w:type="default" r:id="rId8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8408F2" w:rsidRDefault="008408F2" w:rsidP="008408F2">
      <w:pPr>
        <w:pStyle w:val="MDPI41tablecaption"/>
        <w:spacing w:before="0"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110A">
        <w:rPr>
          <w:rFonts w:ascii="Arial" w:hAnsi="Arial" w:cs="Arial"/>
          <w:b/>
          <w:sz w:val="24"/>
          <w:szCs w:val="24"/>
        </w:rPr>
        <w:lastRenderedPageBreak/>
        <w:t xml:space="preserve">Table S3. </w:t>
      </w:r>
      <w:proofErr w:type="gramStart"/>
      <w:r w:rsidRPr="0020110A">
        <w:rPr>
          <w:rFonts w:ascii="Arial" w:hAnsi="Arial" w:cs="Arial"/>
          <w:sz w:val="24"/>
          <w:szCs w:val="24"/>
        </w:rPr>
        <w:t xml:space="preserve">Discriminative capacity of predictive models after 10-fold cross-validation using an </w:t>
      </w:r>
      <w:proofErr w:type="spellStart"/>
      <w:r w:rsidRPr="0020110A">
        <w:rPr>
          <w:rFonts w:ascii="Arial" w:hAnsi="Arial" w:cs="Arial"/>
          <w:sz w:val="24"/>
          <w:szCs w:val="24"/>
        </w:rPr>
        <w:t>unweighted</w:t>
      </w:r>
      <w:proofErr w:type="spellEnd"/>
      <w:r w:rsidRPr="0020110A">
        <w:rPr>
          <w:rFonts w:ascii="Arial" w:hAnsi="Arial" w:cs="Arial"/>
          <w:sz w:val="24"/>
          <w:szCs w:val="24"/>
        </w:rPr>
        <w:t xml:space="preserve"> PRS and comparing the total number of cases and controls.</w:t>
      </w:r>
      <w:proofErr w:type="gramEnd"/>
    </w:p>
    <w:p w:rsidR="008408F2" w:rsidRPr="001D5DDB" w:rsidRDefault="008408F2" w:rsidP="008408F2">
      <w:pPr>
        <w:pStyle w:val="MDPI41tablecaption"/>
        <w:spacing w:before="0"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2644"/>
        <w:gridCol w:w="2679"/>
        <w:gridCol w:w="2015"/>
        <w:gridCol w:w="1275"/>
      </w:tblGrid>
      <w:tr w:rsidR="008408F2" w:rsidRPr="001D5DDB" w:rsidTr="00024371">
        <w:trPr>
          <w:trHeight w:val="268"/>
        </w:trPr>
        <w:tc>
          <w:tcPr>
            <w:tcW w:w="2644" w:type="dxa"/>
            <w:tcBorders>
              <w:left w:val="nil"/>
              <w:bottom w:val="single" w:sz="4" w:space="0" w:color="auto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>Predictive model</w:t>
            </w:r>
          </w:p>
        </w:tc>
        <w:tc>
          <w:tcPr>
            <w:tcW w:w="2679" w:type="dxa"/>
            <w:tcBorders>
              <w:left w:val="nil"/>
              <w:bottom w:val="single" w:sz="4" w:space="0" w:color="auto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>AUROC (95%CI)</w:t>
            </w:r>
          </w:p>
        </w:tc>
        <w:tc>
          <w:tcPr>
            <w:tcW w:w="2015" w:type="dxa"/>
            <w:tcBorders>
              <w:left w:val="nil"/>
              <w:bottom w:val="single" w:sz="4" w:space="0" w:color="auto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>AUROC improvement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2"/>
              </w:rPr>
              <w:t>P</w:t>
            </w: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>-value</w:t>
            </w:r>
          </w:p>
        </w:tc>
      </w:tr>
      <w:tr w:rsidR="008408F2" w:rsidRPr="001D5DDB" w:rsidTr="00024371">
        <w:trPr>
          <w:trHeight w:val="283"/>
        </w:trPr>
        <w:tc>
          <w:tcPr>
            <w:tcW w:w="2644" w:type="dxa"/>
            <w:tcBorders>
              <w:left w:val="nil"/>
              <w:bottom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Sex-age-based </w:t>
            </w:r>
          </w:p>
        </w:tc>
        <w:tc>
          <w:tcPr>
            <w:tcW w:w="2679" w:type="dxa"/>
            <w:tcBorders>
              <w:left w:val="nil"/>
              <w:bottom w:val="nil"/>
              <w:right w:val="nil"/>
            </w:tcBorders>
          </w:tcPr>
          <w:p w:rsidR="008408F2" w:rsidRPr="001D5DDB" w:rsidRDefault="008408F2" w:rsidP="002278C8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0.59</w:t>
            </w:r>
            <w:r w:rsidR="002278C8">
              <w:rPr>
                <w:rFonts w:ascii="Arial" w:hAnsi="Arial" w:cs="Arial"/>
                <w:snapToGrid/>
                <w:sz w:val="22"/>
                <w:szCs w:val="22"/>
              </w:rPr>
              <w:t>4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 xml:space="preserve"> (0.57</w:t>
            </w:r>
            <w:r w:rsidR="002278C8">
              <w:rPr>
                <w:rFonts w:ascii="Arial" w:hAnsi="Arial" w:cs="Arial"/>
                <w:snapToGrid/>
                <w:sz w:val="22"/>
                <w:szCs w:val="22"/>
              </w:rPr>
              <w:t>3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-0.61</w:t>
            </w:r>
            <w:r w:rsidR="002278C8">
              <w:rPr>
                <w:rFonts w:ascii="Arial" w:hAnsi="Arial" w:cs="Arial"/>
                <w:snapToGrid/>
                <w:sz w:val="22"/>
                <w:szCs w:val="22"/>
              </w:rPr>
              <w:t>5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)</w:t>
            </w: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8408F2" w:rsidRPr="001D5DDB" w:rsidTr="00024371">
        <w:trPr>
          <w:trHeight w:val="268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PRS-based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0.611 (0.590-0.632)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0.017</w:t>
            </w:r>
            <w:r w:rsidR="002278C8">
              <w:rPr>
                <w:rFonts w:ascii="Arial" w:hAnsi="Arial" w:cs="Arial"/>
                <w:snapToGrid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2278C8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</w:t>
            </w:r>
            <w:r w:rsidR="002278C8">
              <w:rPr>
                <w:rFonts w:ascii="Arial" w:hAnsi="Arial" w:cs="Arial"/>
                <w:snapToGrid/>
                <w:sz w:val="22"/>
                <w:szCs w:val="22"/>
              </w:rPr>
              <w:t>006</w:t>
            </w:r>
          </w:p>
        </w:tc>
      </w:tr>
      <w:tr w:rsidR="008408F2" w:rsidRPr="001D5DDB" w:rsidTr="00024371">
        <w:trPr>
          <w:trHeight w:val="283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FIT-based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2278C8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0.62</w:t>
            </w:r>
            <w:r w:rsidR="002278C8">
              <w:rPr>
                <w:rFonts w:ascii="Arial" w:hAnsi="Arial" w:cs="Arial"/>
                <w:snapToGrid/>
                <w:sz w:val="22"/>
                <w:szCs w:val="22"/>
              </w:rPr>
              <w:t>3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 xml:space="preserve"> (0.</w:t>
            </w:r>
            <w:r w:rsidR="002278C8">
              <w:rPr>
                <w:rFonts w:ascii="Arial" w:hAnsi="Arial" w:cs="Arial"/>
                <w:snapToGrid/>
                <w:sz w:val="22"/>
                <w:szCs w:val="22"/>
              </w:rPr>
              <w:t>602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-0.64</w:t>
            </w:r>
            <w:r w:rsidR="002278C8">
              <w:rPr>
                <w:rFonts w:ascii="Arial" w:hAnsi="Arial" w:cs="Arial"/>
                <w:snapToGrid/>
                <w:sz w:val="22"/>
                <w:szCs w:val="22"/>
              </w:rPr>
              <w:t>4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2278C8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0.02</w:t>
            </w:r>
            <w:r w:rsidR="002278C8">
              <w:rPr>
                <w:rFonts w:ascii="Arial" w:hAnsi="Arial" w:cs="Arial"/>
                <w:snapToGrid/>
                <w:sz w:val="22"/>
                <w:szCs w:val="22"/>
              </w:rPr>
              <w:t>8*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2278C8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</w:t>
            </w:r>
            <w:r w:rsidR="002278C8">
              <w:rPr>
                <w:rFonts w:ascii="Arial" w:hAnsi="Arial" w:cs="Arial"/>
                <w:snapToGrid/>
                <w:sz w:val="22"/>
                <w:szCs w:val="22"/>
              </w:rPr>
              <w:t>0001</w:t>
            </w:r>
          </w:p>
        </w:tc>
      </w:tr>
      <w:tr w:rsidR="008408F2" w:rsidRPr="001D5DDB" w:rsidTr="00024371">
        <w:trPr>
          <w:trHeight w:val="283"/>
        </w:trPr>
        <w:tc>
          <w:tcPr>
            <w:tcW w:w="2644" w:type="dxa"/>
            <w:tcBorders>
              <w:top w:val="nil"/>
              <w:left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FIT and PRS-based </w:t>
            </w:r>
          </w:p>
        </w:tc>
        <w:tc>
          <w:tcPr>
            <w:tcW w:w="2679" w:type="dxa"/>
            <w:tcBorders>
              <w:top w:val="nil"/>
              <w:left w:val="nil"/>
              <w:right w:val="nil"/>
            </w:tcBorders>
          </w:tcPr>
          <w:p w:rsidR="008408F2" w:rsidRPr="001D5DDB" w:rsidRDefault="008408F2" w:rsidP="002278C8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0.63</w:t>
            </w:r>
            <w:r w:rsidR="002278C8">
              <w:rPr>
                <w:rFonts w:ascii="Arial" w:hAnsi="Arial" w:cs="Arial"/>
                <w:snapToGrid/>
                <w:sz w:val="22"/>
                <w:szCs w:val="22"/>
              </w:rPr>
              <w:t>5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 xml:space="preserve"> (0.61</w:t>
            </w:r>
            <w:r w:rsidR="002278C8">
              <w:rPr>
                <w:rFonts w:ascii="Arial" w:hAnsi="Arial" w:cs="Arial"/>
                <w:snapToGrid/>
                <w:sz w:val="22"/>
                <w:szCs w:val="22"/>
              </w:rPr>
              <w:t>5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-0.656)</w:t>
            </w: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</w:tcPr>
          <w:p w:rsidR="008408F2" w:rsidRPr="001D5DDB" w:rsidRDefault="008408F2" w:rsidP="002278C8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0.01</w:t>
            </w:r>
            <w:r w:rsidR="002278C8">
              <w:rPr>
                <w:rFonts w:ascii="Arial" w:hAnsi="Arial" w:cs="Arial"/>
                <w:snapToGrid/>
                <w:sz w:val="22"/>
                <w:szCs w:val="22"/>
              </w:rPr>
              <w:t>2**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408F2" w:rsidRPr="001D5DDB" w:rsidRDefault="008408F2" w:rsidP="003F587E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</w:t>
            </w:r>
            <w:r w:rsidR="003F587E">
              <w:rPr>
                <w:rFonts w:ascii="Arial" w:hAnsi="Arial" w:cs="Arial"/>
                <w:snapToGrid/>
                <w:sz w:val="22"/>
                <w:szCs w:val="22"/>
              </w:rPr>
              <w:t>008</w:t>
            </w:r>
          </w:p>
        </w:tc>
      </w:tr>
    </w:tbl>
    <w:p w:rsidR="008408F2" w:rsidRDefault="008408F2" w:rsidP="008408F2">
      <w:pPr>
        <w:pStyle w:val="MDPI31text"/>
        <w:spacing w:line="240" w:lineRule="auto"/>
        <w:ind w:left="0" w:firstLine="0"/>
        <w:rPr>
          <w:rFonts w:ascii="Arial" w:hAnsi="Arial" w:cs="Arial"/>
          <w:snapToGrid/>
          <w:szCs w:val="20"/>
        </w:rPr>
      </w:pPr>
    </w:p>
    <w:p w:rsidR="008408F2" w:rsidRPr="008D2811" w:rsidRDefault="008408F2" w:rsidP="008408F2">
      <w:pPr>
        <w:pStyle w:val="MDPI31text"/>
        <w:spacing w:line="240" w:lineRule="auto"/>
        <w:ind w:left="0" w:firstLine="0"/>
        <w:rPr>
          <w:rFonts w:ascii="Arial" w:hAnsi="Arial" w:cs="Arial"/>
          <w:snapToGrid/>
          <w:szCs w:val="20"/>
        </w:rPr>
      </w:pPr>
      <w:r w:rsidRPr="0020110A">
        <w:rPr>
          <w:rFonts w:ascii="Arial" w:hAnsi="Arial" w:cs="Arial"/>
          <w:snapToGrid/>
          <w:szCs w:val="20"/>
        </w:rPr>
        <w:t xml:space="preserve">AUROC, Area </w:t>
      </w:r>
      <w:proofErr w:type="gramStart"/>
      <w:r w:rsidRPr="0020110A">
        <w:rPr>
          <w:rFonts w:ascii="Arial" w:hAnsi="Arial" w:cs="Arial"/>
          <w:snapToGrid/>
          <w:szCs w:val="20"/>
        </w:rPr>
        <w:t>Under</w:t>
      </w:r>
      <w:proofErr w:type="gramEnd"/>
      <w:r w:rsidRPr="0020110A">
        <w:rPr>
          <w:rFonts w:ascii="Arial" w:hAnsi="Arial" w:cs="Arial"/>
          <w:snapToGrid/>
          <w:szCs w:val="20"/>
        </w:rPr>
        <w:t xml:space="preserve"> de Curve; CI, confidence interval.</w:t>
      </w:r>
      <w:r w:rsidR="002278C8">
        <w:rPr>
          <w:rFonts w:ascii="Arial" w:hAnsi="Arial" w:cs="Arial"/>
          <w:snapToGrid/>
          <w:szCs w:val="20"/>
        </w:rPr>
        <w:t xml:space="preserve"> *Compared to Sex-age-based. **Compared to FIT-based.</w:t>
      </w:r>
    </w:p>
    <w:p w:rsidR="008408F2" w:rsidRDefault="008408F2" w:rsidP="00756060">
      <w:pPr>
        <w:adjustRightInd w:val="0"/>
        <w:snapToGrid w:val="0"/>
        <w:spacing w:after="0" w:line="480" w:lineRule="auto"/>
        <w:jc w:val="both"/>
        <w:rPr>
          <w:rFonts w:ascii="Arial" w:eastAsia="SimSun" w:hAnsi="Arial" w:cs="Arial"/>
          <w:bCs/>
          <w:noProof/>
          <w:color w:val="000000"/>
          <w:sz w:val="24"/>
          <w:szCs w:val="24"/>
          <w:lang w:val="en-US" w:eastAsia="zh-CN" w:bidi="en-US"/>
        </w:rPr>
      </w:pPr>
    </w:p>
    <w:p w:rsidR="008408F2" w:rsidRPr="008408F2" w:rsidRDefault="008408F2" w:rsidP="00756060">
      <w:pPr>
        <w:adjustRightInd w:val="0"/>
        <w:snapToGrid w:val="0"/>
        <w:spacing w:after="0" w:line="480" w:lineRule="auto"/>
        <w:jc w:val="both"/>
        <w:rPr>
          <w:rFonts w:ascii="Arial" w:eastAsia="SimSun" w:hAnsi="Arial" w:cs="Arial"/>
          <w:bCs/>
          <w:noProof/>
          <w:color w:val="000000"/>
          <w:sz w:val="24"/>
          <w:szCs w:val="24"/>
          <w:lang w:val="en-US" w:eastAsia="zh-CN" w:bidi="en-US"/>
        </w:rPr>
      </w:pPr>
    </w:p>
    <w:p w:rsidR="008408F2" w:rsidRDefault="008408F2" w:rsidP="008408F2">
      <w:pPr>
        <w:pStyle w:val="MDPI41tablecaption"/>
        <w:spacing w:before="0"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110A">
        <w:rPr>
          <w:rFonts w:ascii="Arial" w:hAnsi="Arial" w:cs="Arial"/>
          <w:b/>
          <w:sz w:val="24"/>
          <w:szCs w:val="24"/>
        </w:rPr>
        <w:t xml:space="preserve">Table S4. </w:t>
      </w:r>
      <w:proofErr w:type="gramStart"/>
      <w:r w:rsidRPr="0020110A">
        <w:rPr>
          <w:rFonts w:ascii="Arial" w:hAnsi="Arial" w:cs="Arial"/>
          <w:sz w:val="24"/>
          <w:szCs w:val="24"/>
        </w:rPr>
        <w:t>Discriminative capacity of predictive models comparing extreme phenotypes.</w:t>
      </w:r>
      <w:proofErr w:type="gramEnd"/>
    </w:p>
    <w:p w:rsidR="008408F2" w:rsidRPr="0020110A" w:rsidRDefault="008408F2" w:rsidP="008408F2">
      <w:pPr>
        <w:pStyle w:val="MDPI41tablecaption"/>
        <w:spacing w:before="0"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2644"/>
        <w:gridCol w:w="2679"/>
        <w:gridCol w:w="2015"/>
        <w:gridCol w:w="1275"/>
      </w:tblGrid>
      <w:tr w:rsidR="008408F2" w:rsidRPr="001D5DDB" w:rsidTr="00024371">
        <w:trPr>
          <w:trHeight w:val="268"/>
        </w:trPr>
        <w:tc>
          <w:tcPr>
            <w:tcW w:w="2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>Predictive model</w:t>
            </w:r>
          </w:p>
        </w:tc>
        <w:tc>
          <w:tcPr>
            <w:tcW w:w="26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>AUROC (95%CI)</w:t>
            </w:r>
          </w:p>
        </w:tc>
        <w:tc>
          <w:tcPr>
            <w:tcW w:w="20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>AUROC improvement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2"/>
              </w:rPr>
              <w:t>P</w:t>
            </w: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>-value</w:t>
            </w:r>
          </w:p>
        </w:tc>
      </w:tr>
      <w:tr w:rsidR="008408F2" w:rsidRPr="001D5DDB" w:rsidTr="00024371">
        <w:trPr>
          <w:trHeight w:val="283"/>
        </w:trPr>
        <w:tc>
          <w:tcPr>
            <w:tcW w:w="2644" w:type="dxa"/>
            <w:tcBorders>
              <w:left w:val="nil"/>
              <w:bottom w:val="nil"/>
              <w:right w:val="nil"/>
            </w:tcBorders>
            <w:vAlign w:val="center"/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Sex-age-based </w:t>
            </w:r>
          </w:p>
        </w:tc>
        <w:tc>
          <w:tcPr>
            <w:tcW w:w="2679" w:type="dxa"/>
            <w:tcBorders>
              <w:left w:val="nil"/>
              <w:bottom w:val="nil"/>
              <w:right w:val="nil"/>
            </w:tcBorders>
            <w:vAlign w:val="center"/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0.638 (0.611-0.666)</w:t>
            </w: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  <w:vAlign w:val="center"/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8408F2" w:rsidRPr="001D5DDB" w:rsidTr="00024371">
        <w:trPr>
          <w:trHeight w:val="268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PRS-based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0.665 (0.637-0.693)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F2" w:rsidRPr="001D5DDB" w:rsidRDefault="008408F2" w:rsidP="00E355C7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0.02</w:t>
            </w:r>
            <w:r w:rsidR="00E355C7">
              <w:rPr>
                <w:rFonts w:ascii="Arial" w:hAnsi="Arial" w:cs="Arial"/>
                <w:snapToGrid/>
                <w:sz w:val="22"/>
                <w:szCs w:val="22"/>
              </w:rPr>
              <w:t>7</w:t>
            </w:r>
            <w:r w:rsidR="00024371">
              <w:rPr>
                <w:rFonts w:ascii="Arial" w:hAnsi="Arial" w:cs="Arial"/>
                <w:snapToGrid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0.00025</w:t>
            </w:r>
          </w:p>
        </w:tc>
      </w:tr>
      <w:tr w:rsidR="008408F2" w:rsidRPr="001D5DDB" w:rsidTr="00024371">
        <w:trPr>
          <w:trHeight w:val="283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FIT-based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F2" w:rsidRPr="001D5DDB" w:rsidRDefault="008408F2" w:rsidP="00E355C7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0.6</w:t>
            </w:r>
            <w:r w:rsidR="00E355C7">
              <w:rPr>
                <w:rFonts w:ascii="Arial" w:hAnsi="Arial" w:cs="Arial"/>
                <w:snapToGrid/>
                <w:sz w:val="22"/>
                <w:szCs w:val="22"/>
              </w:rPr>
              <w:t>78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 xml:space="preserve"> (0.65</w:t>
            </w:r>
            <w:r w:rsidR="00E355C7">
              <w:rPr>
                <w:rFonts w:ascii="Arial" w:hAnsi="Arial" w:cs="Arial"/>
                <w:snapToGrid/>
                <w:sz w:val="22"/>
                <w:szCs w:val="22"/>
              </w:rPr>
              <w:t>2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-0.70</w:t>
            </w:r>
            <w:r w:rsidR="00E355C7">
              <w:rPr>
                <w:rFonts w:ascii="Arial" w:hAnsi="Arial" w:cs="Arial"/>
                <w:snapToGrid/>
                <w:sz w:val="22"/>
                <w:szCs w:val="22"/>
              </w:rPr>
              <w:t>6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F2" w:rsidRPr="001D5DDB" w:rsidRDefault="008408F2" w:rsidP="00E355C7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0.0</w:t>
            </w:r>
            <w:r w:rsidR="00E355C7">
              <w:rPr>
                <w:rFonts w:ascii="Arial" w:hAnsi="Arial" w:cs="Arial"/>
                <w:snapToGrid/>
                <w:sz w:val="22"/>
                <w:szCs w:val="22"/>
              </w:rPr>
              <w:t>40</w:t>
            </w:r>
            <w:r w:rsidR="00024371">
              <w:rPr>
                <w:rFonts w:ascii="Arial" w:hAnsi="Arial" w:cs="Arial"/>
                <w:snapToGrid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F2" w:rsidRPr="001D5DDB" w:rsidRDefault="008408F2" w:rsidP="00E355C7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</w:t>
            </w:r>
            <w:r w:rsidR="00E355C7">
              <w:rPr>
                <w:rFonts w:ascii="Arial" w:hAnsi="Arial" w:cs="Arial"/>
                <w:snapToGrid/>
                <w:sz w:val="22"/>
                <w:szCs w:val="22"/>
              </w:rPr>
              <w:t>000014</w:t>
            </w:r>
          </w:p>
        </w:tc>
      </w:tr>
      <w:tr w:rsidR="008408F2" w:rsidRPr="001D5DDB" w:rsidTr="00024371">
        <w:trPr>
          <w:trHeight w:val="283"/>
        </w:trPr>
        <w:tc>
          <w:tcPr>
            <w:tcW w:w="2644" w:type="dxa"/>
            <w:tcBorders>
              <w:top w:val="nil"/>
              <w:left w:val="nil"/>
              <w:right w:val="nil"/>
            </w:tcBorders>
            <w:vAlign w:val="center"/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FIT and PRS-based </w:t>
            </w:r>
          </w:p>
        </w:tc>
        <w:tc>
          <w:tcPr>
            <w:tcW w:w="2679" w:type="dxa"/>
            <w:tcBorders>
              <w:top w:val="nil"/>
              <w:left w:val="nil"/>
              <w:right w:val="nil"/>
            </w:tcBorders>
            <w:vAlign w:val="center"/>
          </w:tcPr>
          <w:p w:rsidR="008408F2" w:rsidRPr="001D5DDB" w:rsidRDefault="008408F2" w:rsidP="00E355C7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0.698 (0.67</w:t>
            </w:r>
            <w:r w:rsidR="00E355C7">
              <w:rPr>
                <w:rFonts w:ascii="Arial" w:hAnsi="Arial" w:cs="Arial"/>
                <w:snapToGrid/>
                <w:sz w:val="22"/>
                <w:szCs w:val="22"/>
              </w:rPr>
              <w:t>2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-0.725)</w:t>
            </w: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  <w:vAlign w:val="center"/>
          </w:tcPr>
          <w:p w:rsidR="008408F2" w:rsidRPr="001D5DDB" w:rsidRDefault="008408F2" w:rsidP="00E355C7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0.01</w:t>
            </w:r>
            <w:r w:rsidR="00E355C7">
              <w:rPr>
                <w:rFonts w:ascii="Arial" w:hAnsi="Arial" w:cs="Arial"/>
                <w:snapToGrid/>
                <w:sz w:val="22"/>
                <w:szCs w:val="22"/>
              </w:rPr>
              <w:t>9</w:t>
            </w:r>
            <w:r w:rsidR="00024371">
              <w:rPr>
                <w:rFonts w:ascii="Arial" w:hAnsi="Arial" w:cs="Arial"/>
                <w:snapToGrid/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8408F2" w:rsidRPr="001D5DDB" w:rsidRDefault="008408F2" w:rsidP="00E355C7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0.00</w:t>
            </w:r>
            <w:r w:rsidR="00E355C7">
              <w:rPr>
                <w:rFonts w:ascii="Arial" w:hAnsi="Arial" w:cs="Arial"/>
                <w:snapToGrid/>
                <w:sz w:val="22"/>
                <w:szCs w:val="22"/>
              </w:rPr>
              <w:t>16</w:t>
            </w:r>
          </w:p>
        </w:tc>
      </w:tr>
    </w:tbl>
    <w:p w:rsidR="008408F2" w:rsidRDefault="008408F2" w:rsidP="008408F2">
      <w:pPr>
        <w:pStyle w:val="MDPI31text"/>
        <w:spacing w:line="240" w:lineRule="auto"/>
        <w:ind w:left="0" w:firstLine="0"/>
        <w:rPr>
          <w:rFonts w:ascii="Arial" w:hAnsi="Arial" w:cs="Arial"/>
          <w:snapToGrid/>
          <w:szCs w:val="20"/>
        </w:rPr>
      </w:pPr>
    </w:p>
    <w:p w:rsidR="008408F2" w:rsidRPr="0020110A" w:rsidRDefault="008408F2" w:rsidP="008408F2">
      <w:pPr>
        <w:pStyle w:val="MDPI31text"/>
        <w:spacing w:line="240" w:lineRule="auto"/>
        <w:ind w:left="0" w:firstLine="0"/>
        <w:rPr>
          <w:rFonts w:ascii="Arial" w:hAnsi="Arial" w:cs="Arial"/>
          <w:snapToGrid/>
          <w:szCs w:val="20"/>
        </w:rPr>
      </w:pPr>
      <w:r w:rsidRPr="0020110A">
        <w:rPr>
          <w:rFonts w:ascii="Arial" w:hAnsi="Arial" w:cs="Arial"/>
          <w:snapToGrid/>
          <w:szCs w:val="20"/>
        </w:rPr>
        <w:t xml:space="preserve">AUROC, Area </w:t>
      </w:r>
      <w:proofErr w:type="gramStart"/>
      <w:r w:rsidRPr="0020110A">
        <w:rPr>
          <w:rFonts w:ascii="Arial" w:hAnsi="Arial" w:cs="Arial"/>
          <w:snapToGrid/>
          <w:szCs w:val="20"/>
        </w:rPr>
        <w:t>Under</w:t>
      </w:r>
      <w:proofErr w:type="gramEnd"/>
      <w:r w:rsidRPr="0020110A">
        <w:rPr>
          <w:rFonts w:ascii="Arial" w:hAnsi="Arial" w:cs="Arial"/>
          <w:snapToGrid/>
          <w:szCs w:val="20"/>
        </w:rPr>
        <w:t xml:space="preserve"> de Curve; CI, confidence interval.</w:t>
      </w:r>
      <w:r w:rsidR="00024371">
        <w:rPr>
          <w:rFonts w:ascii="Arial" w:hAnsi="Arial" w:cs="Arial"/>
          <w:snapToGrid/>
          <w:szCs w:val="20"/>
        </w:rPr>
        <w:t xml:space="preserve"> *Compared to Sex-age-based. **Compared to FIT-based.</w:t>
      </w:r>
    </w:p>
    <w:p w:rsidR="008408F2" w:rsidRDefault="008408F2" w:rsidP="008408F2">
      <w:pPr>
        <w:pStyle w:val="MDPI51figurecaption"/>
        <w:spacing w:before="0"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408F2" w:rsidRPr="0020110A" w:rsidRDefault="008408F2" w:rsidP="008408F2">
      <w:pPr>
        <w:pStyle w:val="MDPI51figurecaption"/>
        <w:spacing w:before="0"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408F2" w:rsidRDefault="008408F2" w:rsidP="008408F2">
      <w:pPr>
        <w:pStyle w:val="MDPI51figurecaption"/>
        <w:spacing w:before="0"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110A">
        <w:rPr>
          <w:rFonts w:ascii="Arial" w:hAnsi="Arial" w:cs="Arial"/>
          <w:b/>
          <w:sz w:val="24"/>
          <w:szCs w:val="24"/>
        </w:rPr>
        <w:lastRenderedPageBreak/>
        <w:t xml:space="preserve">Table S5. </w:t>
      </w:r>
      <w:proofErr w:type="gramStart"/>
      <w:r w:rsidRPr="0020110A">
        <w:rPr>
          <w:rFonts w:ascii="Arial" w:hAnsi="Arial" w:cs="Arial"/>
          <w:sz w:val="24"/>
          <w:szCs w:val="24"/>
        </w:rPr>
        <w:t>Discriminative capacity of predictive models after 10-fold cross-validation comparing extreme phenotypes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408F2" w:rsidRPr="001D5DDB" w:rsidRDefault="008408F2" w:rsidP="008408F2">
      <w:pPr>
        <w:pStyle w:val="MDPI51figurecaption"/>
        <w:spacing w:before="0"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2644"/>
        <w:gridCol w:w="2679"/>
        <w:gridCol w:w="2015"/>
        <w:gridCol w:w="1275"/>
      </w:tblGrid>
      <w:tr w:rsidR="008408F2" w:rsidRPr="001D5DDB" w:rsidTr="00024371">
        <w:trPr>
          <w:trHeight w:val="268"/>
        </w:trPr>
        <w:tc>
          <w:tcPr>
            <w:tcW w:w="2644" w:type="dxa"/>
            <w:tcBorders>
              <w:left w:val="nil"/>
              <w:bottom w:val="single" w:sz="4" w:space="0" w:color="auto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>Predictive model</w:t>
            </w:r>
          </w:p>
        </w:tc>
        <w:tc>
          <w:tcPr>
            <w:tcW w:w="2679" w:type="dxa"/>
            <w:tcBorders>
              <w:left w:val="nil"/>
              <w:bottom w:val="single" w:sz="4" w:space="0" w:color="auto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>AUROC (95%CI)</w:t>
            </w:r>
          </w:p>
        </w:tc>
        <w:tc>
          <w:tcPr>
            <w:tcW w:w="2015" w:type="dxa"/>
            <w:tcBorders>
              <w:left w:val="nil"/>
              <w:bottom w:val="single" w:sz="4" w:space="0" w:color="auto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>AUROC improvement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2"/>
              </w:rPr>
              <w:t>P</w:t>
            </w: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>-value</w:t>
            </w:r>
          </w:p>
        </w:tc>
      </w:tr>
      <w:tr w:rsidR="008408F2" w:rsidRPr="001D5DDB" w:rsidTr="00024371">
        <w:trPr>
          <w:trHeight w:val="283"/>
        </w:trPr>
        <w:tc>
          <w:tcPr>
            <w:tcW w:w="2644" w:type="dxa"/>
            <w:tcBorders>
              <w:left w:val="nil"/>
              <w:bottom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Sex-age-based </w:t>
            </w:r>
          </w:p>
        </w:tc>
        <w:tc>
          <w:tcPr>
            <w:tcW w:w="2679" w:type="dxa"/>
            <w:tcBorders>
              <w:left w:val="nil"/>
              <w:bottom w:val="nil"/>
              <w:right w:val="nil"/>
            </w:tcBorders>
          </w:tcPr>
          <w:p w:rsidR="008408F2" w:rsidRPr="001D5DDB" w:rsidRDefault="008408F2" w:rsidP="003E3105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0.625 (0.596-0.65</w:t>
            </w:r>
            <w:r w:rsidR="003E3105">
              <w:rPr>
                <w:rFonts w:ascii="Arial" w:hAnsi="Arial" w:cs="Arial"/>
                <w:snapToGrid/>
                <w:sz w:val="22"/>
                <w:szCs w:val="22"/>
              </w:rPr>
              <w:t>3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)</w:t>
            </w: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8408F2" w:rsidRPr="001D5DDB" w:rsidTr="00024371">
        <w:trPr>
          <w:trHeight w:val="268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PRS-based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0.660 (0.632-0.688)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0.035</w:t>
            </w:r>
            <w:r w:rsidR="00024371">
              <w:rPr>
                <w:rFonts w:ascii="Arial" w:hAnsi="Arial" w:cs="Arial"/>
                <w:snapToGrid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3E3105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0.0</w:t>
            </w:r>
            <w:r w:rsidR="003E3105">
              <w:rPr>
                <w:rFonts w:ascii="Arial" w:hAnsi="Arial" w:cs="Arial"/>
                <w:snapToGrid/>
                <w:sz w:val="22"/>
                <w:szCs w:val="22"/>
              </w:rPr>
              <w:t>00018</w:t>
            </w:r>
          </w:p>
        </w:tc>
      </w:tr>
      <w:tr w:rsidR="008408F2" w:rsidRPr="001D5DDB" w:rsidTr="00024371">
        <w:trPr>
          <w:trHeight w:val="283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FIT-based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0.670 (0.642-0.697)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3E3105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0.0</w:t>
            </w:r>
            <w:r w:rsidR="003E3105">
              <w:rPr>
                <w:rFonts w:ascii="Arial" w:hAnsi="Arial" w:cs="Arial"/>
                <w:snapToGrid/>
                <w:sz w:val="22"/>
                <w:szCs w:val="22"/>
              </w:rPr>
              <w:t>45</w:t>
            </w:r>
            <w:r w:rsidR="00024371">
              <w:rPr>
                <w:rFonts w:ascii="Arial" w:hAnsi="Arial" w:cs="Arial"/>
                <w:snapToGrid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08F2" w:rsidRPr="001D5DDB" w:rsidRDefault="008408F2" w:rsidP="003E3105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</w:t>
            </w:r>
            <w:r w:rsidR="003E3105">
              <w:rPr>
                <w:rFonts w:ascii="Arial" w:hAnsi="Arial" w:cs="Arial"/>
                <w:snapToGrid/>
                <w:sz w:val="22"/>
                <w:szCs w:val="22"/>
              </w:rPr>
              <w:t>0000048</w:t>
            </w:r>
          </w:p>
        </w:tc>
      </w:tr>
      <w:tr w:rsidR="008408F2" w:rsidRPr="001D5DDB" w:rsidTr="00024371">
        <w:trPr>
          <w:trHeight w:val="283"/>
        </w:trPr>
        <w:tc>
          <w:tcPr>
            <w:tcW w:w="2644" w:type="dxa"/>
            <w:tcBorders>
              <w:top w:val="nil"/>
              <w:left w:val="nil"/>
              <w:right w:val="nil"/>
            </w:tcBorders>
          </w:tcPr>
          <w:p w:rsidR="008408F2" w:rsidRPr="001D5DDB" w:rsidRDefault="008408F2" w:rsidP="00024371">
            <w:pPr>
              <w:pStyle w:val="MDPI42tablebody"/>
              <w:spacing w:line="480" w:lineRule="auto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FIT and PRS-based </w:t>
            </w:r>
          </w:p>
        </w:tc>
        <w:tc>
          <w:tcPr>
            <w:tcW w:w="2679" w:type="dxa"/>
            <w:tcBorders>
              <w:top w:val="nil"/>
              <w:left w:val="nil"/>
              <w:right w:val="nil"/>
            </w:tcBorders>
          </w:tcPr>
          <w:p w:rsidR="008408F2" w:rsidRPr="001D5DDB" w:rsidRDefault="008408F2" w:rsidP="003E3105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0.69</w:t>
            </w:r>
            <w:r w:rsidR="003E3105">
              <w:rPr>
                <w:rFonts w:ascii="Arial" w:hAnsi="Arial" w:cs="Arial"/>
                <w:snapToGrid/>
                <w:sz w:val="22"/>
                <w:szCs w:val="22"/>
              </w:rPr>
              <w:t>3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 xml:space="preserve"> (0.66</w:t>
            </w:r>
            <w:r w:rsidR="003E3105">
              <w:rPr>
                <w:rFonts w:ascii="Arial" w:hAnsi="Arial" w:cs="Arial"/>
                <w:snapToGrid/>
                <w:sz w:val="22"/>
                <w:szCs w:val="22"/>
              </w:rPr>
              <w:t>6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-0.7</w:t>
            </w:r>
            <w:r w:rsidR="003E3105">
              <w:rPr>
                <w:rFonts w:ascii="Arial" w:hAnsi="Arial" w:cs="Arial"/>
                <w:snapToGrid/>
                <w:sz w:val="22"/>
                <w:szCs w:val="22"/>
              </w:rPr>
              <w:t>20</w:t>
            </w: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)</w:t>
            </w: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</w:tcPr>
          <w:p w:rsidR="008408F2" w:rsidRPr="001D5DDB" w:rsidRDefault="008408F2" w:rsidP="003E3105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0.02</w:t>
            </w:r>
            <w:r w:rsidR="003E3105">
              <w:rPr>
                <w:rFonts w:ascii="Arial" w:hAnsi="Arial" w:cs="Arial"/>
                <w:snapToGrid/>
                <w:sz w:val="22"/>
                <w:szCs w:val="22"/>
              </w:rPr>
              <w:t>3</w:t>
            </w:r>
            <w:r w:rsidR="00024371">
              <w:rPr>
                <w:rFonts w:ascii="Arial" w:hAnsi="Arial" w:cs="Arial"/>
                <w:snapToGrid/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408F2" w:rsidRPr="001D5DDB" w:rsidRDefault="008408F2" w:rsidP="003E3105">
            <w:pPr>
              <w:pStyle w:val="MDPI42tablebody"/>
              <w:spacing w:line="48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1D5DDB">
              <w:rPr>
                <w:rFonts w:ascii="Arial" w:hAnsi="Arial" w:cs="Arial"/>
                <w:snapToGrid/>
                <w:sz w:val="22"/>
                <w:szCs w:val="22"/>
              </w:rPr>
              <w:t>0.</w:t>
            </w:r>
            <w:r w:rsidR="003E3105">
              <w:rPr>
                <w:rFonts w:ascii="Arial" w:hAnsi="Arial" w:cs="Arial"/>
                <w:snapToGrid/>
                <w:sz w:val="22"/>
                <w:szCs w:val="22"/>
              </w:rPr>
              <w:t>00030</w:t>
            </w:r>
          </w:p>
        </w:tc>
      </w:tr>
    </w:tbl>
    <w:p w:rsidR="008408F2" w:rsidRDefault="008408F2" w:rsidP="008408F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 w:eastAsia="de-DE" w:bidi="en-US"/>
        </w:rPr>
      </w:pPr>
    </w:p>
    <w:p w:rsidR="008408F2" w:rsidRPr="00024371" w:rsidRDefault="008408F2" w:rsidP="008408F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 w:eastAsia="de-DE" w:bidi="en-US"/>
        </w:rPr>
      </w:pPr>
      <w:r w:rsidRPr="00024371">
        <w:rPr>
          <w:rFonts w:ascii="Arial" w:hAnsi="Arial" w:cs="Arial"/>
          <w:color w:val="000000"/>
          <w:sz w:val="20"/>
          <w:szCs w:val="20"/>
          <w:lang w:val="en-US" w:eastAsia="de-DE" w:bidi="en-US"/>
        </w:rPr>
        <w:t xml:space="preserve">AUROC, Area </w:t>
      </w:r>
      <w:proofErr w:type="gramStart"/>
      <w:r w:rsidRPr="00024371">
        <w:rPr>
          <w:rFonts w:ascii="Arial" w:hAnsi="Arial" w:cs="Arial"/>
          <w:color w:val="000000"/>
          <w:sz w:val="20"/>
          <w:szCs w:val="20"/>
          <w:lang w:val="en-US" w:eastAsia="de-DE" w:bidi="en-US"/>
        </w:rPr>
        <w:t>Under</w:t>
      </w:r>
      <w:proofErr w:type="gramEnd"/>
      <w:r w:rsidRPr="00024371">
        <w:rPr>
          <w:rFonts w:ascii="Arial" w:hAnsi="Arial" w:cs="Arial"/>
          <w:color w:val="000000"/>
          <w:sz w:val="20"/>
          <w:szCs w:val="20"/>
          <w:lang w:val="en-US" w:eastAsia="de-DE" w:bidi="en-US"/>
        </w:rPr>
        <w:t xml:space="preserve"> de Curve; CI, confidence interval.</w:t>
      </w:r>
      <w:r w:rsidR="00024371" w:rsidRPr="00024371">
        <w:rPr>
          <w:rFonts w:ascii="Arial" w:hAnsi="Arial" w:cs="Arial"/>
          <w:sz w:val="20"/>
          <w:szCs w:val="20"/>
        </w:rPr>
        <w:t xml:space="preserve"> *</w:t>
      </w:r>
      <w:proofErr w:type="spellStart"/>
      <w:r w:rsidR="00024371" w:rsidRPr="00024371">
        <w:rPr>
          <w:rFonts w:ascii="Arial" w:hAnsi="Arial" w:cs="Arial"/>
          <w:sz w:val="20"/>
          <w:szCs w:val="20"/>
        </w:rPr>
        <w:t>Compared</w:t>
      </w:r>
      <w:proofErr w:type="spellEnd"/>
      <w:r w:rsidR="00024371" w:rsidRPr="0002437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024371" w:rsidRPr="00024371">
        <w:rPr>
          <w:rFonts w:ascii="Arial" w:hAnsi="Arial" w:cs="Arial"/>
          <w:sz w:val="20"/>
          <w:szCs w:val="20"/>
        </w:rPr>
        <w:t>Sex-age-based</w:t>
      </w:r>
      <w:proofErr w:type="spellEnd"/>
      <w:r w:rsidR="00024371" w:rsidRPr="00024371">
        <w:rPr>
          <w:rFonts w:ascii="Arial" w:hAnsi="Arial" w:cs="Arial"/>
          <w:sz w:val="20"/>
          <w:szCs w:val="20"/>
        </w:rPr>
        <w:t>. **</w:t>
      </w:r>
      <w:proofErr w:type="spellStart"/>
      <w:r w:rsidR="00024371" w:rsidRPr="00024371">
        <w:rPr>
          <w:rFonts w:ascii="Arial" w:hAnsi="Arial" w:cs="Arial"/>
          <w:sz w:val="20"/>
          <w:szCs w:val="20"/>
        </w:rPr>
        <w:t>Compared</w:t>
      </w:r>
      <w:proofErr w:type="spellEnd"/>
      <w:r w:rsidR="00024371" w:rsidRPr="00024371">
        <w:rPr>
          <w:rFonts w:ascii="Arial" w:hAnsi="Arial" w:cs="Arial"/>
          <w:sz w:val="20"/>
          <w:szCs w:val="20"/>
        </w:rPr>
        <w:t xml:space="preserve"> to FIT-</w:t>
      </w:r>
      <w:proofErr w:type="spellStart"/>
      <w:r w:rsidR="00024371" w:rsidRPr="00024371">
        <w:rPr>
          <w:rFonts w:ascii="Arial" w:hAnsi="Arial" w:cs="Arial"/>
          <w:sz w:val="20"/>
          <w:szCs w:val="20"/>
        </w:rPr>
        <w:t>based</w:t>
      </w:r>
      <w:proofErr w:type="spellEnd"/>
      <w:r w:rsidR="00024371" w:rsidRPr="00024371">
        <w:rPr>
          <w:rFonts w:ascii="Arial" w:hAnsi="Arial" w:cs="Arial"/>
          <w:sz w:val="20"/>
          <w:szCs w:val="20"/>
        </w:rPr>
        <w:t>.</w:t>
      </w:r>
    </w:p>
    <w:p w:rsidR="008408F2" w:rsidRDefault="008408F2">
      <w:pPr>
        <w:rPr>
          <w:rFonts w:ascii="Arial" w:eastAsia="SimSun" w:hAnsi="Arial" w:cs="Arial"/>
          <w:b/>
          <w:bCs/>
          <w:noProof/>
          <w:color w:val="000000"/>
          <w:sz w:val="24"/>
          <w:szCs w:val="24"/>
          <w:lang w:val="en-US" w:eastAsia="zh-CN" w:bidi="en-US"/>
        </w:rPr>
      </w:pPr>
      <w:r>
        <w:rPr>
          <w:rFonts w:ascii="Arial" w:eastAsia="SimSun" w:hAnsi="Arial" w:cs="Arial"/>
          <w:b/>
          <w:bCs/>
          <w:noProof/>
          <w:color w:val="000000"/>
          <w:sz w:val="24"/>
          <w:szCs w:val="24"/>
          <w:lang w:val="en-US" w:eastAsia="zh-CN" w:bidi="en-US"/>
        </w:rPr>
        <w:br w:type="page"/>
      </w:r>
    </w:p>
    <w:p w:rsidR="00740E51" w:rsidRPr="0020110A" w:rsidRDefault="00740E51" w:rsidP="00756060">
      <w:pPr>
        <w:adjustRightInd w:val="0"/>
        <w:snapToGri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20110A">
        <w:rPr>
          <w:rFonts w:ascii="Arial" w:eastAsia="SimSun" w:hAnsi="Arial" w:cs="Arial"/>
          <w:b/>
          <w:bCs/>
          <w:noProof/>
          <w:color w:val="000000"/>
          <w:sz w:val="24"/>
          <w:szCs w:val="24"/>
          <w:lang w:val="en-US" w:eastAsia="zh-CN" w:bidi="en-US"/>
        </w:rPr>
        <w:lastRenderedPageBreak/>
        <w:t>Weighted polygenic risk score</w:t>
      </w:r>
    </w:p>
    <w:p w:rsidR="00740E51" w:rsidRPr="0020110A" w:rsidRDefault="00740E51" w:rsidP="00756060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lang w:val="en-US"/>
        </w:rPr>
      </w:pPr>
    </w:p>
    <w:p w:rsidR="00740E51" w:rsidRPr="0020110A" w:rsidRDefault="00740E51" w:rsidP="00E7541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lang w:val="en-US"/>
        </w:rPr>
      </w:pPr>
      <w:r w:rsidRPr="0020110A">
        <w:rPr>
          <w:rFonts w:ascii="Arial" w:hAnsi="Arial" w:cs="Arial"/>
          <w:snapToGrid w:val="0"/>
          <w:color w:val="000000"/>
          <w:lang w:val="en-US" w:eastAsia="de-DE" w:bidi="en-US"/>
        </w:rPr>
        <w:t xml:space="preserve">The median number of risk alleles in controls, 54, was considered as reference. Cases and controls were grouped considering subjects carrying ≤ 40 risk alleles and ≥ 68 alleles, because of the small number of subjects at these extremes. We detected that the risk score was higher in the cases group compared to the control cohort (OR=1.04; 95%CI 1.02-1.05; P-value= 0.0000). We also observed that there was a 2-fold increase in CRC risk was detected for subjects in the highest </w:t>
      </w:r>
      <w:proofErr w:type="spellStart"/>
      <w:r w:rsidRPr="0020110A">
        <w:rPr>
          <w:rFonts w:ascii="Arial" w:hAnsi="Arial" w:cs="Arial"/>
          <w:snapToGrid w:val="0"/>
          <w:color w:val="000000"/>
          <w:lang w:val="en-US" w:eastAsia="de-DE" w:bidi="en-US"/>
        </w:rPr>
        <w:t>decile</w:t>
      </w:r>
      <w:proofErr w:type="spellEnd"/>
      <w:r w:rsidRPr="0020110A">
        <w:rPr>
          <w:rFonts w:ascii="Arial" w:hAnsi="Arial" w:cs="Arial"/>
          <w:snapToGrid w:val="0"/>
          <w:color w:val="000000"/>
          <w:lang w:val="en-US" w:eastAsia="de-DE" w:bidi="en-US"/>
        </w:rPr>
        <w:t xml:space="preserve"> of risk alleles (≥ 62), compared to those in the first </w:t>
      </w:r>
      <w:proofErr w:type="spellStart"/>
      <w:r w:rsidRPr="0020110A">
        <w:rPr>
          <w:rFonts w:ascii="Arial" w:hAnsi="Arial" w:cs="Arial"/>
          <w:snapToGrid w:val="0"/>
          <w:color w:val="000000"/>
          <w:lang w:val="en-US" w:eastAsia="de-DE" w:bidi="en-US"/>
        </w:rPr>
        <w:t>decile</w:t>
      </w:r>
      <w:proofErr w:type="spellEnd"/>
      <w:r w:rsidRPr="0020110A">
        <w:rPr>
          <w:rFonts w:ascii="Arial" w:hAnsi="Arial" w:cs="Arial"/>
          <w:snapToGrid w:val="0"/>
          <w:color w:val="000000"/>
          <w:lang w:val="en-US" w:eastAsia="de-DE" w:bidi="en-US"/>
        </w:rPr>
        <w:t xml:space="preserve"> (≤ 52</w:t>
      </w:r>
      <w:proofErr w:type="gramStart"/>
      <w:r w:rsidRPr="0020110A">
        <w:rPr>
          <w:rFonts w:ascii="Arial" w:hAnsi="Arial" w:cs="Arial"/>
          <w:snapToGrid w:val="0"/>
          <w:color w:val="000000"/>
          <w:lang w:val="en-US" w:eastAsia="de-DE" w:bidi="en-US"/>
        </w:rPr>
        <w:t>)(</w:t>
      </w:r>
      <w:proofErr w:type="gramEnd"/>
      <w:r w:rsidRPr="0020110A">
        <w:rPr>
          <w:rFonts w:ascii="Arial" w:hAnsi="Arial" w:cs="Arial"/>
          <w:snapToGrid w:val="0"/>
          <w:color w:val="000000"/>
          <w:lang w:val="en-US" w:eastAsia="de-DE" w:bidi="en-US"/>
        </w:rPr>
        <w:t>OR=2.00, 95%CI 1.42-2.81, P-value=0.0001). As shown in Figure S1, the increase in risk per allele was linear, indicating the independent additive contribution of each allele to have a HRL. We also calculated if there was an association between age and sex and PRS but there was none.</w:t>
      </w:r>
    </w:p>
    <w:p w:rsidR="00740E51" w:rsidRPr="0020110A" w:rsidRDefault="00740E51" w:rsidP="00740E5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0110A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603E992" wp14:editId="0F2488B8">
            <wp:extent cx="5400040" cy="4050030"/>
            <wp:effectExtent l="0" t="0" r="0" b="7620"/>
            <wp:docPr id="3" name="Imagen 3" descr="C:\Users\arnau\Desktop\PERIS\PERIS FASE 1 i 2\3_ Analisis\Weighted\GRS_plo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nau\Desktop\PERIS\PERIS FASE 1 i 2\3_ Analisis\Weighted\GRS_plot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51" w:rsidRPr="0020110A" w:rsidRDefault="00740E51" w:rsidP="00756060">
      <w:pPr>
        <w:pStyle w:val="MDPI51figurecaption"/>
        <w:spacing w:before="0" w:after="0"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0110A">
        <w:rPr>
          <w:rFonts w:ascii="Arial" w:hAnsi="Arial" w:cs="Arial"/>
          <w:b/>
          <w:sz w:val="24"/>
          <w:szCs w:val="24"/>
        </w:rPr>
        <w:lastRenderedPageBreak/>
        <w:t xml:space="preserve">Figure S1. </w:t>
      </w:r>
      <w:proofErr w:type="gramStart"/>
      <w:r w:rsidRPr="0020110A">
        <w:rPr>
          <w:rFonts w:ascii="Arial" w:hAnsi="Arial" w:cs="Arial"/>
          <w:sz w:val="24"/>
          <w:szCs w:val="24"/>
        </w:rPr>
        <w:t>Weighted polygenic risk score.</w:t>
      </w:r>
      <w:proofErr w:type="gramEnd"/>
      <w:r w:rsidRPr="002011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110A">
        <w:rPr>
          <w:rFonts w:ascii="Arial" w:hAnsi="Arial" w:cs="Arial"/>
          <w:sz w:val="24"/>
          <w:szCs w:val="24"/>
        </w:rPr>
        <w:t>Distribution of risk by allele number for the 62 SNPs genotyped.</w:t>
      </w:r>
      <w:proofErr w:type="gramEnd"/>
      <w:r w:rsidRPr="0020110A">
        <w:rPr>
          <w:rFonts w:ascii="Arial" w:hAnsi="Arial" w:cs="Arial"/>
          <w:sz w:val="24"/>
          <w:szCs w:val="24"/>
        </w:rPr>
        <w:t xml:space="preserve"> The presence of multiple CRC risk alleles is displayed for SPS cases (bold bars) and controls (stripped bars). </w:t>
      </w:r>
      <w:proofErr w:type="gramStart"/>
      <w:r w:rsidRPr="0020110A">
        <w:rPr>
          <w:rFonts w:ascii="Arial" w:hAnsi="Arial" w:cs="Arial"/>
          <w:sz w:val="24"/>
          <w:szCs w:val="24"/>
        </w:rPr>
        <w:t>OR, odds ratio.</w:t>
      </w:r>
      <w:proofErr w:type="gramEnd"/>
    </w:p>
    <w:p w:rsidR="00740E51" w:rsidRPr="0020110A" w:rsidRDefault="00740E51" w:rsidP="00AC0216">
      <w:pPr>
        <w:pStyle w:val="MDPI51figurecaption"/>
        <w:jc w:val="both"/>
        <w:rPr>
          <w:rFonts w:ascii="Arial" w:hAnsi="Arial" w:cs="Arial"/>
          <w:b/>
        </w:rPr>
      </w:pPr>
      <w:r w:rsidRPr="0020110A">
        <w:rPr>
          <w:rFonts w:ascii="Arial" w:hAnsi="Arial" w:cs="Arial"/>
          <w:b/>
        </w:rPr>
        <w:br w:type="page"/>
      </w:r>
    </w:p>
    <w:p w:rsidR="00740E51" w:rsidRPr="0020110A" w:rsidRDefault="00740E51" w:rsidP="00756060">
      <w:pPr>
        <w:adjustRightInd w:val="0"/>
        <w:snapToGrid w:val="0"/>
        <w:spacing w:after="0" w:line="480" w:lineRule="auto"/>
        <w:jc w:val="both"/>
        <w:rPr>
          <w:rFonts w:ascii="Arial" w:eastAsia="SimSun" w:hAnsi="Arial" w:cs="Arial"/>
          <w:b/>
          <w:bCs/>
          <w:noProof/>
          <w:color w:val="000000"/>
          <w:sz w:val="24"/>
          <w:szCs w:val="24"/>
          <w:lang w:val="en-US" w:eastAsia="zh-CN" w:bidi="en-US"/>
        </w:rPr>
      </w:pPr>
      <w:r w:rsidRPr="0020110A">
        <w:rPr>
          <w:rFonts w:ascii="Arial" w:eastAsia="SimSun" w:hAnsi="Arial" w:cs="Arial"/>
          <w:b/>
          <w:bCs/>
          <w:noProof/>
          <w:color w:val="000000"/>
          <w:sz w:val="24"/>
          <w:szCs w:val="24"/>
          <w:lang w:val="en-US" w:eastAsia="zh-CN" w:bidi="en-US"/>
        </w:rPr>
        <w:lastRenderedPageBreak/>
        <w:t>Polygenic risk score comparing extreme phenotypes</w:t>
      </w:r>
    </w:p>
    <w:p w:rsidR="00740E51" w:rsidRPr="0020110A" w:rsidRDefault="00740E51" w:rsidP="00756060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740E51" w:rsidRPr="0020110A" w:rsidRDefault="00740E51" w:rsidP="00E7541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napToGrid w:val="0"/>
          <w:color w:val="000000"/>
          <w:lang w:val="en-US" w:eastAsia="de-DE" w:bidi="en-US"/>
        </w:rPr>
      </w:pPr>
      <w:r w:rsidRPr="0020110A">
        <w:rPr>
          <w:rFonts w:ascii="Arial" w:hAnsi="Arial" w:cs="Arial"/>
          <w:snapToGrid w:val="0"/>
          <w:color w:val="000000"/>
          <w:lang w:val="en-US" w:eastAsia="de-DE" w:bidi="en-US"/>
        </w:rPr>
        <w:t xml:space="preserve">The median number of risk alleles in controls, 56, was considered as reference. Cases and controls were grouped considering subjects carrying ≤ 46 risk alleles and ≥ 67 alleles, because of the small number of subjects at these extremes. We detected that the risk score was higher in the cases group compared to the control cohort (OR=1.05; 95%CI 1.01-1.08; P-value= 0.0146). We also observed that there was a 3-fold increase in CRC risk was detected for subjects in the highest </w:t>
      </w:r>
      <w:proofErr w:type="spellStart"/>
      <w:r w:rsidRPr="0020110A">
        <w:rPr>
          <w:rFonts w:ascii="Arial" w:hAnsi="Arial" w:cs="Arial"/>
          <w:snapToGrid w:val="0"/>
          <w:color w:val="000000"/>
          <w:lang w:val="en-US" w:eastAsia="de-DE" w:bidi="en-US"/>
        </w:rPr>
        <w:t>decile</w:t>
      </w:r>
      <w:proofErr w:type="spellEnd"/>
      <w:r w:rsidRPr="0020110A">
        <w:rPr>
          <w:rFonts w:ascii="Arial" w:hAnsi="Arial" w:cs="Arial"/>
          <w:snapToGrid w:val="0"/>
          <w:color w:val="000000"/>
          <w:lang w:val="en-US" w:eastAsia="de-DE" w:bidi="en-US"/>
        </w:rPr>
        <w:t xml:space="preserve"> of risk alleles (≥ 64), compared to those in the first </w:t>
      </w:r>
      <w:proofErr w:type="spellStart"/>
      <w:r w:rsidRPr="0020110A">
        <w:rPr>
          <w:rFonts w:ascii="Arial" w:hAnsi="Arial" w:cs="Arial"/>
          <w:snapToGrid w:val="0"/>
          <w:color w:val="000000"/>
          <w:lang w:val="en-US" w:eastAsia="de-DE" w:bidi="en-US"/>
        </w:rPr>
        <w:t>decile</w:t>
      </w:r>
      <w:proofErr w:type="spellEnd"/>
      <w:r w:rsidRPr="0020110A">
        <w:rPr>
          <w:rFonts w:ascii="Arial" w:hAnsi="Arial" w:cs="Arial"/>
          <w:snapToGrid w:val="0"/>
          <w:color w:val="000000"/>
          <w:lang w:val="en-US" w:eastAsia="de-DE" w:bidi="en-US"/>
        </w:rPr>
        <w:t xml:space="preserve"> (≤ 51</w:t>
      </w:r>
      <w:proofErr w:type="gramStart"/>
      <w:r w:rsidRPr="0020110A">
        <w:rPr>
          <w:rFonts w:ascii="Arial" w:hAnsi="Arial" w:cs="Arial"/>
          <w:snapToGrid w:val="0"/>
          <w:color w:val="000000"/>
          <w:lang w:val="en-US" w:eastAsia="de-DE" w:bidi="en-US"/>
        </w:rPr>
        <w:t>)(</w:t>
      </w:r>
      <w:proofErr w:type="gramEnd"/>
      <w:r w:rsidRPr="0020110A">
        <w:rPr>
          <w:rFonts w:ascii="Arial" w:hAnsi="Arial" w:cs="Arial"/>
          <w:snapToGrid w:val="0"/>
          <w:color w:val="000000"/>
          <w:lang w:val="en-US" w:eastAsia="de-DE" w:bidi="en-US"/>
        </w:rPr>
        <w:t>OR=3.15, 95%CI 1.06 -9.41, P-value=0.0395). As shown in Figure S2, the increase in risk per allele was linear, indicating the independent additive contribution of each allele to have a HRL. We also calculated if there was an association between age and sex and PRS but there was none.</w:t>
      </w:r>
    </w:p>
    <w:p w:rsidR="00740E51" w:rsidRPr="0020110A" w:rsidRDefault="00740E51" w:rsidP="00740E5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20110A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079DA5EE" wp14:editId="45F35FF2">
            <wp:extent cx="5295332" cy="3971498"/>
            <wp:effectExtent l="0" t="0" r="635" b="0"/>
            <wp:docPr id="4" name="Imagen 4" descr="C:\Users\arnau\Desktop\PERIS\PERIS FASE 1 i 2\3_ Analisis\Unweighted_ Extremar fenotips\Extremar fenotips\GRS_plo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nau\Desktop\PERIS\PERIS FASE 1 i 2\3_ Analisis\Unweighted_ Extremar fenotips\Extremar fenotips\GRS_plot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348" cy="39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51" w:rsidRPr="001D5DDB" w:rsidRDefault="00740E51" w:rsidP="001D5DDB">
      <w:pPr>
        <w:pStyle w:val="MDPI51figurecaption"/>
        <w:spacing w:before="0"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110A">
        <w:rPr>
          <w:rFonts w:ascii="Arial" w:hAnsi="Arial" w:cs="Arial"/>
          <w:b/>
          <w:sz w:val="24"/>
          <w:szCs w:val="24"/>
        </w:rPr>
        <w:lastRenderedPageBreak/>
        <w:t xml:space="preserve">Figure S2. </w:t>
      </w:r>
      <w:r w:rsidRPr="0020110A">
        <w:rPr>
          <w:rFonts w:ascii="Arial" w:hAnsi="Arial" w:cs="Arial"/>
          <w:sz w:val="24"/>
          <w:szCs w:val="24"/>
        </w:rPr>
        <w:t xml:space="preserve">Genetic risk score. </w:t>
      </w:r>
      <w:proofErr w:type="gramStart"/>
      <w:r w:rsidRPr="0020110A">
        <w:rPr>
          <w:rFonts w:ascii="Arial" w:hAnsi="Arial" w:cs="Arial"/>
          <w:sz w:val="24"/>
          <w:szCs w:val="24"/>
        </w:rPr>
        <w:t>Distribution of risk by allele number for the 62 SNPs genotyped comparing extreme phenotypes</w:t>
      </w:r>
      <w:r w:rsidR="005B5C4A">
        <w:rPr>
          <w:rFonts w:ascii="Arial" w:hAnsi="Arial" w:cs="Arial"/>
          <w:sz w:val="24"/>
          <w:szCs w:val="24"/>
        </w:rPr>
        <w:t xml:space="preserve"> (negative colonoscopy vs. CRC/HRL)</w:t>
      </w:r>
      <w:r w:rsidRPr="0020110A">
        <w:rPr>
          <w:rFonts w:ascii="Arial" w:hAnsi="Arial" w:cs="Arial"/>
          <w:sz w:val="24"/>
          <w:szCs w:val="24"/>
        </w:rPr>
        <w:t>.</w:t>
      </w:r>
      <w:proofErr w:type="gramEnd"/>
      <w:r w:rsidRPr="0020110A">
        <w:rPr>
          <w:rFonts w:ascii="Arial" w:hAnsi="Arial" w:cs="Arial"/>
          <w:sz w:val="24"/>
          <w:szCs w:val="24"/>
        </w:rPr>
        <w:t xml:space="preserve"> The presence of multiple CRC risk alleles is displayed for SPS cases (bold bars) and controls (stri</w:t>
      </w:r>
      <w:r w:rsidR="001D5DDB">
        <w:rPr>
          <w:rFonts w:ascii="Arial" w:hAnsi="Arial" w:cs="Arial"/>
          <w:sz w:val="24"/>
          <w:szCs w:val="24"/>
        </w:rPr>
        <w:t xml:space="preserve">pped bars). </w:t>
      </w:r>
      <w:proofErr w:type="gramStart"/>
      <w:r w:rsidR="001D5DDB">
        <w:rPr>
          <w:rFonts w:ascii="Arial" w:hAnsi="Arial" w:cs="Arial"/>
          <w:sz w:val="24"/>
          <w:szCs w:val="24"/>
        </w:rPr>
        <w:t>OR, odds ratio.</w:t>
      </w:r>
      <w:proofErr w:type="gramEnd"/>
    </w:p>
    <w:p w:rsidR="00740E51" w:rsidRPr="0020110A" w:rsidRDefault="00740E51" w:rsidP="00740E51">
      <w:pPr>
        <w:rPr>
          <w:rFonts w:ascii="Arial" w:eastAsia="Times New Roman" w:hAnsi="Arial" w:cs="Arial"/>
          <w:b/>
          <w:bCs/>
          <w:color w:val="000000"/>
          <w:lang w:val="en-US" w:eastAsia="ca-ES"/>
        </w:rPr>
      </w:pPr>
      <w:r w:rsidRPr="0020110A">
        <w:rPr>
          <w:rFonts w:ascii="Arial" w:hAnsi="Arial" w:cs="Arial"/>
          <w:b/>
          <w:bCs/>
          <w:color w:val="000000"/>
          <w:lang w:val="en-US"/>
        </w:rPr>
        <w:br w:type="page"/>
      </w:r>
    </w:p>
    <w:p w:rsidR="00740E51" w:rsidRPr="0020110A" w:rsidRDefault="00740E51" w:rsidP="00756060">
      <w:pPr>
        <w:adjustRightInd w:val="0"/>
        <w:snapToGrid w:val="0"/>
        <w:spacing w:after="0" w:line="480" w:lineRule="auto"/>
        <w:jc w:val="both"/>
        <w:rPr>
          <w:rFonts w:ascii="Arial" w:eastAsia="SimSun" w:hAnsi="Arial" w:cs="Arial"/>
          <w:b/>
          <w:bCs/>
          <w:noProof/>
          <w:color w:val="000000"/>
          <w:sz w:val="24"/>
          <w:szCs w:val="24"/>
          <w:lang w:val="en-US" w:eastAsia="zh-CN" w:bidi="en-US"/>
        </w:rPr>
      </w:pPr>
      <w:r w:rsidRPr="0020110A">
        <w:rPr>
          <w:rFonts w:ascii="Arial" w:eastAsia="SimSun" w:hAnsi="Arial" w:cs="Arial"/>
          <w:b/>
          <w:bCs/>
          <w:noProof/>
          <w:color w:val="000000"/>
          <w:sz w:val="24"/>
          <w:szCs w:val="24"/>
          <w:lang w:val="en-US" w:eastAsia="zh-CN" w:bidi="en-US"/>
        </w:rPr>
        <w:lastRenderedPageBreak/>
        <w:t>Development and validation of a predictive model for colorectal cancer screening</w:t>
      </w:r>
    </w:p>
    <w:p w:rsidR="00756060" w:rsidRPr="0020110A" w:rsidRDefault="00756060" w:rsidP="00756060">
      <w:pPr>
        <w:adjustRightInd w:val="0"/>
        <w:snapToGrid w:val="0"/>
        <w:spacing w:after="0" w:line="480" w:lineRule="auto"/>
        <w:jc w:val="both"/>
        <w:rPr>
          <w:rFonts w:ascii="Arial" w:eastAsia="SimSun" w:hAnsi="Arial" w:cs="Arial"/>
          <w:bCs/>
          <w:noProof/>
          <w:color w:val="000000"/>
          <w:sz w:val="24"/>
          <w:szCs w:val="24"/>
          <w:lang w:val="en-US" w:eastAsia="zh-CN" w:bidi="en-US"/>
        </w:rPr>
      </w:pPr>
    </w:p>
    <w:p w:rsidR="00740E51" w:rsidRPr="0020110A" w:rsidRDefault="00740E51" w:rsidP="00740E5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20110A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55B095EC" wp14:editId="72746B3A">
            <wp:extent cx="5400040" cy="5400040"/>
            <wp:effectExtent l="0" t="0" r="0" b="0"/>
            <wp:docPr id="1" name="Imagen 1" descr="C:\Users\arnau\Desktop\PERIS\PERIS FASE 1 i 2\3_ Analisis\Unweighted_ Extremar fenotips\Extremar fenotips\AU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au\Desktop\PERIS\PERIS FASE 1 i 2\3_ Analisis\Unweighted_ Extremar fenotips\Extremar fenotips\AUC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1F" w:rsidRDefault="00740E51" w:rsidP="008408F2">
      <w:pPr>
        <w:pStyle w:val="MDPI51figurecaption"/>
        <w:spacing w:before="0" w:after="0"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0110A">
        <w:rPr>
          <w:rFonts w:ascii="Arial" w:hAnsi="Arial" w:cs="Arial"/>
          <w:b/>
          <w:sz w:val="24"/>
          <w:szCs w:val="24"/>
        </w:rPr>
        <w:t xml:space="preserve">Figure S3. </w:t>
      </w:r>
      <w:proofErr w:type="gramStart"/>
      <w:r w:rsidRPr="0020110A">
        <w:rPr>
          <w:rFonts w:ascii="Arial" w:hAnsi="Arial" w:cs="Arial"/>
          <w:sz w:val="24"/>
          <w:szCs w:val="24"/>
        </w:rPr>
        <w:t>Area under the curve (AUROC) of the different predictive models comparing extreme phenotypes.</w:t>
      </w:r>
      <w:proofErr w:type="gramEnd"/>
      <w:r w:rsidRPr="0020110A">
        <w:rPr>
          <w:rFonts w:ascii="Arial" w:hAnsi="Arial" w:cs="Arial"/>
          <w:sz w:val="24"/>
          <w:szCs w:val="24"/>
        </w:rPr>
        <w:t xml:space="preserve"> AUROC, Area </w:t>
      </w:r>
      <w:proofErr w:type="gramStart"/>
      <w:r w:rsidRPr="0020110A">
        <w:rPr>
          <w:rFonts w:ascii="Arial" w:hAnsi="Arial" w:cs="Arial"/>
          <w:sz w:val="24"/>
          <w:szCs w:val="24"/>
        </w:rPr>
        <w:t>Under</w:t>
      </w:r>
      <w:proofErr w:type="gramEnd"/>
      <w:r w:rsidRPr="0020110A">
        <w:rPr>
          <w:rFonts w:ascii="Arial" w:hAnsi="Arial" w:cs="Arial"/>
          <w:sz w:val="24"/>
          <w:szCs w:val="24"/>
        </w:rPr>
        <w:t xml:space="preserve"> de Curve; CI, confidence interval.</w:t>
      </w:r>
    </w:p>
    <w:sectPr w:rsidR="00E75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72" w:rsidRDefault="00D90F72" w:rsidP="002D4C0A">
      <w:pPr>
        <w:spacing w:after="0" w:line="240" w:lineRule="auto"/>
      </w:pPr>
      <w:r>
        <w:separator/>
      </w:r>
    </w:p>
  </w:endnote>
  <w:endnote w:type="continuationSeparator" w:id="0">
    <w:p w:rsidR="00D90F72" w:rsidRDefault="00D90F72" w:rsidP="002D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67372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24371" w:rsidRPr="008D6F8A" w:rsidRDefault="00024371">
        <w:pPr>
          <w:pStyle w:val="Piedepgina"/>
          <w:jc w:val="center"/>
          <w:rPr>
            <w:rFonts w:ascii="Arial" w:hAnsi="Arial" w:cs="Arial"/>
          </w:rPr>
        </w:pPr>
        <w:r w:rsidRPr="008D6F8A">
          <w:rPr>
            <w:rFonts w:ascii="Arial" w:hAnsi="Arial" w:cs="Arial"/>
          </w:rPr>
          <w:fldChar w:fldCharType="begin"/>
        </w:r>
        <w:r w:rsidRPr="008D6F8A">
          <w:rPr>
            <w:rFonts w:ascii="Arial" w:hAnsi="Arial" w:cs="Arial"/>
          </w:rPr>
          <w:instrText>PAGE   \* MERGEFORMAT</w:instrText>
        </w:r>
        <w:r w:rsidRPr="008D6F8A">
          <w:rPr>
            <w:rFonts w:ascii="Arial" w:hAnsi="Arial" w:cs="Arial"/>
          </w:rPr>
          <w:fldChar w:fldCharType="separate"/>
        </w:r>
        <w:r w:rsidR="00A4254B" w:rsidRPr="00A4254B">
          <w:rPr>
            <w:rFonts w:ascii="Arial" w:hAnsi="Arial" w:cs="Arial"/>
            <w:noProof/>
            <w:lang w:val="es-ES"/>
          </w:rPr>
          <w:t>1</w:t>
        </w:r>
        <w:r w:rsidRPr="008D6F8A">
          <w:rPr>
            <w:rFonts w:ascii="Arial" w:hAnsi="Arial" w:cs="Arial"/>
          </w:rPr>
          <w:fldChar w:fldCharType="end"/>
        </w:r>
      </w:p>
    </w:sdtContent>
  </w:sdt>
  <w:p w:rsidR="00024371" w:rsidRDefault="000243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72" w:rsidRDefault="00D90F72" w:rsidP="002D4C0A">
      <w:pPr>
        <w:spacing w:after="0" w:line="240" w:lineRule="auto"/>
      </w:pPr>
      <w:r>
        <w:separator/>
      </w:r>
    </w:p>
  </w:footnote>
  <w:footnote w:type="continuationSeparator" w:id="0">
    <w:p w:rsidR="00D90F72" w:rsidRDefault="00D90F72" w:rsidP="002D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772"/>
    <w:multiLevelType w:val="hybridMultilevel"/>
    <w:tmpl w:val="01BE263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76EC"/>
    <w:multiLevelType w:val="hybridMultilevel"/>
    <w:tmpl w:val="F0EAC3D2"/>
    <w:lvl w:ilvl="0" w:tplc="EDBCC534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DE0F49"/>
    <w:multiLevelType w:val="hybridMultilevel"/>
    <w:tmpl w:val="64FA287A"/>
    <w:lvl w:ilvl="0" w:tplc="0DA863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3FFB"/>
    <w:multiLevelType w:val="hybridMultilevel"/>
    <w:tmpl w:val="603E95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11092"/>
    <w:multiLevelType w:val="hybridMultilevel"/>
    <w:tmpl w:val="01BE263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648B7"/>
    <w:multiLevelType w:val="hybridMultilevel"/>
    <w:tmpl w:val="0A4EBD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B53CF"/>
    <w:multiLevelType w:val="hybridMultilevel"/>
    <w:tmpl w:val="09B60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C64F8"/>
    <w:multiLevelType w:val="hybridMultilevel"/>
    <w:tmpl w:val="895C0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71726"/>
    <w:multiLevelType w:val="multilevel"/>
    <w:tmpl w:val="99F4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F54CF"/>
    <w:multiLevelType w:val="hybridMultilevel"/>
    <w:tmpl w:val="A35A3C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51"/>
    <w:rsid w:val="00024371"/>
    <w:rsid w:val="00081041"/>
    <w:rsid w:val="00092441"/>
    <w:rsid w:val="001D5DDB"/>
    <w:rsid w:val="0020110A"/>
    <w:rsid w:val="00216506"/>
    <w:rsid w:val="002278C8"/>
    <w:rsid w:val="002D4C0A"/>
    <w:rsid w:val="003C5237"/>
    <w:rsid w:val="003E3105"/>
    <w:rsid w:val="003F587E"/>
    <w:rsid w:val="00463647"/>
    <w:rsid w:val="005B5C4A"/>
    <w:rsid w:val="00604798"/>
    <w:rsid w:val="006E525F"/>
    <w:rsid w:val="00740E51"/>
    <w:rsid w:val="00756060"/>
    <w:rsid w:val="008408F2"/>
    <w:rsid w:val="0089678D"/>
    <w:rsid w:val="008D2811"/>
    <w:rsid w:val="008D6F8A"/>
    <w:rsid w:val="0097165E"/>
    <w:rsid w:val="00983060"/>
    <w:rsid w:val="00993255"/>
    <w:rsid w:val="00A40895"/>
    <w:rsid w:val="00A4254B"/>
    <w:rsid w:val="00AC0216"/>
    <w:rsid w:val="00AE24BF"/>
    <w:rsid w:val="00C0412C"/>
    <w:rsid w:val="00C505A8"/>
    <w:rsid w:val="00C87398"/>
    <w:rsid w:val="00CC5196"/>
    <w:rsid w:val="00D90F72"/>
    <w:rsid w:val="00D962A7"/>
    <w:rsid w:val="00E355C7"/>
    <w:rsid w:val="00E7541F"/>
    <w:rsid w:val="00EF089F"/>
    <w:rsid w:val="00F65892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6affiliation">
    <w:name w:val="MDPI_1.6_affiliation"/>
    <w:basedOn w:val="Normal"/>
    <w:qFormat/>
    <w:rsid w:val="00740E51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character" w:styleId="Hipervnculo">
    <w:name w:val="Hyperlink"/>
    <w:basedOn w:val="Fuentedeprrafopredeter"/>
    <w:uiPriority w:val="99"/>
    <w:unhideWhenUsed/>
    <w:rsid w:val="00740E51"/>
    <w:rPr>
      <w:color w:val="0000FF"/>
      <w:u w:val="single"/>
    </w:rPr>
  </w:style>
  <w:style w:type="paragraph" w:customStyle="1" w:styleId="COSTNormal">
    <w:name w:val="COST_Normal"/>
    <w:basedOn w:val="Normal"/>
    <w:autoRedefine/>
    <w:qFormat/>
    <w:rsid w:val="00740E51"/>
    <w:pPr>
      <w:spacing w:after="0" w:line="240" w:lineRule="auto"/>
      <w:jc w:val="both"/>
    </w:pPr>
    <w:rPr>
      <w:rFonts w:ascii="Arial" w:eastAsia="MS Mincho" w:hAnsi="Arial" w:cs="Arial"/>
      <w:color w:val="56585B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740E51"/>
    <w:pPr>
      <w:spacing w:line="260" w:lineRule="atLeast"/>
      <w:ind w:left="720"/>
      <w:contextualSpacing/>
      <w:jc w:val="both"/>
    </w:pPr>
    <w:rPr>
      <w:rFonts w:ascii="Arial" w:eastAsiaTheme="minorEastAsia" w:hAnsi="Arial"/>
      <w:color w:val="1F497D" w:themeColor="text2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74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4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40E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E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E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E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E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E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0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51"/>
  </w:style>
  <w:style w:type="paragraph" w:styleId="Piedepgina">
    <w:name w:val="footer"/>
    <w:basedOn w:val="Normal"/>
    <w:link w:val="PiedepginaCar"/>
    <w:uiPriority w:val="99"/>
    <w:unhideWhenUsed/>
    <w:rsid w:val="00740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51"/>
  </w:style>
  <w:style w:type="paragraph" w:styleId="Epgrafe">
    <w:name w:val="caption"/>
    <w:basedOn w:val="Normal"/>
    <w:next w:val="Normal"/>
    <w:uiPriority w:val="35"/>
    <w:unhideWhenUsed/>
    <w:qFormat/>
    <w:rsid w:val="00740E51"/>
    <w:pPr>
      <w:spacing w:line="240" w:lineRule="auto"/>
    </w:pPr>
    <w:rPr>
      <w:b/>
      <w:bCs/>
      <w:color w:val="4F81BD" w:themeColor="accent1"/>
      <w:sz w:val="18"/>
      <w:szCs w:val="18"/>
      <w:lang w:val="en-GB"/>
    </w:rPr>
  </w:style>
  <w:style w:type="paragraph" w:customStyle="1" w:styleId="MDPI62BackMatter">
    <w:name w:val="MDPI_6.2_BackMatter"/>
    <w:qFormat/>
    <w:rsid w:val="00740E5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40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40E51"/>
    <w:rPr>
      <w:rFonts w:ascii="Courier New" w:hAnsi="Courier New" w:cs="Courier New"/>
      <w:color w:val="000000"/>
      <w:sz w:val="20"/>
      <w:szCs w:val="20"/>
      <w:lang w:eastAsia="ca-ES"/>
    </w:rPr>
  </w:style>
  <w:style w:type="paragraph" w:customStyle="1" w:styleId="MDPI42tablebody">
    <w:name w:val="MDPI_4.2_table_body"/>
    <w:qFormat/>
    <w:rsid w:val="003C5237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1tablecaption">
    <w:name w:val="MDPI_4.1_table_caption"/>
    <w:qFormat/>
    <w:rsid w:val="003C5237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31text">
    <w:name w:val="MDPI_3.1_text"/>
    <w:qFormat/>
    <w:rsid w:val="003C5237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51figurecaption">
    <w:name w:val="MDPI_5.1_figure_caption"/>
    <w:qFormat/>
    <w:rsid w:val="00AC0216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6affiliation">
    <w:name w:val="MDPI_1.6_affiliation"/>
    <w:basedOn w:val="Normal"/>
    <w:qFormat/>
    <w:rsid w:val="00740E51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character" w:styleId="Hipervnculo">
    <w:name w:val="Hyperlink"/>
    <w:basedOn w:val="Fuentedeprrafopredeter"/>
    <w:uiPriority w:val="99"/>
    <w:unhideWhenUsed/>
    <w:rsid w:val="00740E51"/>
    <w:rPr>
      <w:color w:val="0000FF"/>
      <w:u w:val="single"/>
    </w:rPr>
  </w:style>
  <w:style w:type="paragraph" w:customStyle="1" w:styleId="COSTNormal">
    <w:name w:val="COST_Normal"/>
    <w:basedOn w:val="Normal"/>
    <w:autoRedefine/>
    <w:qFormat/>
    <w:rsid w:val="00740E51"/>
    <w:pPr>
      <w:spacing w:after="0" w:line="240" w:lineRule="auto"/>
      <w:jc w:val="both"/>
    </w:pPr>
    <w:rPr>
      <w:rFonts w:ascii="Arial" w:eastAsia="MS Mincho" w:hAnsi="Arial" w:cs="Arial"/>
      <w:color w:val="56585B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740E51"/>
    <w:pPr>
      <w:spacing w:line="260" w:lineRule="atLeast"/>
      <w:ind w:left="720"/>
      <w:contextualSpacing/>
      <w:jc w:val="both"/>
    </w:pPr>
    <w:rPr>
      <w:rFonts w:ascii="Arial" w:eastAsiaTheme="minorEastAsia" w:hAnsi="Arial"/>
      <w:color w:val="1F497D" w:themeColor="text2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74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4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40E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E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E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E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E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E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0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51"/>
  </w:style>
  <w:style w:type="paragraph" w:styleId="Piedepgina">
    <w:name w:val="footer"/>
    <w:basedOn w:val="Normal"/>
    <w:link w:val="PiedepginaCar"/>
    <w:uiPriority w:val="99"/>
    <w:unhideWhenUsed/>
    <w:rsid w:val="00740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51"/>
  </w:style>
  <w:style w:type="paragraph" w:styleId="Epgrafe">
    <w:name w:val="caption"/>
    <w:basedOn w:val="Normal"/>
    <w:next w:val="Normal"/>
    <w:uiPriority w:val="35"/>
    <w:unhideWhenUsed/>
    <w:qFormat/>
    <w:rsid w:val="00740E51"/>
    <w:pPr>
      <w:spacing w:line="240" w:lineRule="auto"/>
    </w:pPr>
    <w:rPr>
      <w:b/>
      <w:bCs/>
      <w:color w:val="4F81BD" w:themeColor="accent1"/>
      <w:sz w:val="18"/>
      <w:szCs w:val="18"/>
      <w:lang w:val="en-GB"/>
    </w:rPr>
  </w:style>
  <w:style w:type="paragraph" w:customStyle="1" w:styleId="MDPI62BackMatter">
    <w:name w:val="MDPI_6.2_BackMatter"/>
    <w:qFormat/>
    <w:rsid w:val="00740E5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40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40E51"/>
    <w:rPr>
      <w:rFonts w:ascii="Courier New" w:hAnsi="Courier New" w:cs="Courier New"/>
      <w:color w:val="000000"/>
      <w:sz w:val="20"/>
      <w:szCs w:val="20"/>
      <w:lang w:eastAsia="ca-ES"/>
    </w:rPr>
  </w:style>
  <w:style w:type="paragraph" w:customStyle="1" w:styleId="MDPI42tablebody">
    <w:name w:val="MDPI_4.2_table_body"/>
    <w:qFormat/>
    <w:rsid w:val="003C5237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1tablecaption">
    <w:name w:val="MDPI_4.1_table_caption"/>
    <w:qFormat/>
    <w:rsid w:val="003C5237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31text">
    <w:name w:val="MDPI_3.1_text"/>
    <w:qFormat/>
    <w:rsid w:val="003C5237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51figurecaption">
    <w:name w:val="MDPI_5.1_figure_caption"/>
    <w:qFormat/>
    <w:rsid w:val="00AC0216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CASTELLVI, SERGI (IDIBAPS)</dc:creator>
  <cp:lastModifiedBy>CASTELLVI, SERGI (IDIBAPS)</cp:lastModifiedBy>
  <cp:revision>30</cp:revision>
  <dcterms:created xsi:type="dcterms:W3CDTF">2021-12-11T17:16:00Z</dcterms:created>
  <dcterms:modified xsi:type="dcterms:W3CDTF">2022-04-19T14:15:00Z</dcterms:modified>
</cp:coreProperties>
</file>