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B65C" w14:textId="77777777" w:rsidR="005D7D4B" w:rsidRDefault="005D7D4B" w:rsidP="005D7D4B">
      <w:pPr>
        <w:pStyle w:val="Heading1"/>
        <w:rPr>
          <w:lang w:val="en-US"/>
        </w:rPr>
      </w:pPr>
      <w:r>
        <w:rPr>
          <w:lang w:val="en-US"/>
        </w:rPr>
        <w:t>DATA HARMONIZATION</w:t>
      </w:r>
    </w:p>
    <w:p w14:paraId="1D45AC6F" w14:textId="77777777" w:rsidR="005D7D4B" w:rsidRPr="008C1FD1" w:rsidRDefault="005D7D4B" w:rsidP="005D7D4B">
      <w:pPr>
        <w:spacing w:line="480" w:lineRule="auto"/>
        <w:rPr>
          <w:rFonts w:ascii="Times New Roman" w:hAnsi="Times New Roman" w:cs="Times New Roman"/>
          <w:sz w:val="24"/>
          <w:szCs w:val="24"/>
        </w:rPr>
      </w:pPr>
      <w:r>
        <w:rPr>
          <w:rFonts w:ascii="Times New Roman" w:hAnsi="Times New Roman" w:cs="Times New Roman"/>
          <w:sz w:val="24"/>
          <w:szCs w:val="24"/>
          <w:lang w:val="en-US"/>
        </w:rPr>
        <w:t>We provide detailed examples of data harmonization for data from an epidemiological cancer study (</w:t>
      </w:r>
      <w:proofErr w:type="spellStart"/>
      <w:r>
        <w:rPr>
          <w:rFonts w:ascii="Times New Roman" w:hAnsi="Times New Roman" w:cs="Times New Roman"/>
          <w:sz w:val="24"/>
          <w:szCs w:val="24"/>
          <w:lang w:val="en-US"/>
        </w:rPr>
        <w:t>Ste</w:t>
      </w:r>
      <w:r w:rsidRPr="000B0229">
        <w:rPr>
          <w:rFonts w:ascii="Times New Roman" w:hAnsi="Times New Roman" w:cs="Times New Roman"/>
          <w:sz w:val="24"/>
          <w:szCs w:val="24"/>
          <w:lang w:val="en-US"/>
        </w:rPr>
        <w:t>nehjem</w:t>
      </w:r>
      <w:proofErr w:type="spellEnd"/>
      <w:r>
        <w:rPr>
          <w:rFonts w:ascii="Times New Roman" w:hAnsi="Times New Roman" w:cs="Times New Roman"/>
          <w:sz w:val="24"/>
          <w:szCs w:val="24"/>
          <w:lang w:val="en-US"/>
        </w:rPr>
        <w:t xml:space="preserve"> </w:t>
      </w:r>
      <w:r w:rsidRPr="007A2182">
        <w:rPr>
          <w:rFonts w:ascii="Times New Roman" w:hAnsi="Times New Roman" w:cs="Times New Roman"/>
          <w:i/>
          <w:iCs/>
          <w:sz w:val="24"/>
          <w:szCs w:val="24"/>
          <w:lang w:val="en-US"/>
        </w:rPr>
        <w:t>et al</w:t>
      </w:r>
      <w:r>
        <w:rPr>
          <w:rFonts w:ascii="Times New Roman" w:hAnsi="Times New Roman" w:cs="Times New Roman"/>
          <w:sz w:val="24"/>
          <w:szCs w:val="24"/>
          <w:lang w:val="en-US"/>
        </w:rPr>
        <w:t>., 2015.</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{"citationItems":[{"id":"ITEM-1","itemData":{"DOI":"10.1038/bjc.2015.108","ISSN":"15321827","PMID":"25867262","abstract":"Background:The aim of this work was to examine the risk of lymphohaematopoietic (LH) cancer according to benzene exposure among offshore workers.Methods:Cancer registry data were used to identify 112 cancer cases diagnosed during 1999-2011 in a cohort of 24 917 Norwegian men reporting offshore work between 1965 and 1999. Analyses were conducted according to a stratified case-cohort design with a reference subcohort of 1661 workers. Cox regression was used to estimate hazard ratios with 95% confidence intervals, adjusted for other benzene exposure and smoking.Results:Most workers were exposed to benzene for &lt;15 years. The upper range values of average intensity and cumulative exposure were estimated to 0.040 p.p.m. and 0.948 p.p.m.-years, respectively. Risks were consistently elevated among exposed workers for all LH cancers combined and for most subgroups, although case numbers were small and yielded imprecise risk estimates. There was evidence of dose-related risk patterns according to cumulative exposure for acute myeloid leukaemia (AML), multiple myeloma (MM) (P trends 0.052 and 0.024, respectively), and suggestively so for chronic lymphocytic leukaemia (CLL) according to average intensity (P trend 0.094).Conclusions:Our results support an association between cumulative and intensity metrics of low-level benzene exposure and risk for AML, MM, and suggestively for CLL.","author":[{"dropping-particle":"","family":"Stenehjem","given":"J. S.","non-dropping-particle":"","parse-names":false,"suffix":""},{"dropping-particle":"","family":"Kjærheim","given":"K.","non-dropping-particle":"","parse-names":false,"suffix":""},{"dropping-particle":"","family":"Bråtveit","given":"M.","non-dropping-particle":"","parse-names":false,"suffix":""},{"dropping-particle":"","family":"Samuelsen","given":"S. O.","non-dropping-particle":"","parse-names":false,"suffix":""},{"dropping-particle":"","family":"Barone-Adesi","given":"F.","non-dropping-particle":"","parse-names":false,"suffix":""},{"dropping-particle":"","family":"Rothman","given":"N.","non-dropping-particle":"","parse-names":false,"suffix":""},{"dropping-particle":"","family":"Lan","given":"Q.","non-dropping-particle":"","parse-names":false,"suffix":""},{"dropping-particle":"","family":"Grimsrud","given":"T. K.","non-dropping-particle":"","parse-names":false,"suffix":""}],"container-title":"British Journal of Cancer","id":"ITEM-1","issued":{"date-parts":[["2015"]]},"title":"Benzene exposure and risk of lymphohaematopoietic cancers in 25 000 offshore oil industry workers","type":"article-journal"},"uris":["http://www.mendeley.com/documents/?uuid=682b08f6-fce6-437e-8f96-2460c5ff6403"]}],"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sz w:val="24"/>
          <w:szCs w:val="24"/>
          <w:lang w:val="en-US"/>
        </w:rPr>
        <w:fldChar w:fldCharType="separate"/>
      </w:r>
      <w:r w:rsidRPr="007A2182">
        <w:rPr>
          <w:rFonts w:ascii="Times New Roman" w:hAnsi="Times New Roman" w:cs="Times New Roman"/>
          <w:noProof/>
          <w:sz w:val="24"/>
          <w:szCs w:val="24"/>
          <w:vertAlign w:val="superscript"/>
          <w:lang w:val="en-US"/>
        </w:rPr>
        <w:t>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 biomarker study (Testa </w:t>
      </w:r>
      <w:r w:rsidRPr="007A2182">
        <w:rPr>
          <w:rFonts w:ascii="Times New Roman" w:hAnsi="Times New Roman" w:cs="Times New Roman"/>
          <w:i/>
          <w:iCs/>
          <w:sz w:val="24"/>
          <w:szCs w:val="24"/>
          <w:lang w:val="en-US"/>
        </w:rPr>
        <w:t>et al</w:t>
      </w:r>
      <w:r>
        <w:rPr>
          <w:rFonts w:ascii="Times New Roman" w:hAnsi="Times New Roman" w:cs="Times New Roman"/>
          <w:sz w:val="24"/>
          <w:szCs w:val="24"/>
          <w:lang w:val="en-US"/>
        </w:rPr>
        <w:t>., 2005.</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10.1002/em.20147","ISSN":"0893-6692","author":[{"dropping-particle":"","family":"Testa","given":"A.","non-dropping-particle":"","parse-names":false,"suffix":""},{"dropping-particle":"","family":"Festa","given":"F.","non-dropping-particle":"","parse-names":false,"suffix":""},{"dropping-particle":"","family":"Ranaldi","given":"R.","non-dropping-particle":"","parse-names":false,"suffix":""},{"dropping-particle":"","family":"Giachelia","given":"M.","non-dropping-particle":"","parse-names":false,"suffix":""},{"dropping-particle":"","family":"Tirindelli","given":"D.","non-dropping-particle":"","parse-names":false,"suffix":""},{"dropping-particle":"","family":"Marco","given":"A.","non-dropping-particle":"De","parse-names":false,"suffix":""},{"dropping-particle":"","family":"Owczarek","given":"M.","non-dropping-particle":"","parse-names":false,"suffix":""},{"dropping-particle":"","family":"Guidotti","given":"M.","non-dropping-particle":"","parse-names":false,"suffix":""},{"dropping-particle":"","family":"Cozzi","given":"R.","non-dropping-particle":"","parse-names":false,"suffix":""}],"container-title":"Environmental and Molecular Mutagenesis","id":"ITEM-1","issue":"3","issued":{"date-parts":[["2005","10"]]},"page":"182-188","title":"A multi-biomarker analysis of DNA damage in automobile painters","type":"article-journal","volume":"46"},"uris":["http://www.mendeley.com/documents/?uuid=ff6f146e-edd3-343c-91f6-99d43435fc9b"]}],"mendeley":{"formattedCitation":"&lt;sup&gt;2&lt;/sup&gt;","plainTextFormattedCitation":"2","previouslyFormattedCitation":"&lt;sup&gt;2&lt;/sup&gt;"},"properties":{"noteIndex":0},"schema":"https://github.com/citation-style-language/schema/raw/master/csl-citation.json"}</w:instrText>
      </w:r>
      <w:r>
        <w:rPr>
          <w:rFonts w:ascii="Times New Roman" w:hAnsi="Times New Roman" w:cs="Times New Roman"/>
          <w:sz w:val="24"/>
          <w:szCs w:val="24"/>
          <w:lang w:val="en-US"/>
        </w:rPr>
        <w:fldChar w:fldCharType="separate"/>
      </w:r>
      <w:r w:rsidRPr="007A2182">
        <w:rPr>
          <w:rFonts w:ascii="Times New Roman" w:hAnsi="Times New Roman" w:cs="Times New Roman"/>
          <w:noProof/>
          <w:sz w:val="24"/>
          <w:szCs w:val="24"/>
          <w:vertAlign w:val="superscript"/>
          <w:lang w:val="en-US"/>
        </w:rPr>
        <w:t>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an experimental animal study (Li </w:t>
      </w:r>
      <w:r w:rsidRPr="007A2182">
        <w:rPr>
          <w:rFonts w:ascii="Times New Roman" w:hAnsi="Times New Roman" w:cs="Times New Roman"/>
          <w:i/>
          <w:iCs/>
          <w:sz w:val="24"/>
          <w:szCs w:val="24"/>
          <w:lang w:val="en-US"/>
        </w:rPr>
        <w:t>et al</w:t>
      </w:r>
      <w:r>
        <w:rPr>
          <w:rFonts w:ascii="Times New Roman" w:hAnsi="Times New Roman" w:cs="Times New Roman"/>
          <w:sz w:val="24"/>
          <w:szCs w:val="24"/>
          <w:lang w:val="en-US"/>
        </w:rPr>
        <w:t>., 2006.</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{"citationItems":[{"id":"ITEM-1","itemData":{"DOI":"10.1016/j.exphem.2006.08.005","ISSN":"0301472X","PMID":"17157166","abstract":"Objective: Reactive oxygen species (ROS), generated following benzene exposure, are considered to trigger the development of hematopoietic neoplasms, although little supporting evidence has been found. In this study, we examined whether the experimental elimination of ROS generated following benzene exposure prevents the development of benzene-induced hematopoietic disorders to clarify the mechanism underlying the development of benzene-induced hematopoietic disorders. Methods: C57BL/6 mice, overexpressing human thioredoxin (h-Trx-Tg), were used to examine the possible nullification of ROS induction following benzene exposure. The experimental group was exposed to 300 ppm benzene 6 hours/day, 5 days/week, for 26 weeks, and lifetime observation followed by molecular and histopathological examinations were carried out. Results: The present study using h-Trx-Tg mice showed a complete suppression of the development of thymic lymphoma induced by benzene inhalation (0% in h-Trx-Tg vs 30% in wild-type (Wt) mice). This was associated with a 48% decrease in the incidence of clastogenic micronucleated reticulocyte induction in the h-Trx-Tg mice compared with the Wt control after 2 weeks of inhalation. As underlying mechanisms, the attenuation of oxidative stress was accompanied by a complete abrogation of hemato-lymphoid toxicity, as shown by the upregulation of the activity of superoxide-dismutase, and a consequently stable ROS level, as determined by cell sorting using 2′, 7′-dichlorodihydrofluorescein diacetate, along with a significant attenuation of the overexpression of a cell cycle-dependent kinase inhibitor, p21. Conclusion: The attenuation of benzene-induced oxidative stress and that of the consequent lymphomagenesis were observed for the first time, and these indicate a role of oxidative stress in benzene-induced clastogenesis and lymphomagenesis. (These attenuations were not seen in nonthymic lymphomas, and no leukemias developed in C57BL/6 used in this study.) During the constitutive overexpression of h-Trx, the expression of aryl-hydrocarbon receptor in h-Trx-Tg mice was downregulated, which may also contribute to the attenuation. © 2006 International Society for Experimental Hematology.","author":[{"dropping-particle":"","family":"Li","given":"Guang Xun","non-dropping-particle":"","parse-names":false,"suffix":""},{"dropping-particle":"","family":"Hirabayashi","given":"Yoko","non-dropping-particle":"","parse-names":false,"suffix":""},{"dropping-particle":"Il","family":"Yoon","given":"Byung"</w:instrText>
      </w:r>
      <w:r w:rsidRPr="008C1FD1">
        <w:rPr>
          <w:rFonts w:ascii="Times New Roman" w:hAnsi="Times New Roman" w:cs="Times New Roman"/>
          <w:sz w:val="24"/>
          <w:szCs w:val="24"/>
        </w:rPr>
        <w:instrText>,"non-dropping-particle":"","parse-names":false,"suffix":""},{"dropping-particle":"","family":"Kawasaki","given":"Yasushi","non-dropping-particle":"","parse-names":false,"suffix":""},{"dropping-particle":"","family":"Tsuboi","given":"Isao","non-dropping-particle":"","parse-names":false,"suffix":""},{"dropping-particle":"","family":"Kodama","given":"Yukio","non-dropping-particle":"","parse-names":false,"suffix":""},{"dropping-particle":"","family":"Kurokawa","given":"Yuji","non-dropping-particle":"","parse-names":false,"suffix":""},{"dropping-particle":"","family":"Yodoi","given":"Junji","non-dropping-particle":"","parse-names":false,"suffix":""},{"dropping-particle":"","family":"Kanno","given":"Jun","non-dropping-particle":"","parse-names":false,"suffix":""},{"dropping-particle":"","family":"Inoue","given":"Tohru","non-dropping-particle":"","parse-names":false,"suffix":""}],"container-title":"Experimental Hematology","id":"ITEM-1","issued":{"date-parts":[["2006"]]},"title":"Thioredoxin overexpression in mice, model of attenuation of oxidative stress, prevents benzene-induced hemato-lymphoid toxicity and thymic lymphoma","type":"article-journal"},"uris":["http://www.mendeley.com/documents/?uuid=99fa877c-0333-499f-95d9-76418fef8095"]}],"mendeley":{"formattedCitation":"&lt;sup&gt;3&lt;/sup&gt;","plainTextFormattedCitation":"3","previouslyFormattedCitation":"&lt;sup&gt;3&lt;/sup&gt;"},"properties":{"noteIndex":0},"schema":"https://github.com/citation-style-language/schema/raw/master/csl-citation.json"}</w:instrText>
      </w:r>
      <w:r>
        <w:rPr>
          <w:rFonts w:ascii="Times New Roman" w:hAnsi="Times New Roman" w:cs="Times New Roman"/>
          <w:sz w:val="24"/>
          <w:szCs w:val="24"/>
          <w:lang w:val="en-US"/>
        </w:rPr>
        <w:fldChar w:fldCharType="separate"/>
      </w:r>
      <w:r w:rsidRPr="008C1FD1">
        <w:rPr>
          <w:rFonts w:ascii="Times New Roman" w:hAnsi="Times New Roman" w:cs="Times New Roman"/>
          <w:noProof/>
          <w:sz w:val="24"/>
          <w:szCs w:val="24"/>
          <w:vertAlign w:val="superscript"/>
        </w:rPr>
        <w:t>3</w:t>
      </w:r>
      <w:r>
        <w:rPr>
          <w:rFonts w:ascii="Times New Roman" w:hAnsi="Times New Roman" w:cs="Times New Roman"/>
          <w:sz w:val="24"/>
          <w:szCs w:val="24"/>
          <w:lang w:val="en-US"/>
        </w:rPr>
        <w:fldChar w:fldCharType="end"/>
      </w:r>
      <w:r w:rsidRPr="008C1FD1">
        <w:rPr>
          <w:rFonts w:ascii="Times New Roman" w:hAnsi="Times New Roman" w:cs="Times New Roman"/>
          <w:sz w:val="24"/>
          <w:szCs w:val="24"/>
        </w:rPr>
        <w:t>).</w:t>
      </w:r>
    </w:p>
    <w:p w14:paraId="14F4DCF8" w14:textId="77777777" w:rsidR="005D7D4B" w:rsidRDefault="005D7D4B" w:rsidP="005D7D4B">
      <w:pPr>
        <w:spacing w:line="480" w:lineRule="auto"/>
        <w:rPr>
          <w:rFonts w:ascii="Times New Roman" w:hAnsi="Times New Roman" w:cs="Times New Roman"/>
          <w:sz w:val="24"/>
          <w:szCs w:val="24"/>
          <w:lang w:val="en-US"/>
        </w:rPr>
      </w:pPr>
      <w:proofErr w:type="spellStart"/>
      <w:r w:rsidRPr="008C1FD1">
        <w:rPr>
          <w:rFonts w:ascii="Times New Roman" w:hAnsi="Times New Roman" w:cs="Times New Roman"/>
          <w:sz w:val="24"/>
          <w:szCs w:val="24"/>
        </w:rPr>
        <w:t>Stenehjem</w:t>
      </w:r>
      <w:proofErr w:type="spellEnd"/>
      <w:r w:rsidRPr="008C1FD1">
        <w:rPr>
          <w:rFonts w:ascii="Times New Roman" w:hAnsi="Times New Roman" w:cs="Times New Roman"/>
          <w:sz w:val="24"/>
          <w:szCs w:val="24"/>
        </w:rPr>
        <w:t xml:space="preserve"> </w:t>
      </w:r>
      <w:r w:rsidRPr="008C1FD1">
        <w:rPr>
          <w:rFonts w:ascii="Times New Roman" w:hAnsi="Times New Roman" w:cs="Times New Roman"/>
          <w:i/>
          <w:iCs/>
          <w:sz w:val="24"/>
          <w:szCs w:val="24"/>
        </w:rPr>
        <w:t>et al</w:t>
      </w:r>
      <w:r w:rsidRPr="008C1FD1">
        <w:rPr>
          <w:rFonts w:ascii="Times New Roman" w:hAnsi="Times New Roman" w:cs="Times New Roman"/>
          <w:sz w:val="24"/>
          <w:szCs w:val="24"/>
        </w:rPr>
        <w:t>.</w:t>
      </w:r>
      <w:r>
        <w:rPr>
          <w:rFonts w:ascii="Times New Roman" w:hAnsi="Times New Roman" w:cs="Times New Roman"/>
          <w:sz w:val="24"/>
          <w:szCs w:val="24"/>
          <w:lang w:val="en-US"/>
        </w:rPr>
        <w:fldChar w:fldCharType="begin" w:fldLock="1"/>
      </w:r>
      <w:r>
        <w:rPr>
          <w:rFonts w:ascii="Times New Roman" w:hAnsi="Times New Roman" w:cs="Times New Roman"/>
          <w:sz w:val="24"/>
          <w:szCs w:val="24"/>
        </w:rPr>
        <w:instrText>ADDIN CSL_CITATION {"citationItems":[{"id":"ITEM-1","itemData":{"DOI":"10.1038/bjc.2015.108","ISSN":"15321827","PMID":"25867262","abstract":"Background:The aim of this work was to examine the risk of lymphohaematopoietic (LH) cancer according to benzene exposure among offshore workers.Methods:Cancer registry data were used to identify 112 cancer cases diagnosed during 1999-2011 in a cohort of 24 917 Norwegian men reporting offshore work between 1965 and 1999. Analyses were conducted according to a stratified case-cohort design with a reference subcohort of 1661 workers. Cox regression was used to estimate hazard ratios with 95% confidence intervals, adjusted for other benzene exposure and smoking.Results:Most workers were exposed to benzene for &lt;15 years. The upper range values of average intensity and cumulative exposure were estimated to 0.040 p.p.m. and 0.948 p.p.m.-years, respectively. Risks were consistently elevated among exposed workers for all LH cancers combined and for most subgroups, although case numbers were small and yielded imprecise risk estimates. There was evidence of dose-related risk patterns according to cumulative exposure for acute myeloid leukaemia (AML), multiple myeloma (MM) (P trends 0.052 and 0.024, respectively), and suggestively so for chronic lymphocytic leukaemia (CLL) according to average intensity (P trend 0.094).Conclusions:Our results support an association between cumulative and intensity metrics of low-level benzene exposure and risk for AML, MM, and suggestively for CLL.","author":[{"dropping-particle":"","family":"Stenehjem","given":"J. S.","non-dropping-particle":"","parse-names":false,"suffix":""},{"dropping-particle":"","family":"Kjærheim","given":"K.","non-dropping-particle":"","parse-names":false,"suffix":""},{"dropping-particle":"","family":"Bråtveit","given":"M.","non-dropping-particle":"","parse-names":false,"suffix":""},{"dropping-particle":"","family":"Samuelsen","given":"S. O.","non-dropping-particle":"","parse-names":false,"suffix":""},{"dropping-particle":"","family":"Barone-Adesi","given":"F.","non-dropping-particle":"","parse-names":false,"suffix":""},{"dropping-particle":"","family":"Rothman","given":"N.","non-dropping-particle":"","parse-names":false,"suffix":""},{"dropping-particle":"","family":"Lan","given":"Q.","non-dropping-particle":"","parse-names":false,"suffix":""},{"dropping-particle":"","family":"Grimsrud","given":"T. K.","non-dropping-particle":"","parse-names":false,"suffix":""}],"container-title":"British Journal of Cancer","id":"ITEM-1","issued":{"date-parts":[["2015"]]},"title":"Benzene exposure and risk of lymphohaematopoietic cancers in 25 000 offshore oil industry workers","type":"article-journal"},"uris":["http://www.mendeley.com/documents/?uuid=682b08f6-fce6-437e-8f96-2460c5ff6403"]}],"mendeley":{"formattedCitation":"&lt;sup&gt;1&lt;/sup&gt;","plainTextFormattedCitation":"1","previouslyFormattedCitation":"&lt;sup&gt;1&lt;/sup&gt;"},"properties":{"noteIndex":0},"schema":"https://github.com/citation-style-language/schema/raw/master/csl-citation.json"}</w:instrText>
      </w:r>
      <w:r>
        <w:rPr>
          <w:rFonts w:ascii="Times New Roman" w:hAnsi="Times New Roman" w:cs="Times New Roman"/>
          <w:sz w:val="24"/>
          <w:szCs w:val="24"/>
          <w:lang w:val="en-US"/>
        </w:rPr>
        <w:fldChar w:fldCharType="separate"/>
      </w:r>
      <w:r w:rsidRPr="008C1FD1">
        <w:rPr>
          <w:rFonts w:ascii="Times New Roman" w:hAnsi="Times New Roman" w:cs="Times New Roman"/>
          <w:noProof/>
          <w:sz w:val="24"/>
          <w:szCs w:val="24"/>
          <w:vertAlign w:val="superscript"/>
        </w:rPr>
        <w:t>1</w:t>
      </w:r>
      <w:r>
        <w:rPr>
          <w:rFonts w:ascii="Times New Roman" w:hAnsi="Times New Roman" w:cs="Times New Roman"/>
          <w:sz w:val="24"/>
          <w:szCs w:val="24"/>
          <w:lang w:val="en-US"/>
        </w:rPr>
        <w:fldChar w:fldCharType="end"/>
      </w:r>
      <w:r w:rsidRPr="008C1FD1">
        <w:rPr>
          <w:rFonts w:ascii="Times New Roman" w:hAnsi="Times New Roman" w:cs="Times New Roman"/>
          <w:sz w:val="24"/>
          <w:szCs w:val="24"/>
        </w:rPr>
        <w:t xml:space="preserve"> is part of </w:t>
      </w:r>
      <w:proofErr w:type="spellStart"/>
      <w:r w:rsidRPr="008C1FD1">
        <w:rPr>
          <w:rFonts w:ascii="Times New Roman" w:hAnsi="Times New Roman" w:cs="Times New Roman"/>
          <w:sz w:val="24"/>
          <w:szCs w:val="24"/>
        </w:rPr>
        <w:t>our</w:t>
      </w:r>
      <w:proofErr w:type="spellEnd"/>
      <w:r w:rsidRPr="008C1FD1">
        <w:rPr>
          <w:rFonts w:ascii="Times New Roman" w:hAnsi="Times New Roman" w:cs="Times New Roman"/>
          <w:sz w:val="24"/>
          <w:szCs w:val="24"/>
        </w:rPr>
        <w:t xml:space="preserve"> </w:t>
      </w:r>
      <w:proofErr w:type="spellStart"/>
      <w:r w:rsidRPr="008C1FD1">
        <w:rPr>
          <w:rFonts w:ascii="Times New Roman" w:hAnsi="Times New Roman" w:cs="Times New Roman"/>
          <w:sz w:val="24"/>
          <w:szCs w:val="24"/>
        </w:rPr>
        <w:t>primary</w:t>
      </w:r>
      <w:proofErr w:type="spellEnd"/>
      <w:r w:rsidRPr="008C1FD1">
        <w:rPr>
          <w:rFonts w:ascii="Times New Roman" w:hAnsi="Times New Roman" w:cs="Times New Roman"/>
          <w:sz w:val="24"/>
          <w:szCs w:val="24"/>
        </w:rPr>
        <w:t xml:space="preserve"> set of studies </w:t>
      </w:r>
      <w:proofErr w:type="spellStart"/>
      <w:r w:rsidRPr="008C1FD1">
        <w:rPr>
          <w:rFonts w:ascii="Times New Roman" w:hAnsi="Times New Roman" w:cs="Times New Roman"/>
          <w:sz w:val="24"/>
          <w:szCs w:val="24"/>
        </w:rPr>
        <w:t>that</w:t>
      </w:r>
      <w:proofErr w:type="spellEnd"/>
      <w:r w:rsidRPr="008C1FD1">
        <w:rPr>
          <w:rFonts w:ascii="Times New Roman" w:hAnsi="Times New Roman" w:cs="Times New Roman"/>
          <w:sz w:val="24"/>
          <w:szCs w:val="24"/>
        </w:rPr>
        <w:t xml:space="preserve"> </w:t>
      </w:r>
      <w:proofErr w:type="spellStart"/>
      <w:r w:rsidRPr="008C1FD1">
        <w:rPr>
          <w:rFonts w:ascii="Times New Roman" w:hAnsi="Times New Roman" w:cs="Times New Roman"/>
          <w:sz w:val="24"/>
          <w:szCs w:val="24"/>
        </w:rPr>
        <w:t>directly</w:t>
      </w:r>
      <w:proofErr w:type="spellEnd"/>
      <w:r w:rsidRPr="008C1FD1">
        <w:rPr>
          <w:rFonts w:ascii="Times New Roman" w:hAnsi="Times New Roman" w:cs="Times New Roman"/>
          <w:sz w:val="24"/>
          <w:szCs w:val="24"/>
        </w:rPr>
        <w:t xml:space="preserve"> </w:t>
      </w:r>
      <w:proofErr w:type="spellStart"/>
      <w:r w:rsidRPr="008C1FD1">
        <w:rPr>
          <w:rFonts w:ascii="Times New Roman" w:hAnsi="Times New Roman" w:cs="Times New Roman"/>
          <w:sz w:val="24"/>
          <w:szCs w:val="24"/>
        </w:rPr>
        <w:t>investigated</w:t>
      </w:r>
      <w:proofErr w:type="spellEnd"/>
      <w:r w:rsidRPr="008C1FD1">
        <w:rPr>
          <w:rFonts w:ascii="Times New Roman" w:hAnsi="Times New Roman" w:cs="Times New Roman"/>
          <w:sz w:val="24"/>
          <w:szCs w:val="24"/>
        </w:rPr>
        <w:t xml:space="preserve"> </w:t>
      </w:r>
      <w:proofErr w:type="spellStart"/>
      <w:r w:rsidRPr="008C1FD1">
        <w:rPr>
          <w:rFonts w:ascii="Times New Roman" w:hAnsi="Times New Roman" w:cs="Times New Roman"/>
          <w:sz w:val="24"/>
          <w:szCs w:val="24"/>
        </w:rPr>
        <w:t>the</w:t>
      </w:r>
      <w:proofErr w:type="spellEnd"/>
      <w:r w:rsidRPr="008C1FD1">
        <w:rPr>
          <w:rFonts w:ascii="Times New Roman" w:hAnsi="Times New Roman" w:cs="Times New Roman"/>
          <w:sz w:val="24"/>
          <w:szCs w:val="24"/>
        </w:rPr>
        <w:t xml:space="preserve"> exposure-response </w:t>
      </w:r>
      <w:proofErr w:type="spellStart"/>
      <w:r w:rsidRPr="008C1FD1">
        <w:rPr>
          <w:rFonts w:ascii="Times New Roman" w:hAnsi="Times New Roman" w:cs="Times New Roman"/>
          <w:sz w:val="24"/>
          <w:szCs w:val="24"/>
        </w:rPr>
        <w:t>relation</w:t>
      </w:r>
      <w:proofErr w:type="spellEnd"/>
      <w:r w:rsidRPr="008C1FD1">
        <w:rPr>
          <w:rFonts w:ascii="Times New Roman" w:hAnsi="Times New Roman" w:cs="Times New Roman"/>
          <w:sz w:val="24"/>
          <w:szCs w:val="24"/>
        </w:rPr>
        <w:t xml:space="preserve"> </w:t>
      </w:r>
      <w:proofErr w:type="spellStart"/>
      <w:r w:rsidRPr="008C1FD1">
        <w:rPr>
          <w:rFonts w:ascii="Times New Roman" w:hAnsi="Times New Roman" w:cs="Times New Roman"/>
          <w:sz w:val="24"/>
          <w:szCs w:val="24"/>
        </w:rPr>
        <w:t>between</w:t>
      </w:r>
      <w:proofErr w:type="spellEnd"/>
      <w:r w:rsidRPr="008C1FD1">
        <w:rPr>
          <w:rFonts w:ascii="Times New Roman" w:hAnsi="Times New Roman" w:cs="Times New Roman"/>
          <w:sz w:val="24"/>
          <w:szCs w:val="24"/>
        </w:rPr>
        <w:t xml:space="preserve"> benzene and AML </w:t>
      </w:r>
      <w:proofErr w:type="spellStart"/>
      <w:r w:rsidRPr="008C1FD1">
        <w:rPr>
          <w:rFonts w:ascii="Times New Roman" w:hAnsi="Times New Roman" w:cs="Times New Roman"/>
          <w:sz w:val="24"/>
          <w:szCs w:val="24"/>
        </w:rPr>
        <w:t>incidence</w:t>
      </w:r>
      <w:proofErr w:type="spellEnd"/>
      <w:r w:rsidRPr="008C1FD1">
        <w:rPr>
          <w:rFonts w:ascii="Times New Roman" w:hAnsi="Times New Roman" w:cs="Times New Roman"/>
          <w:sz w:val="24"/>
          <w:szCs w:val="24"/>
        </w:rPr>
        <w:t xml:space="preserve">. </w:t>
      </w:r>
      <w:r>
        <w:rPr>
          <w:rFonts w:ascii="Times New Roman" w:hAnsi="Times New Roman" w:cs="Times New Roman"/>
          <w:sz w:val="24"/>
          <w:szCs w:val="24"/>
          <w:lang w:val="en-US"/>
        </w:rPr>
        <w:t>The authors e</w:t>
      </w:r>
      <w:r w:rsidRPr="000B0229">
        <w:rPr>
          <w:rFonts w:ascii="Times New Roman" w:hAnsi="Times New Roman" w:cs="Times New Roman"/>
          <w:sz w:val="24"/>
          <w:szCs w:val="24"/>
          <w:lang w:val="en-US"/>
        </w:rPr>
        <w:t>xamine</w:t>
      </w:r>
      <w:r>
        <w:rPr>
          <w:rFonts w:ascii="Times New Roman" w:hAnsi="Times New Roman" w:cs="Times New Roman"/>
          <w:sz w:val="24"/>
          <w:szCs w:val="24"/>
          <w:lang w:val="en-US"/>
        </w:rPr>
        <w:t>d</w:t>
      </w:r>
      <w:r w:rsidRPr="000B0229">
        <w:rPr>
          <w:rFonts w:ascii="Times New Roman" w:hAnsi="Times New Roman" w:cs="Times New Roman"/>
          <w:sz w:val="24"/>
          <w:szCs w:val="24"/>
          <w:lang w:val="en-US"/>
        </w:rPr>
        <w:t xml:space="preserve"> the </w:t>
      </w:r>
      <w:r>
        <w:rPr>
          <w:rFonts w:ascii="Times New Roman" w:hAnsi="Times New Roman" w:cs="Times New Roman"/>
          <w:sz w:val="24"/>
          <w:szCs w:val="24"/>
          <w:lang w:val="en-US"/>
        </w:rPr>
        <w:t>incidence</w:t>
      </w:r>
      <w:r w:rsidRPr="000B0229">
        <w:rPr>
          <w:rFonts w:ascii="Times New Roman" w:hAnsi="Times New Roman" w:cs="Times New Roman"/>
          <w:sz w:val="24"/>
          <w:szCs w:val="24"/>
          <w:lang w:val="en-US"/>
        </w:rPr>
        <w:t xml:space="preserve"> of lympho</w:t>
      </w:r>
      <w:r>
        <w:rPr>
          <w:rFonts w:ascii="Times New Roman" w:hAnsi="Times New Roman" w:cs="Times New Roman"/>
          <w:sz w:val="24"/>
          <w:szCs w:val="24"/>
          <w:lang w:val="en-US"/>
        </w:rPr>
        <w:t>-</w:t>
      </w:r>
      <w:proofErr w:type="spellStart"/>
      <w:r w:rsidRPr="000B0229">
        <w:rPr>
          <w:rFonts w:ascii="Times New Roman" w:hAnsi="Times New Roman" w:cs="Times New Roman"/>
          <w:sz w:val="24"/>
          <w:szCs w:val="24"/>
          <w:lang w:val="en-US"/>
        </w:rPr>
        <w:t>haematopoietic</w:t>
      </w:r>
      <w:proofErr w:type="spellEnd"/>
      <w:r w:rsidRPr="000B0229">
        <w:rPr>
          <w:rFonts w:ascii="Times New Roman" w:hAnsi="Times New Roman" w:cs="Times New Roman"/>
          <w:sz w:val="24"/>
          <w:szCs w:val="24"/>
          <w:lang w:val="en-US"/>
        </w:rPr>
        <w:t xml:space="preserve"> cancer</w:t>
      </w:r>
      <w:r>
        <w:rPr>
          <w:rFonts w:ascii="Times New Roman" w:hAnsi="Times New Roman" w:cs="Times New Roman"/>
          <w:sz w:val="24"/>
          <w:szCs w:val="24"/>
          <w:lang w:val="en-US"/>
        </w:rPr>
        <w:t>s</w:t>
      </w:r>
      <w:r w:rsidRPr="000B0229">
        <w:rPr>
          <w:rFonts w:ascii="Times New Roman" w:hAnsi="Times New Roman" w:cs="Times New Roman"/>
          <w:sz w:val="24"/>
          <w:szCs w:val="24"/>
          <w:lang w:val="en-US"/>
        </w:rPr>
        <w:t xml:space="preserve"> </w:t>
      </w:r>
      <w:r>
        <w:rPr>
          <w:rFonts w:ascii="Times New Roman" w:hAnsi="Times New Roman" w:cs="Times New Roman"/>
          <w:sz w:val="24"/>
          <w:szCs w:val="24"/>
          <w:lang w:val="en-US"/>
        </w:rPr>
        <w:t>due</w:t>
      </w:r>
      <w:r w:rsidRPr="000B0229">
        <w:rPr>
          <w:rFonts w:ascii="Times New Roman" w:hAnsi="Times New Roman" w:cs="Times New Roman"/>
          <w:sz w:val="24"/>
          <w:szCs w:val="24"/>
          <w:lang w:val="en-US"/>
        </w:rPr>
        <w:t xml:space="preserve"> to benzene exposure</w:t>
      </w:r>
      <w:r>
        <w:rPr>
          <w:rFonts w:ascii="Times New Roman" w:hAnsi="Times New Roman" w:cs="Times New Roman"/>
          <w:sz w:val="24"/>
          <w:szCs w:val="24"/>
          <w:lang w:val="en-US"/>
        </w:rPr>
        <w:t xml:space="preserve"> </w:t>
      </w:r>
      <w:r w:rsidRPr="000B0229">
        <w:rPr>
          <w:rFonts w:ascii="Times New Roman" w:hAnsi="Times New Roman" w:cs="Times New Roman"/>
          <w:sz w:val="24"/>
          <w:szCs w:val="24"/>
          <w:lang w:val="en-US"/>
        </w:rPr>
        <w:t>among</w:t>
      </w:r>
      <w:r>
        <w:rPr>
          <w:rFonts w:ascii="Times New Roman" w:hAnsi="Times New Roman" w:cs="Times New Roman"/>
          <w:sz w:val="24"/>
          <w:szCs w:val="24"/>
          <w:lang w:val="en-US"/>
        </w:rPr>
        <w:t xml:space="preserve"> 24,917</w:t>
      </w:r>
      <w:r w:rsidRPr="000B022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male </w:t>
      </w:r>
      <w:r w:rsidRPr="000B0229">
        <w:rPr>
          <w:rFonts w:ascii="Times New Roman" w:hAnsi="Times New Roman" w:cs="Times New Roman"/>
          <w:sz w:val="24"/>
          <w:szCs w:val="24"/>
          <w:lang w:val="en-US"/>
        </w:rPr>
        <w:t xml:space="preserve">offshore </w:t>
      </w:r>
      <w:r>
        <w:rPr>
          <w:rFonts w:ascii="Times New Roman" w:hAnsi="Times New Roman" w:cs="Times New Roman"/>
          <w:sz w:val="24"/>
          <w:szCs w:val="24"/>
          <w:lang w:val="en-US"/>
        </w:rPr>
        <w:t xml:space="preserve">oil </w:t>
      </w:r>
      <w:r w:rsidRPr="000B0229">
        <w:rPr>
          <w:rFonts w:ascii="Times New Roman" w:hAnsi="Times New Roman" w:cs="Times New Roman"/>
          <w:sz w:val="24"/>
          <w:szCs w:val="24"/>
          <w:lang w:val="en-US"/>
        </w:rPr>
        <w:t>workers</w:t>
      </w:r>
      <w:r>
        <w:rPr>
          <w:rFonts w:ascii="Times New Roman" w:hAnsi="Times New Roman" w:cs="Times New Roman"/>
          <w:sz w:val="24"/>
          <w:szCs w:val="24"/>
          <w:lang w:val="en-US"/>
        </w:rPr>
        <w:t xml:space="preserve"> followed during 1999-2011</w:t>
      </w:r>
      <w:r w:rsidRPr="000B0229">
        <w:rPr>
          <w:rFonts w:ascii="Times New Roman" w:hAnsi="Times New Roman" w:cs="Times New Roman"/>
          <w:sz w:val="24"/>
          <w:szCs w:val="24"/>
          <w:lang w:val="en-US"/>
        </w:rPr>
        <w:t>.</w:t>
      </w:r>
      <w:r>
        <w:rPr>
          <w:rFonts w:ascii="Times New Roman" w:hAnsi="Times New Roman" w:cs="Times New Roman"/>
          <w:sz w:val="24"/>
          <w:szCs w:val="24"/>
          <w:lang w:val="en-US"/>
        </w:rPr>
        <w:t xml:space="preserve"> The authors provide hazard ratios (HRs) and 95% confidence intervals (95%CIs) for three categories of cumulative benzene exposure in ppm-years when compared to unexposed workers. These can be directly used to calculate estimates for the </w:t>
      </w:r>
      <w:proofErr w:type="spellStart"/>
      <w:r>
        <w:rPr>
          <w:rFonts w:ascii="Times New Roman" w:hAnsi="Times New Roman" w:cs="Times New Roman"/>
          <w:sz w:val="24"/>
          <w:szCs w:val="24"/>
          <w:lang w:val="en-US"/>
        </w:rPr>
        <w:t>logRR</w:t>
      </w:r>
      <w:proofErr w:type="spellEnd"/>
      <w:r>
        <w:rPr>
          <w:rFonts w:ascii="Times New Roman" w:hAnsi="Times New Roman" w:cs="Times New Roman"/>
          <w:sz w:val="24"/>
          <w:szCs w:val="24"/>
          <w:lang w:val="en-US"/>
        </w:rPr>
        <w:t xml:space="preserve"> and its standard error by log-transforming reported HRs and 95%CIs as is customarily done for meta-analyses. The (3x3) covariance matrix for the combined set of </w:t>
      </w:r>
      <w:proofErr w:type="spellStart"/>
      <w:r>
        <w:rPr>
          <w:rFonts w:ascii="Times New Roman" w:hAnsi="Times New Roman" w:cs="Times New Roman"/>
          <w:sz w:val="24"/>
          <w:szCs w:val="24"/>
          <w:lang w:val="en-US"/>
        </w:rPr>
        <w:t>logRRs</w:t>
      </w:r>
      <w:proofErr w:type="spellEnd"/>
      <w:r>
        <w:rPr>
          <w:rFonts w:ascii="Times New Roman" w:hAnsi="Times New Roman" w:cs="Times New Roman"/>
          <w:sz w:val="24"/>
          <w:szCs w:val="24"/>
          <w:lang w:val="en-US"/>
        </w:rPr>
        <w:t xml:space="preserve"> was estimated using the approach outlined by Greenland and </w:t>
      </w:r>
      <w:proofErr w:type="spellStart"/>
      <w:r>
        <w:rPr>
          <w:rFonts w:ascii="Times New Roman" w:hAnsi="Times New Roman" w:cs="Times New Roman"/>
          <w:sz w:val="24"/>
          <w:szCs w:val="24"/>
          <w:lang w:val="en-US"/>
        </w:rPr>
        <w:t>Longnecker</w:t>
      </w:r>
      <w:proofErr w:type="spellEnd"/>
      <w:r>
        <w:rPr>
          <w:rFonts w:ascii="Times New Roman" w:hAnsi="Times New Roman" w:cs="Times New Roman"/>
          <w:sz w:val="24"/>
          <w:szCs w:val="24"/>
          <w:lang w:val="en-US"/>
        </w:rPr>
        <w:t xml:space="preserve"> (1992)</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{"citationItems":[{"id":"ITEM-1","itemData":{"DOI":"10.1093/oxfordjournals.aje.a116237","ISSN":"00029262","abstract":"Meta-analysis often requires pooling of correlated estimates to compute regression slopes (trends) across different exposure or treatment levels. The authors propose two methods that account for the correlations but require only the summary estimates and marginal data from the studies. These methods provide more efficient estimates of regression slope, more accurate variance estimates, and more valid heterogeneity tests than those previously available. One method also allows estimation of nonlinear trend components, such as quadratic effects. The authors illustrate these methods in a meta-analysis of alcohol use and breast cancer.","author":[{"dropping-particle":"","family":"Greenland","given":"Sander","non-dropping-particle":"","parse-names":false,"suffix":""},{"dropping-particle":"","family":"Longnecker","given":"Matthew P.","non-dropping-particle":"","parse-names":false,"suffix":""}],"container-title":"American Journal of Epidemiology","id":"ITEM-1","issued":{"date-parts":[["1992"]]},"title":"Methods for trend estimation from summarized dose-response data, with applications to meta-analysis","type":"article-journal"},"uris":["http://www.mendeley.com/documents/?uuid=909771ab-b0d0-4aa5-bf16-d6a0dc2a191f"]}],"mendeley":{"formattedCitation":"&lt;sup&gt;4&lt;/sup&gt;","plainTextFormattedCitation":"4","previouslyFormattedCitation":"&lt;sup&gt;4&lt;/sup&gt;"},"properties":{"noteIndex":0},"schema":"https://github.com/citation-style-language/schema/raw/master/csl-citation.json"}</w:instrText>
      </w:r>
      <w:r>
        <w:rPr>
          <w:rFonts w:ascii="Times New Roman" w:hAnsi="Times New Roman" w:cs="Times New Roman"/>
          <w:sz w:val="24"/>
          <w:szCs w:val="24"/>
          <w:lang w:val="en-US"/>
        </w:rPr>
        <w:fldChar w:fldCharType="separate"/>
      </w:r>
      <w:r w:rsidRPr="007A2182">
        <w:rPr>
          <w:rFonts w:ascii="Times New Roman" w:hAnsi="Times New Roman" w:cs="Times New Roman"/>
          <w:noProof/>
          <w:sz w:val="24"/>
          <w:szCs w:val="24"/>
          <w:vertAlign w:val="superscript"/>
          <w:lang w:val="en-US"/>
        </w:rPr>
        <w:t>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implemented in the </w:t>
      </w:r>
      <w:proofErr w:type="spellStart"/>
      <w:r w:rsidRPr="007978DC">
        <w:rPr>
          <w:rFonts w:ascii="Times New Roman" w:hAnsi="Times New Roman" w:cs="Times New Roman"/>
          <w:i/>
          <w:iCs/>
          <w:sz w:val="24"/>
          <w:szCs w:val="24"/>
          <w:lang w:val="en-US"/>
        </w:rPr>
        <w:t>covar.logrr</w:t>
      </w:r>
      <w:proofErr w:type="spellEnd"/>
      <w:r>
        <w:rPr>
          <w:rFonts w:ascii="Times New Roman" w:hAnsi="Times New Roman" w:cs="Times New Roman"/>
          <w:sz w:val="24"/>
          <w:szCs w:val="24"/>
          <w:lang w:val="en-US"/>
        </w:rPr>
        <w:t xml:space="preserve"> function from the </w:t>
      </w:r>
      <w:proofErr w:type="spellStart"/>
      <w:r w:rsidRPr="007978DC">
        <w:rPr>
          <w:rFonts w:ascii="Times New Roman" w:hAnsi="Times New Roman" w:cs="Times New Roman"/>
          <w:i/>
          <w:iCs/>
          <w:sz w:val="24"/>
          <w:szCs w:val="24"/>
          <w:lang w:val="en-US"/>
        </w:rPr>
        <w:t>dosresmeta</w:t>
      </w:r>
      <w:proofErr w:type="spellEnd"/>
      <w:r>
        <w:rPr>
          <w:rFonts w:ascii="Times New Roman" w:hAnsi="Times New Roman" w:cs="Times New Roman"/>
          <w:sz w:val="24"/>
          <w:szCs w:val="24"/>
          <w:lang w:val="en-US"/>
        </w:rPr>
        <w:t xml:space="preserve"> R package. To use this function, the user is required to provide additional details on the number of cases and the total number of subjects or person-years of follow-up, which were available from the paper by </w:t>
      </w:r>
      <w:proofErr w:type="spellStart"/>
      <w:r w:rsidRPr="00AF2B0E">
        <w:rPr>
          <w:rFonts w:ascii="Times New Roman" w:hAnsi="Times New Roman" w:cs="Times New Roman"/>
          <w:sz w:val="24"/>
          <w:szCs w:val="24"/>
          <w:lang w:val="en-US"/>
        </w:rPr>
        <w:t>Stenehjem</w:t>
      </w:r>
      <w:proofErr w:type="spellEnd"/>
      <w:r w:rsidRPr="00AF2B0E">
        <w:rPr>
          <w:rFonts w:ascii="Times New Roman" w:hAnsi="Times New Roman" w:cs="Times New Roman"/>
          <w:sz w:val="24"/>
          <w:szCs w:val="24"/>
          <w:lang w:val="en-US"/>
        </w:rPr>
        <w:t xml:space="preserve"> </w:t>
      </w:r>
      <w:r w:rsidRPr="00810A33">
        <w:rPr>
          <w:rFonts w:ascii="Times New Roman" w:hAnsi="Times New Roman"/>
          <w:i/>
          <w:sz w:val="24"/>
          <w:lang w:val="en-US"/>
        </w:rPr>
        <w:t>et al</w:t>
      </w:r>
      <w:r w:rsidRPr="00810A33">
        <w:rPr>
          <w:rFonts w:ascii="Times New Roman" w:hAnsi="Times New Roman" w:cs="Times New Roman"/>
          <w:i/>
          <w:iCs/>
          <w:sz w:val="24"/>
          <w:szCs w:val="24"/>
          <w:lang w:val="en-US"/>
        </w:rPr>
        <w:t>.</w:t>
      </w:r>
      <w:r w:rsidRPr="00AF2B0E">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{"citationItems":[{"id":"ITEM-1","itemData":{"DOI":"10.1038/bjc.2015.108","ISSN":"15321827","PMID":"25867262","abstract":"Background:The aim of this work was to examine the risk of lymphohaematopoietic (LH) cancer according to benzene exposure among offshore workers.Methods:Cancer registry data were used to identify 112 cancer cases diagnosed during 1999-2011 in a cohort of 24 917 Norwegian men reporting offshore work between 1965 and 1999. Analyses were conducted according to a stratified case-cohort design with a reference subcohort of 1661 workers. Cox regression was used to estimate hazard ratios with 95% confidence intervals, adjusted for other benzene exposure and smoking.Results:Most workers were exposed to benzene for &lt;15 years. The upper range values of average intensity and cumulative exposure were estimated to 0.040 p.p.m. and 0.948 p.p.m.-years, respectively. Risks were consistently elevated among exposed workers for all LH cancers combined and for most subgroups, although case numbers were small and yielded imprecise risk estimates. There was evidence of dose-related risk patterns according to cumulative exposure for acute myeloid leukaemia (AML), multiple myeloma (MM) (P trends 0.052 and 0.024, respectively), and suggestively so for chronic lymphocytic leukaemia (CLL) according to average intensity (P trend 0.094).Conclusions:Our results support an association between cumulative and intensity metrics of low-level benzene exposure and risk for AML, MM, and suggestively for CLL.","author":[{"dropping-particle":"","family":"Stenehjem","given":"J. S.","non-dropping-particle":"","parse-names":false,"suffix":""},{"dropping-particle":"","family":"Kjærheim","given":"K.","non-dropping-particle":"","parse-names":false,"suffix":""},{"dropping-particle":"","family":"Bråtveit","given":"M.","non-dropping-particle":"","parse-names":false,"suffix":""},{"dropping-particle":"","family":"Samuelsen","given":"S. O.","non-dropping-particle":"","parse-names":false,"suffix":""},{"dropping-particle":"","family":"Barone-Adesi","given":"F.","non-dropping-particle":"","parse-names":false,"suffix":""},{"dropping-particle":"","family":"Rothman","given":"N.","non-dropping-particle":"","parse-names":false,"suffix":""},{"dropping-particle":"","family":"Lan","given":"Q.","non-dropping-particle":"","parse-names":false,"suffix":""},{"dropping-particle":"","family":"Grimsrud","given":"T. K.","non-dropping-particle":"","parse-names":false,"suffix":""}],"container-title":"British Journal of Cancer","id":"ITEM-1","issued":{"date-parts":[["2015"]]},"title":"Benzene exposure and risk of lymphohaematopoietic cancers in 25 000 offshore oil industry workers","type":"article-journal"},"uris":["http://www.mendeley.com/documents/?uuid=682b08f6-fce6-437e-8f96-2460c5ff6403"]}],"mendeley":{"formattedCitation":"&lt;sup&gt;1&lt;/sup&gt;","plainTextFormattedCitation":"1","previouslyFormattedCitation":"&lt;sup&gt;1&lt;/sup&gt;"},"properties":{"noteIndex":0},"schema":"https://github.com/citation-style-language/schema/raw/master/csl-citation.json"}</w:instrText>
      </w:r>
      <w:r w:rsidRPr="00AF2B0E">
        <w:rPr>
          <w:rFonts w:ascii="Times New Roman" w:hAnsi="Times New Roman" w:cs="Times New Roman"/>
          <w:sz w:val="24"/>
          <w:szCs w:val="24"/>
          <w:lang w:val="en-US"/>
        </w:rPr>
        <w:fldChar w:fldCharType="separate"/>
      </w:r>
      <w:r w:rsidRPr="007A2182">
        <w:rPr>
          <w:rFonts w:ascii="Times New Roman" w:hAnsi="Times New Roman" w:cs="Times New Roman"/>
          <w:noProof/>
          <w:sz w:val="24"/>
          <w:szCs w:val="24"/>
          <w:vertAlign w:val="superscript"/>
          <w:lang w:val="en-US"/>
        </w:rPr>
        <w:t>1</w:t>
      </w:r>
      <w:r w:rsidRPr="00AF2B0E">
        <w:rPr>
          <w:rFonts w:ascii="Times New Roman" w:hAnsi="Times New Roman" w:cs="Times New Roman"/>
          <w:sz w:val="24"/>
          <w:szCs w:val="24"/>
          <w:lang w:val="en-US"/>
        </w:rPr>
        <w:fldChar w:fldCharType="end"/>
      </w:r>
      <w:r w:rsidRPr="00AF2B0E">
        <w:rPr>
          <w:rFonts w:ascii="Times New Roman" w:hAnsi="Times New Roman" w:cs="Times New Roman"/>
          <w:sz w:val="24"/>
          <w:szCs w:val="24"/>
          <w:lang w:val="en-US"/>
        </w:rPr>
        <w:t>.</w:t>
      </w:r>
      <w:r>
        <w:rPr>
          <w:rFonts w:ascii="Times New Roman" w:hAnsi="Times New Roman" w:cs="Times New Roman"/>
          <w:sz w:val="24"/>
          <w:szCs w:val="24"/>
          <w:lang w:val="en-US"/>
        </w:rPr>
        <w:t xml:space="preserve"> Data harmonization steps for studies included in the leukemia set were the same as those used for the AML set.</w:t>
      </w:r>
    </w:p>
    <w:p w14:paraId="10CDC3E1" w14:textId="77777777" w:rsidR="005D7D4B" w:rsidRDefault="005D7D4B" w:rsidP="005D7D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Testa</w:t>
      </w:r>
      <w:r w:rsidRPr="009714E3">
        <w:rPr>
          <w:rFonts w:ascii="Times New Roman" w:hAnsi="Times New Roman" w:cs="Times New Roman"/>
          <w:sz w:val="24"/>
          <w:szCs w:val="24"/>
          <w:lang w:val="en-US"/>
        </w:rPr>
        <w:t xml:space="preserve"> </w:t>
      </w:r>
      <w:r w:rsidRPr="00810A33">
        <w:rPr>
          <w:rFonts w:ascii="Times New Roman" w:hAnsi="Times New Roman"/>
          <w:i/>
          <w:sz w:val="24"/>
          <w:lang w:val="en-US"/>
        </w:rPr>
        <w:t>et al.</w:t>
      </w:r>
      <w:r>
        <w:rPr>
          <w:rFonts w:ascii="Times New Roman" w:hAnsi="Times New Roman"/>
          <w:i/>
          <w:sz w:val="24"/>
          <w:lang w:val="en-US"/>
        </w:rPr>
        <w:fldChar w:fldCharType="begin" w:fldLock="1"/>
      </w:r>
      <w:r>
        <w:rPr>
          <w:rFonts w:ascii="Times New Roman" w:hAnsi="Times New Roman"/>
          <w:i/>
          <w:sz w:val="24"/>
          <w:lang w:val="en-US"/>
        </w:rPr>
        <w:instrText>ADDIN CSL_CITATION {"citationItems":[{"id":"ITEM-1","itemData":{"DOI":"10.1002/em.20147","ISSN":"0893-6692","author":[{"dropping-particle":"","family":"Testa","given":"A.","non-dropping-particle":"","parse-names":false,"suffix":""},{"dropping-particle":"","family":"Festa","given":"F.","non-dropping-particle":"","parse-names":false,"suffix":""},{"dropping-particle":"","family":"Ranaldi","given":"R.","non-dropping-particle":"","parse-names":false,"suffix":""},{"dropping-particle":"","family":"Giachelia","given":"M.","non-dropping-particle":"","parse-names":false,"suffix":""},{"dropping-particle":"","family":"Tirindelli","given":"D.","non-dropping-particle":"","parse-names":false,"suffix":""},{"dropping-particle":"","family":"Marco","given":"A.","non-dropping-particle":"De","parse-names":false,"suffix":""},{"dropping-particle":"","family":"Owczarek","given":"M.","non-dropping-particle":"","parse-names":false,"suffix":""},{"dropping-particle":"","family":"Guidotti","given":"M.","non-dropping-particle":"","parse-names":false,"suffix":""},{"dropping-particle":"","family":"Cozzi","given":"R.","non-dropping-particle":"","parse-names":false,"suffix":""}],"container-title":"Environmental and Molecular Mutagenesis","id":"ITEM-1","issue":"3","issued":{"date-parts":[["2005","10"]]},"page":"182-188","title":"A multi-biomarker analysis of DNA damage in automobile painters","type":"article-journal","volume":"46"},"uris":["http://www.mendeley.com/documents/?uuid=ff6f146e-edd3-343c-91f6-99d43435fc9b"]}],"mendeley":{"formattedCitation":"&lt;sup&gt;2&lt;/sup&gt;","plainTextFormattedCitation":"2","previouslyFormattedCitation":"&lt;sup&gt;2&lt;/sup&gt;"},"properties":{"noteIndex":0},"schema":"https://github.com/citation-style-language/schema/raw/master/csl-citation.json"}</w:instrText>
      </w:r>
      <w:r>
        <w:rPr>
          <w:rFonts w:ascii="Times New Roman" w:hAnsi="Times New Roman"/>
          <w:i/>
          <w:sz w:val="24"/>
          <w:lang w:val="en-US"/>
        </w:rPr>
        <w:fldChar w:fldCharType="separate"/>
      </w:r>
      <w:r w:rsidRPr="008C1FD1">
        <w:rPr>
          <w:rFonts w:ascii="Times New Roman" w:hAnsi="Times New Roman"/>
          <w:noProof/>
          <w:sz w:val="24"/>
          <w:vertAlign w:val="superscript"/>
          <w:lang w:val="en-US"/>
        </w:rPr>
        <w:t>2</w:t>
      </w:r>
      <w:r>
        <w:rPr>
          <w:rFonts w:ascii="Times New Roman" w:hAnsi="Times New Roman"/>
          <w:i/>
          <w:sz w:val="24"/>
          <w:lang w:val="en-US"/>
        </w:rPr>
        <w:fldChar w:fldCharType="end"/>
      </w:r>
      <w:r w:rsidRPr="009714E3">
        <w:rPr>
          <w:rFonts w:ascii="Times New Roman" w:hAnsi="Times New Roman" w:cs="Times New Roman"/>
          <w:sz w:val="24"/>
          <w:szCs w:val="24"/>
          <w:lang w:val="en-US"/>
        </w:rPr>
        <w:t xml:space="preserve"> </w:t>
      </w:r>
      <w:r w:rsidRPr="00FC3173">
        <w:rPr>
          <w:rFonts w:ascii="Times New Roman" w:hAnsi="Times New Roman" w:cs="Times New Roman"/>
          <w:sz w:val="24"/>
          <w:szCs w:val="24"/>
          <w:lang w:val="en-US"/>
        </w:rPr>
        <w:t xml:space="preserve">studied </w:t>
      </w:r>
      <w:r>
        <w:rPr>
          <w:rFonts w:ascii="Times New Roman" w:hAnsi="Times New Roman" w:cs="Times New Roman"/>
          <w:sz w:val="24"/>
          <w:szCs w:val="24"/>
          <w:lang w:val="en-US"/>
        </w:rPr>
        <w:t>chromosomal aberration frequencies (a cancer biomarker) in 62 benzene exposed workers. Benzene exposure was monitored using stationary sampling and expressed as a time-weighted average (TWA) exposure level. The prevalence of chromosomal aberrations was assessed in (at least) 200 metaphases and reported as the proportion of aberrations. For the controls this was 1.08% (</w:t>
      </w:r>
      <w:proofErr w:type="spellStart"/>
      <w:r>
        <w:rPr>
          <w:rFonts w:ascii="Times New Roman" w:hAnsi="Times New Roman" w:cs="Times New Roman"/>
          <w:sz w:val="24"/>
          <w:szCs w:val="24"/>
          <w:lang w:val="en-US"/>
        </w:rPr>
        <w:t>sd</w:t>
      </w:r>
      <w:proofErr w:type="spellEnd"/>
      <w:r>
        <w:rPr>
          <w:rFonts w:ascii="Times New Roman" w:hAnsi="Times New Roman" w:cs="Times New Roman"/>
          <w:sz w:val="24"/>
          <w:szCs w:val="24"/>
          <w:lang w:val="en-US"/>
        </w:rPr>
        <w:t>: 0.81%) and for exposed workers 2.52% (</w:t>
      </w:r>
      <w:proofErr w:type="spellStart"/>
      <w:r>
        <w:rPr>
          <w:rFonts w:ascii="Times New Roman" w:hAnsi="Times New Roman" w:cs="Times New Roman"/>
          <w:sz w:val="24"/>
          <w:szCs w:val="24"/>
          <w:lang w:val="en-US"/>
        </w:rPr>
        <w:t>sd</w:t>
      </w:r>
      <w:proofErr w:type="spellEnd"/>
      <w:r>
        <w:rPr>
          <w:rFonts w:ascii="Times New Roman" w:hAnsi="Times New Roman" w:cs="Times New Roman"/>
          <w:sz w:val="24"/>
          <w:szCs w:val="24"/>
          <w:lang w:val="en-US"/>
        </w:rPr>
        <w:t xml:space="preserve">: 1.58%). Cumulative benzene exposure was estimated by multiplying the reported average exposure for exposed workers with the duration of exposure. A </w:t>
      </w:r>
      <w:proofErr w:type="spellStart"/>
      <w:r>
        <w:rPr>
          <w:rFonts w:ascii="Times New Roman" w:hAnsi="Times New Roman" w:cs="Times New Roman"/>
          <w:sz w:val="24"/>
          <w:szCs w:val="24"/>
          <w:lang w:val="en-US"/>
        </w:rPr>
        <w:t>logRR</w:t>
      </w:r>
      <w:proofErr w:type="spellEnd"/>
      <w:r>
        <w:rPr>
          <w:rFonts w:ascii="Times New Roman" w:hAnsi="Times New Roman" w:cs="Times New Roman"/>
          <w:sz w:val="24"/>
          <w:szCs w:val="24"/>
          <w:lang w:val="en-US"/>
        </w:rPr>
        <w:t xml:space="preserve"> was estimated by </w:t>
      </w:r>
      <w:r>
        <w:rPr>
          <w:rFonts w:ascii="Times New Roman" w:hAnsi="Times New Roman" w:cs="Times New Roman"/>
          <w:sz w:val="24"/>
          <w:szCs w:val="24"/>
          <w:lang w:val="en-US"/>
        </w:rPr>
        <w:lastRenderedPageBreak/>
        <w:t xml:space="preserve">subtracting the log-transformed average proportion of aberrations in unexposed workers (controls) from that in exposed workers. The SE was estimated by applying the delta rule to standard errors of the reported average proportions to account for the log-transformation and standard variance rules for the difference between two independent random variables. Data harmonization steps for other studies in the CA and MN sets were similar. For the (few) studies that included multiple exposure levels, the full covariance matrix of </w:t>
      </w:r>
      <w:proofErr w:type="spellStart"/>
      <w:r>
        <w:rPr>
          <w:rFonts w:ascii="Times New Roman" w:hAnsi="Times New Roman" w:cs="Times New Roman"/>
          <w:sz w:val="24"/>
          <w:szCs w:val="24"/>
          <w:lang w:val="en-US"/>
        </w:rPr>
        <w:t>logRRs</w:t>
      </w:r>
      <w:proofErr w:type="spellEnd"/>
      <w:r>
        <w:rPr>
          <w:rFonts w:ascii="Times New Roman" w:hAnsi="Times New Roman" w:cs="Times New Roman"/>
          <w:sz w:val="24"/>
          <w:szCs w:val="24"/>
          <w:lang w:val="en-US"/>
        </w:rPr>
        <w:t xml:space="preserve"> was estimated using the same approach as for AML and leukemia.</w:t>
      </w:r>
    </w:p>
    <w:p w14:paraId="40E0418A" w14:textId="77777777" w:rsidR="005D7D4B" w:rsidRDefault="005D7D4B" w:rsidP="005D7D4B">
      <w:pPr>
        <w:spacing w:line="480" w:lineRule="auto"/>
        <w:rPr>
          <w:rFonts w:ascii="Times New Roman" w:hAnsi="Times New Roman" w:cs="Times New Roman"/>
          <w:sz w:val="24"/>
          <w:szCs w:val="24"/>
          <w:lang w:val="en-US"/>
        </w:rPr>
      </w:pPr>
      <w:r w:rsidRPr="008C1FD1">
        <w:rPr>
          <w:rFonts w:ascii="Times New Roman" w:hAnsi="Times New Roman" w:cs="Times New Roman"/>
          <w:sz w:val="24"/>
          <w:szCs w:val="24"/>
        </w:rPr>
        <w:t xml:space="preserve">Li </w:t>
      </w:r>
      <w:r w:rsidRPr="008C1FD1">
        <w:rPr>
          <w:rFonts w:ascii="Times New Roman" w:hAnsi="Times New Roman"/>
          <w:i/>
          <w:sz w:val="24"/>
        </w:rPr>
        <w:t>et al.</w:t>
      </w:r>
      <w:r>
        <w:rPr>
          <w:rFonts w:ascii="Times New Roman" w:hAnsi="Times New Roman" w:cs="Times New Roman"/>
          <w:sz w:val="24"/>
          <w:szCs w:val="24"/>
          <w:lang w:val="en-US"/>
        </w:rPr>
        <w:fldChar w:fldCharType="begin" w:fldLock="1"/>
      </w:r>
      <w:r w:rsidRPr="008C1FD1">
        <w:rPr>
          <w:rFonts w:ascii="Times New Roman" w:hAnsi="Times New Roman" w:cs="Times New Roman"/>
          <w:sz w:val="24"/>
          <w:szCs w:val="24"/>
        </w:rPr>
        <w:instrText>ADDIN CSL_CITATION {"citationItems":[{"id":"ITEM-1","itemData":{"DOI":"10.1016/j.exphem.2006.08.005","ISSN":"0301472X","PMID":"17157166","abstract":"Objective: Reactive oxygen species (ROS), generated following benzene exposure, are considered to trigger the development of hematopoietic neoplasms, although little supporting evidence has been found. In this study, we examined whether the experimental elimination of ROS generated following benzene exposure prevents the development of benzene-induced hematopoietic disorders to clarify the mechanism underlying the development of benzene-induced hematopoietic disorders. Methods: C57BL/6 mice, overexpressing human thioredoxin (h-Trx-Tg), were used to examine the possible nullification of ROS induction following benzene exposure. The experimental group was exposed to 300 ppm benzene 6 hours/day, 5 days/week, for 26 weeks, and lifetime observation followed by molecular and histopathological examinations were carried out. Results: The present study using h-Trx-Tg mice showed a complete suppression of the development of thymic lymphoma induced by benzene inhalation (0% in h-Trx-Tg vs 30% in wild-type (Wt) mice). This was associated with a 48% decrease in the incidence of clastogenic micronucleated reticulocyte induction in the h-Trx-Tg mice compared with the Wt control after 2 weeks of inhalation. As underlying mechanisms, the attenuation of oxidative stress was accompanied by a complete abrogation of hemato-lymphoid toxicity, as shown by the upregulation of the activity of superoxide-dismutase, and a consequently stable ROS level, as determined by cell sorting using 2′, 7′-dichlorodihydrofluorescein diacetate, along with a significant attenuation of the overexpression of a cell cycle-dependent kinase inhibitor, p21. Conclusion: The attenuation of benzene-induced oxidative stress and that of the consequent lymphomagenesis were observed for the first time, and these indicate a role of oxidative stress in benzene-induced clastogenesis and lymphomagenesis. (These attenuations were not seen in nonthymic lymphomas, and no leukemias developed in C57BL/6 used in this study.) During the constitutive overexpression of h-Trx, the expression of aryl-hydrocarbon receptor in h-Trx-Tg mice was downregulated, which may also contribute to the attenuation. © 2006 International Society for Experimental Hematology.","author":[{"dropping-particle":"","family":"Li","given":"Guang Xun","non-dropping-particle":"","parse-names":false,"suffix":""},{"dropping-particle":"","family":"Hirabayashi","given":"Yoko","non-dropping-particle":"","parse-names":false,"suffix":""},{"dropping-particle":"Il","family":"Yoon","given":"Byung","non-dropping-particle":"","parse-names":false,"suffix":""},{"dropping-particle":"","family":"Kawasaki","given":"Yasushi","non-dropping-particle":"","parse-names":false,"suffix":""},{"dropping-particle":"","family":"Tsuboi","given":"Isao","non-dropping-particle":"","parse-names":false,"suffix":""},{"dropping-particle":"","family":"Kodama","given":"Yukio","non-dropping-particle":"","parse-names":false,"suffix":""},{"dropping-particle":"","family":"Kurokawa","given":"Yuji","non-dropping-particle":"","parse-names":false,"suffix":""},{"dropping-particle":"","family":"Yodoi","given":"Junji","non-dropping-particle":"","parse-names":false,"suffix":""},{"dropping-particle":"","family":"Kanno","given":"Jun","non-dropping-particle":"","parse-names":false,"suffix":""},{"dropping-particle":"","family":"Inoue","given":"Tohru","non-dropping-particle":"","parse-names":false,"suffix":""}],"container-title":"Experimental Hematology","id":"ITEM-1","issued":{"date-parts":[["2006"]]},"title":"Thioredoxin overexpression in mice, model of attenuation of oxidative stress, prevents benzene-induced hemato-lymphoid toxicity and thymic lymphoma","type":"article-journal"},"uris":["http://www.mendeley.com/documents/?uuid=99fa877c-0333-499f-95d9-76418fef8095"]}],"mendeley":{"formattedCitation":"&lt;sup&gt;3&lt;/sup&gt;","plainTextFormattedCitation":"3"},"properties":{"noteIndex":0},"schema":"https://github.com/citation-style-language/schema/raw/master/csl-citation.json"}</w:instrText>
      </w:r>
      <w:r>
        <w:rPr>
          <w:rFonts w:ascii="Times New Roman" w:hAnsi="Times New Roman" w:cs="Times New Roman"/>
          <w:sz w:val="24"/>
          <w:szCs w:val="24"/>
          <w:lang w:val="en-US"/>
        </w:rPr>
        <w:fldChar w:fldCharType="separate"/>
      </w:r>
      <w:r w:rsidRPr="008C1FD1">
        <w:rPr>
          <w:rFonts w:ascii="Times New Roman" w:hAnsi="Times New Roman" w:cs="Times New Roman"/>
          <w:noProof/>
          <w:sz w:val="24"/>
          <w:szCs w:val="24"/>
          <w:vertAlign w:val="superscript"/>
        </w:rPr>
        <w:t>3</w:t>
      </w:r>
      <w:r>
        <w:rPr>
          <w:rFonts w:ascii="Times New Roman" w:hAnsi="Times New Roman" w:cs="Times New Roman"/>
          <w:sz w:val="24"/>
          <w:szCs w:val="24"/>
          <w:lang w:val="en-US"/>
        </w:rPr>
        <w:fldChar w:fldCharType="end"/>
      </w:r>
      <w:r w:rsidRPr="008C1FD1">
        <w:rPr>
          <w:rFonts w:ascii="Times New Roman" w:hAnsi="Times New Roman" w:cs="Times New Roman"/>
          <w:sz w:val="24"/>
          <w:szCs w:val="24"/>
        </w:rPr>
        <w:t xml:space="preserve"> </w:t>
      </w:r>
      <w:proofErr w:type="spellStart"/>
      <w:r w:rsidRPr="008C1FD1">
        <w:rPr>
          <w:rFonts w:ascii="Times New Roman" w:hAnsi="Times New Roman" w:cs="Times New Roman"/>
          <w:sz w:val="24"/>
          <w:szCs w:val="24"/>
        </w:rPr>
        <w:t>exposed</w:t>
      </w:r>
      <w:proofErr w:type="spellEnd"/>
      <w:r w:rsidRPr="008C1FD1">
        <w:rPr>
          <w:rFonts w:ascii="Times New Roman" w:hAnsi="Times New Roman" w:cs="Times New Roman"/>
          <w:sz w:val="24"/>
          <w:szCs w:val="24"/>
        </w:rPr>
        <w:t xml:space="preserve"> 10 </w:t>
      </w:r>
      <w:proofErr w:type="spellStart"/>
      <w:r w:rsidRPr="008C1FD1">
        <w:rPr>
          <w:rFonts w:ascii="Times New Roman" w:hAnsi="Times New Roman" w:cs="Times New Roman"/>
          <w:sz w:val="24"/>
          <w:szCs w:val="24"/>
        </w:rPr>
        <w:t>mice</w:t>
      </w:r>
      <w:proofErr w:type="spellEnd"/>
      <w:r w:rsidRPr="008C1FD1">
        <w:rPr>
          <w:rFonts w:ascii="Times New Roman" w:hAnsi="Times New Roman" w:cs="Times New Roman"/>
          <w:sz w:val="24"/>
          <w:szCs w:val="24"/>
        </w:rPr>
        <w:t xml:space="preserve"> </w:t>
      </w:r>
      <w:proofErr w:type="spellStart"/>
      <w:r w:rsidRPr="008C1FD1">
        <w:rPr>
          <w:rFonts w:ascii="Times New Roman" w:hAnsi="Times New Roman" w:cs="Times New Roman"/>
          <w:sz w:val="24"/>
          <w:szCs w:val="24"/>
        </w:rPr>
        <w:t>to</w:t>
      </w:r>
      <w:proofErr w:type="spellEnd"/>
      <w:r w:rsidRPr="008C1FD1">
        <w:rPr>
          <w:rFonts w:ascii="Times New Roman" w:hAnsi="Times New Roman" w:cs="Times New Roman"/>
          <w:sz w:val="24"/>
          <w:szCs w:val="24"/>
        </w:rPr>
        <w:t xml:space="preserve"> 300 </w:t>
      </w:r>
      <w:proofErr w:type="spellStart"/>
      <w:r w:rsidRPr="008C1FD1">
        <w:rPr>
          <w:rFonts w:ascii="Times New Roman" w:hAnsi="Times New Roman" w:cs="Times New Roman"/>
          <w:sz w:val="24"/>
          <w:szCs w:val="24"/>
        </w:rPr>
        <w:t>ppm</w:t>
      </w:r>
      <w:proofErr w:type="spellEnd"/>
      <w:r w:rsidRPr="008C1FD1">
        <w:rPr>
          <w:rFonts w:ascii="Times New Roman" w:hAnsi="Times New Roman" w:cs="Times New Roman"/>
          <w:sz w:val="24"/>
          <w:szCs w:val="24"/>
        </w:rPr>
        <w:t xml:space="preserve"> benzene for 6 </w:t>
      </w:r>
      <w:proofErr w:type="spellStart"/>
      <w:r w:rsidRPr="008C1FD1">
        <w:rPr>
          <w:rFonts w:ascii="Times New Roman" w:hAnsi="Times New Roman" w:cs="Times New Roman"/>
          <w:sz w:val="24"/>
          <w:szCs w:val="24"/>
        </w:rPr>
        <w:t>hours</w:t>
      </w:r>
      <w:proofErr w:type="spellEnd"/>
      <w:r w:rsidRPr="008C1FD1">
        <w:rPr>
          <w:rFonts w:ascii="Times New Roman" w:hAnsi="Times New Roman" w:cs="Times New Roman"/>
          <w:sz w:val="24"/>
          <w:szCs w:val="24"/>
        </w:rPr>
        <w:t>/</w:t>
      </w:r>
      <w:proofErr w:type="spellStart"/>
      <w:r w:rsidRPr="008C1FD1">
        <w:rPr>
          <w:rFonts w:ascii="Times New Roman" w:hAnsi="Times New Roman" w:cs="Times New Roman"/>
          <w:sz w:val="24"/>
          <w:szCs w:val="24"/>
        </w:rPr>
        <w:t>day</w:t>
      </w:r>
      <w:proofErr w:type="spellEnd"/>
      <w:r w:rsidRPr="008C1FD1">
        <w:rPr>
          <w:rFonts w:ascii="Times New Roman" w:hAnsi="Times New Roman" w:cs="Times New Roman"/>
          <w:sz w:val="24"/>
          <w:szCs w:val="24"/>
        </w:rPr>
        <w:t xml:space="preserve">, 5 </w:t>
      </w:r>
      <w:proofErr w:type="spellStart"/>
      <w:r w:rsidRPr="008C1FD1">
        <w:rPr>
          <w:rFonts w:ascii="Times New Roman" w:hAnsi="Times New Roman" w:cs="Times New Roman"/>
          <w:sz w:val="24"/>
          <w:szCs w:val="24"/>
        </w:rPr>
        <w:t>days</w:t>
      </w:r>
      <w:proofErr w:type="spellEnd"/>
      <w:r w:rsidRPr="008C1FD1">
        <w:rPr>
          <w:rFonts w:ascii="Times New Roman" w:hAnsi="Times New Roman" w:cs="Times New Roman"/>
          <w:sz w:val="24"/>
          <w:szCs w:val="24"/>
        </w:rPr>
        <w:t xml:space="preserve">/week, for 26 weeks. </w:t>
      </w:r>
      <w:r>
        <w:rPr>
          <w:rFonts w:ascii="Times New Roman" w:hAnsi="Times New Roman" w:cs="Times New Roman"/>
          <w:sz w:val="24"/>
          <w:szCs w:val="24"/>
          <w:lang w:val="en-US"/>
        </w:rPr>
        <w:t xml:space="preserve">Six out of 8 animals in the unexposed and 8 out of 10 animals in the exposed group developed lymphoma’s in </w:t>
      </w:r>
      <w:proofErr w:type="spellStart"/>
      <w:r>
        <w:rPr>
          <w:rFonts w:ascii="Times New Roman" w:hAnsi="Times New Roman" w:cs="Times New Roman"/>
          <w:sz w:val="24"/>
          <w:szCs w:val="24"/>
          <w:lang w:val="en-US"/>
        </w:rPr>
        <w:t>h</w:t>
      </w:r>
      <w:r w:rsidRPr="00136737">
        <w:rPr>
          <w:rFonts w:ascii="Times New Roman" w:hAnsi="Times New Roman" w:cs="Times New Roman"/>
          <w:sz w:val="24"/>
          <w:szCs w:val="24"/>
          <w:lang w:val="en-US"/>
        </w:rPr>
        <w:t>aematopoietic</w:t>
      </w:r>
      <w:proofErr w:type="spellEnd"/>
      <w:r w:rsidRPr="00136737">
        <w:rPr>
          <w:rFonts w:ascii="Times New Roman" w:hAnsi="Times New Roman" w:cs="Times New Roman"/>
          <w:sz w:val="24"/>
          <w:szCs w:val="24"/>
          <w:lang w:val="en-US"/>
        </w:rPr>
        <w:t xml:space="preserve"> and lymphoid tissues</w:t>
      </w:r>
      <w:r>
        <w:rPr>
          <w:rFonts w:ascii="Times New Roman" w:hAnsi="Times New Roman" w:cs="Times New Roman"/>
          <w:sz w:val="24"/>
          <w:szCs w:val="24"/>
          <w:lang w:val="en-US"/>
        </w:rPr>
        <w:t xml:space="preserve">. Cumulative exposure was estimated by multiplying the benzene exposure level by the exposure duration (in years). The RR [95%CI] was estimated to be 107 [0.64, 1.77] using standard relative risk calculations and were converted to a </w:t>
      </w:r>
      <w:proofErr w:type="spellStart"/>
      <w:r>
        <w:rPr>
          <w:rFonts w:ascii="Times New Roman" w:hAnsi="Times New Roman" w:cs="Times New Roman"/>
          <w:sz w:val="24"/>
          <w:szCs w:val="24"/>
          <w:lang w:val="en-US"/>
        </w:rPr>
        <w:t>logRR</w:t>
      </w:r>
      <w:proofErr w:type="spellEnd"/>
      <w:r>
        <w:rPr>
          <w:rFonts w:ascii="Times New Roman" w:hAnsi="Times New Roman" w:cs="Times New Roman"/>
          <w:sz w:val="24"/>
          <w:szCs w:val="24"/>
          <w:lang w:val="en-US"/>
        </w:rPr>
        <w:t xml:space="preserve"> and SE using the same approach as used for the AML and leukemia studies. </w:t>
      </w:r>
    </w:p>
    <w:p w14:paraId="763F2AD0" w14:textId="77777777" w:rsidR="005D7D4B" w:rsidRPr="00D77E31" w:rsidRDefault="005D7D4B" w:rsidP="005D7D4B">
      <w:pPr>
        <w:pStyle w:val="Caption"/>
        <w:keepNext/>
        <w:rPr>
          <w:color w:val="auto"/>
          <w:lang w:val="en-US"/>
        </w:rPr>
      </w:pPr>
      <w:r w:rsidRPr="00D77E31">
        <w:rPr>
          <w:color w:val="auto"/>
          <w:lang w:val="en-US"/>
        </w:rPr>
        <w:t>Table S</w:t>
      </w:r>
      <w:r w:rsidRPr="00D77E31">
        <w:rPr>
          <w:color w:val="auto"/>
        </w:rPr>
        <w:fldChar w:fldCharType="begin"/>
      </w:r>
      <w:r w:rsidRPr="00D77E31">
        <w:rPr>
          <w:color w:val="auto"/>
          <w:lang w:val="en-US"/>
        </w:rPr>
        <w:instrText xml:space="preserve"> SEQ Table \* ARABIC </w:instrText>
      </w:r>
      <w:r w:rsidRPr="00D77E31">
        <w:rPr>
          <w:color w:val="auto"/>
        </w:rPr>
        <w:fldChar w:fldCharType="separate"/>
      </w:r>
      <w:r>
        <w:rPr>
          <w:noProof/>
          <w:color w:val="auto"/>
          <w:lang w:val="en-US"/>
        </w:rPr>
        <w:t>1</w:t>
      </w:r>
      <w:r w:rsidRPr="00D77E31">
        <w:rPr>
          <w:color w:val="auto"/>
        </w:rPr>
        <w:fldChar w:fldCharType="end"/>
      </w:r>
      <w:r w:rsidRPr="00D77E31">
        <w:rPr>
          <w:color w:val="auto"/>
          <w:lang w:val="en-US"/>
        </w:rPr>
        <w:t xml:space="preserve">. Results from the data harmonization step for three selected studies. </w:t>
      </w:r>
    </w:p>
    <w:tbl>
      <w:tblPr>
        <w:tblW w:w="6877" w:type="dxa"/>
        <w:tblCellMar>
          <w:left w:w="0" w:type="dxa"/>
          <w:right w:w="0" w:type="dxa"/>
        </w:tblCellMar>
        <w:tblLook w:val="04A0" w:firstRow="1" w:lastRow="0" w:firstColumn="1" w:lastColumn="0" w:noHBand="0" w:noVBand="1"/>
      </w:tblPr>
      <w:tblGrid>
        <w:gridCol w:w="1740"/>
        <w:gridCol w:w="1860"/>
        <w:gridCol w:w="1350"/>
        <w:gridCol w:w="1927"/>
      </w:tblGrid>
      <w:tr w:rsidR="005D7D4B" w14:paraId="2B03D0D0" w14:textId="77777777" w:rsidTr="006363ED">
        <w:trPr>
          <w:trHeight w:val="290"/>
        </w:trPr>
        <w:tc>
          <w:tcPr>
            <w:tcW w:w="1740" w:type="dxa"/>
            <w:tcBorders>
              <w:top w:val="single" w:sz="4" w:space="0" w:color="auto"/>
              <w:left w:val="nil"/>
              <w:bottom w:val="single" w:sz="4" w:space="0" w:color="auto"/>
            </w:tcBorders>
            <w:shd w:val="clear" w:color="auto" w:fill="auto"/>
            <w:noWrap/>
            <w:tcMar>
              <w:top w:w="15" w:type="dxa"/>
              <w:left w:w="15" w:type="dxa"/>
              <w:bottom w:w="0" w:type="dxa"/>
              <w:right w:w="15" w:type="dxa"/>
            </w:tcMar>
            <w:vAlign w:val="bottom"/>
            <w:hideMark/>
          </w:tcPr>
          <w:p w14:paraId="705A6C0A" w14:textId="77777777" w:rsidR="005D7D4B" w:rsidRPr="00F543D0" w:rsidRDefault="005D7D4B" w:rsidP="006363ED">
            <w:pPr>
              <w:rPr>
                <w:rFonts w:cstheme="minorHAnsi"/>
                <w:b/>
                <w:bCs/>
                <w:color w:val="000000"/>
                <w:sz w:val="18"/>
                <w:szCs w:val="18"/>
              </w:rPr>
            </w:pPr>
            <w:proofErr w:type="spellStart"/>
            <w:r w:rsidRPr="00F543D0">
              <w:rPr>
                <w:rFonts w:cstheme="minorHAnsi"/>
                <w:b/>
                <w:bCs/>
                <w:color w:val="000000"/>
                <w:sz w:val="18"/>
                <w:szCs w:val="18"/>
              </w:rPr>
              <w:t>Author</w:t>
            </w:r>
            <w:r>
              <w:rPr>
                <w:rFonts w:cstheme="minorHAnsi"/>
                <w:b/>
                <w:bCs/>
                <w:color w:val="000000"/>
                <w:sz w:val="18"/>
                <w:szCs w:val="18"/>
              </w:rPr>
              <w:t>s</w:t>
            </w:r>
            <w:proofErr w:type="spellEnd"/>
            <w:r w:rsidRPr="00F543D0">
              <w:rPr>
                <w:rFonts w:cstheme="minorHAnsi"/>
                <w:b/>
                <w:bCs/>
                <w:color w:val="000000"/>
                <w:sz w:val="18"/>
                <w:szCs w:val="18"/>
              </w:rPr>
              <w:t xml:space="preserve"> (</w:t>
            </w:r>
            <w:proofErr w:type="spellStart"/>
            <w:r w:rsidRPr="00F543D0">
              <w:rPr>
                <w:rFonts w:cstheme="minorHAnsi"/>
                <w:b/>
                <w:bCs/>
                <w:color w:val="000000"/>
                <w:sz w:val="18"/>
                <w:szCs w:val="18"/>
              </w:rPr>
              <w:t>year</w:t>
            </w:r>
            <w:proofErr w:type="spellEnd"/>
            <w:r w:rsidRPr="00F543D0">
              <w:rPr>
                <w:rFonts w:cstheme="minorHAnsi"/>
                <w:b/>
                <w:bCs/>
                <w:color w:val="000000"/>
                <w:sz w:val="18"/>
                <w:szCs w:val="18"/>
              </w:rPr>
              <w:t>)</w:t>
            </w:r>
          </w:p>
        </w:tc>
        <w:tc>
          <w:tcPr>
            <w:tcW w:w="1860" w:type="dxa"/>
            <w:tcBorders>
              <w:top w:val="single" w:sz="4" w:space="0" w:color="auto"/>
              <w:left w:val="nil"/>
              <w:bottom w:val="single" w:sz="4" w:space="0" w:color="auto"/>
            </w:tcBorders>
            <w:shd w:val="clear" w:color="auto" w:fill="auto"/>
            <w:noWrap/>
            <w:tcMar>
              <w:top w:w="15" w:type="dxa"/>
              <w:left w:w="15" w:type="dxa"/>
              <w:bottom w:w="0" w:type="dxa"/>
              <w:right w:w="15" w:type="dxa"/>
            </w:tcMar>
            <w:vAlign w:val="bottom"/>
            <w:hideMark/>
          </w:tcPr>
          <w:p w14:paraId="57EFACD9" w14:textId="77777777" w:rsidR="005D7D4B" w:rsidRPr="00704F26" w:rsidRDefault="005D7D4B" w:rsidP="006363ED">
            <w:pPr>
              <w:jc w:val="center"/>
              <w:rPr>
                <w:rFonts w:cstheme="minorHAnsi"/>
                <w:b/>
                <w:bCs/>
                <w:color w:val="000000"/>
                <w:sz w:val="18"/>
                <w:szCs w:val="18"/>
                <w:lang w:val="en-US"/>
              </w:rPr>
            </w:pPr>
            <w:r w:rsidRPr="00704F26">
              <w:rPr>
                <w:rFonts w:cstheme="minorHAnsi"/>
                <w:b/>
                <w:bCs/>
                <w:color w:val="000000"/>
                <w:sz w:val="18"/>
                <w:szCs w:val="18"/>
                <w:lang w:val="en-US"/>
              </w:rPr>
              <w:t>Cumulative benzene</w:t>
            </w:r>
          </w:p>
          <w:p w14:paraId="20C6EC5B" w14:textId="77777777" w:rsidR="005D7D4B" w:rsidRPr="00704F26" w:rsidRDefault="005D7D4B" w:rsidP="006363ED">
            <w:pPr>
              <w:jc w:val="center"/>
              <w:rPr>
                <w:rFonts w:cstheme="minorHAnsi"/>
                <w:b/>
                <w:bCs/>
                <w:color w:val="000000"/>
                <w:sz w:val="18"/>
                <w:szCs w:val="18"/>
                <w:lang w:val="en-US"/>
              </w:rPr>
            </w:pPr>
            <w:r>
              <w:rPr>
                <w:rFonts w:cstheme="minorHAnsi"/>
                <w:b/>
                <w:bCs/>
                <w:color w:val="000000"/>
                <w:sz w:val="18"/>
                <w:szCs w:val="18"/>
                <w:lang w:val="en-US"/>
              </w:rPr>
              <w:t>e</w:t>
            </w:r>
            <w:r w:rsidRPr="00704F26">
              <w:rPr>
                <w:rFonts w:cstheme="minorHAnsi"/>
                <w:b/>
                <w:bCs/>
                <w:color w:val="000000"/>
                <w:sz w:val="18"/>
                <w:szCs w:val="18"/>
                <w:lang w:val="en-US"/>
              </w:rPr>
              <w:t>xposure (ppm</w:t>
            </w:r>
            <w:r>
              <w:rPr>
                <w:rFonts w:cstheme="minorHAnsi"/>
                <w:b/>
                <w:bCs/>
                <w:color w:val="000000"/>
                <w:sz w:val="18"/>
                <w:szCs w:val="18"/>
                <w:lang w:val="en-US"/>
              </w:rPr>
              <w:t>-</w:t>
            </w:r>
            <w:r w:rsidRPr="00704F26">
              <w:rPr>
                <w:rFonts w:cstheme="minorHAnsi"/>
                <w:b/>
                <w:bCs/>
                <w:color w:val="000000"/>
                <w:sz w:val="18"/>
                <w:szCs w:val="18"/>
                <w:lang w:val="en-US"/>
              </w:rPr>
              <w:t>years)</w:t>
            </w:r>
          </w:p>
        </w:tc>
        <w:tc>
          <w:tcPr>
            <w:tcW w:w="1350" w:type="dxa"/>
            <w:tcBorders>
              <w:top w:val="single" w:sz="4" w:space="0" w:color="auto"/>
              <w:left w:val="nil"/>
              <w:bottom w:val="single" w:sz="4" w:space="0" w:color="auto"/>
            </w:tcBorders>
            <w:shd w:val="clear" w:color="auto" w:fill="auto"/>
            <w:noWrap/>
            <w:tcMar>
              <w:top w:w="15" w:type="dxa"/>
              <w:left w:w="15" w:type="dxa"/>
              <w:bottom w:w="0" w:type="dxa"/>
              <w:right w:w="15" w:type="dxa"/>
            </w:tcMar>
            <w:vAlign w:val="bottom"/>
            <w:hideMark/>
          </w:tcPr>
          <w:p w14:paraId="0A662BA4" w14:textId="77777777" w:rsidR="005D7D4B" w:rsidRPr="00F543D0" w:rsidRDefault="005D7D4B" w:rsidP="006363ED">
            <w:pPr>
              <w:jc w:val="center"/>
              <w:rPr>
                <w:rFonts w:cstheme="minorHAnsi"/>
                <w:b/>
                <w:bCs/>
                <w:color w:val="000000"/>
                <w:sz w:val="18"/>
                <w:szCs w:val="18"/>
              </w:rPr>
            </w:pPr>
            <w:proofErr w:type="spellStart"/>
            <w:r w:rsidRPr="00F543D0">
              <w:rPr>
                <w:rFonts w:cstheme="minorHAnsi"/>
                <w:b/>
                <w:bCs/>
                <w:color w:val="000000"/>
                <w:sz w:val="18"/>
                <w:szCs w:val="18"/>
              </w:rPr>
              <w:t>logRR</w:t>
            </w:r>
            <w:proofErr w:type="spellEnd"/>
          </w:p>
        </w:tc>
        <w:tc>
          <w:tcPr>
            <w:tcW w:w="192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CA4D81F" w14:textId="77777777" w:rsidR="005D7D4B" w:rsidRPr="00F543D0" w:rsidRDefault="005D7D4B" w:rsidP="006363ED">
            <w:pPr>
              <w:jc w:val="center"/>
              <w:rPr>
                <w:rFonts w:cstheme="minorHAnsi"/>
                <w:b/>
                <w:bCs/>
                <w:color w:val="000000"/>
                <w:sz w:val="18"/>
                <w:szCs w:val="18"/>
              </w:rPr>
            </w:pPr>
            <w:proofErr w:type="spellStart"/>
            <w:r w:rsidRPr="00F543D0">
              <w:rPr>
                <w:rFonts w:cstheme="minorHAnsi"/>
                <w:b/>
                <w:bCs/>
                <w:color w:val="000000"/>
                <w:sz w:val="18"/>
                <w:szCs w:val="18"/>
              </w:rPr>
              <w:t>Covariance</w:t>
            </w:r>
            <w:proofErr w:type="spellEnd"/>
            <w:r w:rsidRPr="00F543D0">
              <w:rPr>
                <w:rFonts w:cstheme="minorHAnsi"/>
                <w:b/>
                <w:bCs/>
                <w:color w:val="000000"/>
                <w:sz w:val="18"/>
                <w:szCs w:val="18"/>
              </w:rPr>
              <w:t xml:space="preserve"> matrix</w:t>
            </w:r>
          </w:p>
        </w:tc>
      </w:tr>
      <w:tr w:rsidR="005D7D4B" w14:paraId="230B42E3" w14:textId="77777777" w:rsidTr="006363ED">
        <w:trPr>
          <w:trHeight w:val="290"/>
        </w:trPr>
        <w:tc>
          <w:tcPr>
            <w:tcW w:w="0" w:type="auto"/>
            <w:tcBorders>
              <w:top w:val="nil"/>
              <w:left w:val="nil"/>
              <w:bottom w:val="nil"/>
            </w:tcBorders>
            <w:shd w:val="clear" w:color="auto" w:fill="auto"/>
            <w:noWrap/>
            <w:tcMar>
              <w:top w:w="15" w:type="dxa"/>
              <w:left w:w="15" w:type="dxa"/>
              <w:bottom w:w="0" w:type="dxa"/>
              <w:right w:w="15" w:type="dxa"/>
            </w:tcMar>
            <w:vAlign w:val="center"/>
            <w:hideMark/>
          </w:tcPr>
          <w:p w14:paraId="4C6E9434" w14:textId="77777777" w:rsidR="005D7D4B" w:rsidRPr="00F543D0" w:rsidRDefault="005D7D4B" w:rsidP="006363ED">
            <w:pPr>
              <w:rPr>
                <w:rFonts w:cstheme="minorHAnsi"/>
                <w:color w:val="000000"/>
                <w:sz w:val="18"/>
                <w:szCs w:val="18"/>
              </w:rPr>
            </w:pPr>
            <w:proofErr w:type="spellStart"/>
            <w:r w:rsidRPr="00F543D0">
              <w:rPr>
                <w:rFonts w:cstheme="minorHAnsi"/>
                <w:color w:val="000000"/>
                <w:sz w:val="18"/>
                <w:szCs w:val="18"/>
              </w:rPr>
              <w:t>Stenehjem</w:t>
            </w:r>
            <w:proofErr w:type="spellEnd"/>
            <w:r w:rsidRPr="00F543D0">
              <w:rPr>
                <w:rFonts w:cstheme="minorHAnsi"/>
                <w:color w:val="000000"/>
                <w:sz w:val="18"/>
                <w:szCs w:val="18"/>
              </w:rPr>
              <w:t xml:space="preserve"> </w:t>
            </w:r>
            <w:r w:rsidRPr="00F543D0">
              <w:rPr>
                <w:rFonts w:cstheme="minorHAnsi"/>
                <w:i/>
                <w:iCs/>
                <w:color w:val="000000"/>
                <w:sz w:val="18"/>
                <w:szCs w:val="18"/>
              </w:rPr>
              <w:t>et al.</w:t>
            </w:r>
            <w:r w:rsidRPr="00F543D0">
              <w:rPr>
                <w:rFonts w:cstheme="minorHAnsi"/>
                <w:color w:val="000000"/>
                <w:sz w:val="18"/>
                <w:szCs w:val="18"/>
              </w:rPr>
              <w:t xml:space="preserve"> (2015)</w:t>
            </w:r>
          </w:p>
        </w:tc>
        <w:tc>
          <w:tcPr>
            <w:tcW w:w="1860" w:type="dxa"/>
            <w:tcBorders>
              <w:top w:val="nil"/>
              <w:left w:val="nil"/>
              <w:bottom w:val="nil"/>
            </w:tcBorders>
            <w:shd w:val="clear" w:color="auto" w:fill="auto"/>
            <w:noWrap/>
            <w:tcMar>
              <w:top w:w="15" w:type="dxa"/>
              <w:left w:w="15" w:type="dxa"/>
              <w:bottom w:w="0" w:type="dxa"/>
              <w:right w:w="15" w:type="dxa"/>
            </w:tcMar>
            <w:vAlign w:val="center"/>
            <w:hideMark/>
          </w:tcPr>
          <w:p w14:paraId="49386429" w14:textId="77777777" w:rsidR="005D7D4B" w:rsidRPr="00F543D0" w:rsidRDefault="005D7D4B" w:rsidP="006363ED">
            <w:pPr>
              <w:jc w:val="center"/>
              <w:rPr>
                <w:rFonts w:cstheme="minorHAnsi"/>
                <w:color w:val="000000"/>
                <w:sz w:val="18"/>
                <w:szCs w:val="18"/>
              </w:rPr>
            </w:pPr>
            <w:r w:rsidRPr="00F543D0">
              <w:rPr>
                <w:rFonts w:cstheme="minorHAnsi"/>
                <w:color w:val="000000"/>
                <w:sz w:val="18"/>
                <w:szCs w:val="18"/>
              </w:rPr>
              <w:t>0.02</w:t>
            </w:r>
          </w:p>
        </w:tc>
        <w:tc>
          <w:tcPr>
            <w:tcW w:w="1350" w:type="dxa"/>
            <w:tcBorders>
              <w:top w:val="nil"/>
              <w:left w:val="nil"/>
              <w:bottom w:val="nil"/>
            </w:tcBorders>
            <w:shd w:val="clear" w:color="auto" w:fill="auto"/>
            <w:noWrap/>
            <w:tcMar>
              <w:top w:w="15" w:type="dxa"/>
              <w:left w:w="15" w:type="dxa"/>
              <w:bottom w:w="0" w:type="dxa"/>
              <w:right w:w="15" w:type="dxa"/>
            </w:tcMar>
            <w:vAlign w:val="center"/>
            <w:hideMark/>
          </w:tcPr>
          <w:p w14:paraId="1367477F" w14:textId="77777777" w:rsidR="005D7D4B" w:rsidRPr="00F543D0" w:rsidRDefault="005D7D4B" w:rsidP="006363ED">
            <w:pPr>
              <w:jc w:val="center"/>
              <w:rPr>
                <w:rFonts w:cstheme="minorHAnsi"/>
                <w:color w:val="000000"/>
                <w:sz w:val="18"/>
                <w:szCs w:val="18"/>
              </w:rPr>
            </w:pPr>
            <w:r w:rsidRPr="00F543D0">
              <w:rPr>
                <w:rFonts w:cstheme="minorHAnsi"/>
                <w:color w:val="000000"/>
                <w:sz w:val="18"/>
                <w:szCs w:val="18"/>
              </w:rPr>
              <w:t>0.34</w:t>
            </w:r>
          </w:p>
        </w:tc>
        <w:tc>
          <w:tcPr>
            <w:tcW w:w="1927" w:type="dxa"/>
            <w:vMerge w:val="restart"/>
            <w:tcBorders>
              <w:top w:val="nil"/>
              <w:left w:val="nil"/>
              <w:right w:val="nil"/>
            </w:tcBorders>
            <w:shd w:val="clear" w:color="auto" w:fill="auto"/>
            <w:noWrap/>
            <w:tcMar>
              <w:top w:w="15" w:type="dxa"/>
              <w:left w:w="15" w:type="dxa"/>
              <w:bottom w:w="0" w:type="dxa"/>
              <w:right w:w="15" w:type="dxa"/>
            </w:tcMar>
            <w:vAlign w:val="center"/>
          </w:tcPr>
          <w:p w14:paraId="7C2E9B5D" w14:textId="77777777" w:rsidR="005D7D4B" w:rsidRPr="00F543D0" w:rsidRDefault="005D7D4B" w:rsidP="006363ED">
            <w:pPr>
              <w:jc w:val="right"/>
              <w:rPr>
                <w:rFonts w:cstheme="minorHAnsi"/>
                <w:color w:val="000000"/>
                <w:sz w:val="18"/>
                <w:szCs w:val="18"/>
              </w:rPr>
            </w:pPr>
            <m:oMathPara>
              <m:oMathParaPr>
                <m:jc m:val="center"/>
              </m:oMathParaPr>
              <m:oMath>
                <m:d>
                  <m:dPr>
                    <m:begChr m:val="["/>
                    <m:endChr m:val="]"/>
                    <m:ctrlPr>
                      <w:rPr>
                        <w:rFonts w:ascii="Cambria Math" w:hAnsi="Cambria Math" w:cstheme="minorHAnsi"/>
                        <w:i/>
                        <w:color w:val="000000"/>
                        <w:sz w:val="18"/>
                        <w:szCs w:val="18"/>
                      </w:rPr>
                    </m:ctrlPr>
                  </m:dPr>
                  <m:e>
                    <m:m>
                      <m:mPr>
                        <m:mcs>
                          <m:mc>
                            <m:mcPr>
                              <m:count m:val="3"/>
                              <m:mcJc m:val="center"/>
                            </m:mcPr>
                          </m:mc>
                        </m:mcs>
                        <m:ctrlPr>
                          <w:rPr>
                            <w:rFonts w:ascii="Cambria Math" w:hAnsi="Cambria Math" w:cstheme="minorHAnsi"/>
                            <w:i/>
                            <w:color w:val="000000"/>
                            <w:sz w:val="18"/>
                            <w:szCs w:val="18"/>
                          </w:rPr>
                        </m:ctrlPr>
                      </m:mPr>
                      <m:mr>
                        <m:e>
                          <m:r>
                            <w:rPr>
                              <w:rFonts w:ascii="Cambria Math" w:hAnsi="Cambria Math" w:cstheme="minorHAnsi"/>
                              <w:color w:val="000000"/>
                              <w:sz w:val="18"/>
                              <w:szCs w:val="18"/>
                            </w:rPr>
                            <m:t>1,11</m:t>
                          </m:r>
                        </m:e>
                        <m:e>
                          <m:r>
                            <w:rPr>
                              <w:rFonts w:ascii="Cambria Math" w:hAnsi="Cambria Math" w:cstheme="minorHAnsi"/>
                              <w:color w:val="000000"/>
                              <w:sz w:val="18"/>
                              <w:szCs w:val="18"/>
                            </w:rPr>
                            <m:t>0.54</m:t>
                          </m:r>
                        </m:e>
                        <m:e>
                          <m:r>
                            <w:rPr>
                              <w:rFonts w:ascii="Cambria Math" w:hAnsi="Cambria Math" w:cstheme="minorHAnsi"/>
                              <w:color w:val="000000"/>
                              <w:sz w:val="18"/>
                              <w:szCs w:val="18"/>
                            </w:rPr>
                            <m:t>0.56</m:t>
                          </m:r>
                        </m:e>
                      </m:mr>
                      <m:mr>
                        <m:e>
                          <m:r>
                            <w:rPr>
                              <w:rFonts w:ascii="Cambria Math" w:hAnsi="Cambria Math" w:cstheme="minorHAnsi"/>
                              <w:color w:val="000000"/>
                              <w:sz w:val="18"/>
                              <w:szCs w:val="18"/>
                            </w:rPr>
                            <m:t>0.54</m:t>
                          </m:r>
                        </m:e>
                        <m:e>
                          <m:r>
                            <w:rPr>
                              <w:rFonts w:ascii="Cambria Math" w:hAnsi="Cambria Math" w:cstheme="minorHAnsi"/>
                              <w:color w:val="000000"/>
                              <w:sz w:val="18"/>
                              <w:szCs w:val="18"/>
                            </w:rPr>
                            <m:t>1.49</m:t>
                          </m:r>
                        </m:e>
                        <m:e>
                          <m:r>
                            <w:rPr>
                              <w:rFonts w:ascii="Cambria Math" w:hAnsi="Cambria Math" w:cstheme="minorHAnsi"/>
                              <w:color w:val="000000"/>
                              <w:sz w:val="18"/>
                              <w:szCs w:val="18"/>
                            </w:rPr>
                            <m:t>0.57</m:t>
                          </m:r>
                        </m:e>
                      </m:mr>
                      <m:mr>
                        <m:e>
                          <m:r>
                            <w:rPr>
                              <w:rFonts w:ascii="Cambria Math" w:hAnsi="Cambria Math" w:cstheme="minorHAnsi"/>
                              <w:color w:val="000000"/>
                              <w:sz w:val="18"/>
                              <w:szCs w:val="18"/>
                            </w:rPr>
                            <m:t>0.56</m:t>
                          </m:r>
                        </m:e>
                        <m:e>
                          <m:r>
                            <w:rPr>
                              <w:rFonts w:ascii="Cambria Math" w:hAnsi="Cambria Math" w:cstheme="minorHAnsi"/>
                              <w:color w:val="000000"/>
                              <w:sz w:val="18"/>
                              <w:szCs w:val="18"/>
                            </w:rPr>
                            <m:t>0.57</m:t>
                          </m:r>
                        </m:e>
                        <m:e>
                          <m:r>
                            <w:rPr>
                              <w:rFonts w:ascii="Cambria Math" w:hAnsi="Cambria Math" w:cstheme="minorHAnsi"/>
                              <w:color w:val="000000"/>
                              <w:sz w:val="18"/>
                              <w:szCs w:val="18"/>
                            </w:rPr>
                            <m:t>0.77</m:t>
                          </m:r>
                        </m:e>
                      </m:mr>
                    </m:m>
                  </m:e>
                </m:d>
              </m:oMath>
            </m:oMathPara>
          </w:p>
        </w:tc>
      </w:tr>
      <w:tr w:rsidR="005D7D4B" w14:paraId="5CD5F807" w14:textId="77777777" w:rsidTr="006363ED">
        <w:trPr>
          <w:trHeight w:val="290"/>
        </w:trPr>
        <w:tc>
          <w:tcPr>
            <w:tcW w:w="0" w:type="auto"/>
            <w:tcBorders>
              <w:top w:val="nil"/>
              <w:left w:val="nil"/>
              <w:bottom w:val="nil"/>
            </w:tcBorders>
            <w:shd w:val="clear" w:color="auto" w:fill="auto"/>
            <w:noWrap/>
            <w:tcMar>
              <w:top w:w="15" w:type="dxa"/>
              <w:left w:w="15" w:type="dxa"/>
              <w:bottom w:w="0" w:type="dxa"/>
              <w:right w:w="15" w:type="dxa"/>
            </w:tcMar>
            <w:vAlign w:val="center"/>
            <w:hideMark/>
          </w:tcPr>
          <w:p w14:paraId="0211BAF0" w14:textId="77777777" w:rsidR="005D7D4B" w:rsidRPr="00F543D0" w:rsidRDefault="005D7D4B" w:rsidP="006363ED">
            <w:pPr>
              <w:jc w:val="right"/>
              <w:rPr>
                <w:rFonts w:cstheme="minorHAnsi"/>
                <w:color w:val="000000"/>
                <w:sz w:val="18"/>
                <w:szCs w:val="18"/>
              </w:rPr>
            </w:pPr>
          </w:p>
        </w:tc>
        <w:tc>
          <w:tcPr>
            <w:tcW w:w="1860" w:type="dxa"/>
            <w:tcBorders>
              <w:top w:val="nil"/>
              <w:left w:val="nil"/>
              <w:bottom w:val="nil"/>
            </w:tcBorders>
            <w:shd w:val="clear" w:color="auto" w:fill="auto"/>
            <w:noWrap/>
            <w:tcMar>
              <w:top w:w="15" w:type="dxa"/>
              <w:left w:w="15" w:type="dxa"/>
              <w:bottom w:w="0" w:type="dxa"/>
              <w:right w:w="15" w:type="dxa"/>
            </w:tcMar>
            <w:vAlign w:val="center"/>
            <w:hideMark/>
          </w:tcPr>
          <w:p w14:paraId="7D3D2CB3" w14:textId="77777777" w:rsidR="005D7D4B" w:rsidRPr="00F543D0" w:rsidRDefault="005D7D4B" w:rsidP="006363ED">
            <w:pPr>
              <w:jc w:val="center"/>
              <w:rPr>
                <w:rFonts w:cstheme="minorHAnsi"/>
                <w:color w:val="000000"/>
                <w:sz w:val="18"/>
                <w:szCs w:val="18"/>
              </w:rPr>
            </w:pPr>
            <w:r w:rsidRPr="00F543D0">
              <w:rPr>
                <w:rFonts w:cstheme="minorHAnsi"/>
                <w:color w:val="000000"/>
                <w:sz w:val="18"/>
                <w:szCs w:val="18"/>
              </w:rPr>
              <w:t>0.08</w:t>
            </w:r>
          </w:p>
        </w:tc>
        <w:tc>
          <w:tcPr>
            <w:tcW w:w="1350" w:type="dxa"/>
            <w:tcBorders>
              <w:top w:val="nil"/>
              <w:left w:val="nil"/>
              <w:bottom w:val="nil"/>
            </w:tcBorders>
            <w:shd w:val="clear" w:color="auto" w:fill="auto"/>
            <w:noWrap/>
            <w:tcMar>
              <w:top w:w="15" w:type="dxa"/>
              <w:left w:w="15" w:type="dxa"/>
              <w:bottom w:w="0" w:type="dxa"/>
              <w:right w:w="15" w:type="dxa"/>
            </w:tcMar>
            <w:vAlign w:val="center"/>
            <w:hideMark/>
          </w:tcPr>
          <w:p w14:paraId="2EE8D2FB" w14:textId="77777777" w:rsidR="005D7D4B" w:rsidRPr="00F543D0" w:rsidRDefault="005D7D4B" w:rsidP="006363ED">
            <w:pPr>
              <w:jc w:val="center"/>
              <w:rPr>
                <w:rFonts w:cstheme="minorHAnsi"/>
                <w:color w:val="000000"/>
                <w:sz w:val="18"/>
                <w:szCs w:val="18"/>
              </w:rPr>
            </w:pPr>
            <w:r w:rsidRPr="00F543D0">
              <w:rPr>
                <w:rFonts w:cstheme="minorHAnsi"/>
                <w:color w:val="000000"/>
                <w:sz w:val="18"/>
                <w:szCs w:val="18"/>
              </w:rPr>
              <w:t>-0.16</w:t>
            </w:r>
          </w:p>
        </w:tc>
        <w:tc>
          <w:tcPr>
            <w:tcW w:w="1927" w:type="dxa"/>
            <w:vMerge/>
            <w:tcBorders>
              <w:left w:val="nil"/>
              <w:right w:val="nil"/>
            </w:tcBorders>
            <w:shd w:val="clear" w:color="auto" w:fill="auto"/>
            <w:noWrap/>
            <w:tcMar>
              <w:top w:w="15" w:type="dxa"/>
              <w:left w:w="15" w:type="dxa"/>
              <w:bottom w:w="0" w:type="dxa"/>
              <w:right w:w="15" w:type="dxa"/>
            </w:tcMar>
            <w:vAlign w:val="center"/>
          </w:tcPr>
          <w:p w14:paraId="34F2ACA5" w14:textId="77777777" w:rsidR="005D7D4B" w:rsidRPr="00F543D0" w:rsidRDefault="005D7D4B" w:rsidP="006363ED">
            <w:pPr>
              <w:jc w:val="right"/>
              <w:rPr>
                <w:rFonts w:cstheme="minorHAnsi"/>
                <w:color w:val="000000"/>
                <w:sz w:val="18"/>
                <w:szCs w:val="18"/>
              </w:rPr>
            </w:pPr>
          </w:p>
        </w:tc>
      </w:tr>
      <w:tr w:rsidR="005D7D4B" w14:paraId="5E6E97D1" w14:textId="77777777" w:rsidTr="006363ED">
        <w:trPr>
          <w:trHeight w:val="290"/>
        </w:trPr>
        <w:tc>
          <w:tcPr>
            <w:tcW w:w="0" w:type="auto"/>
            <w:tcBorders>
              <w:top w:val="nil"/>
              <w:left w:val="nil"/>
              <w:bottom w:val="nil"/>
            </w:tcBorders>
            <w:shd w:val="clear" w:color="auto" w:fill="auto"/>
            <w:noWrap/>
            <w:tcMar>
              <w:top w:w="15" w:type="dxa"/>
              <w:left w:w="15" w:type="dxa"/>
              <w:bottom w:w="0" w:type="dxa"/>
              <w:right w:w="15" w:type="dxa"/>
            </w:tcMar>
            <w:vAlign w:val="center"/>
            <w:hideMark/>
          </w:tcPr>
          <w:p w14:paraId="17990654" w14:textId="77777777" w:rsidR="005D7D4B" w:rsidRPr="00F543D0" w:rsidRDefault="005D7D4B" w:rsidP="006363ED">
            <w:pPr>
              <w:jc w:val="right"/>
              <w:rPr>
                <w:rFonts w:cstheme="minorHAnsi"/>
                <w:color w:val="000000"/>
                <w:sz w:val="18"/>
                <w:szCs w:val="18"/>
              </w:rPr>
            </w:pPr>
          </w:p>
        </w:tc>
        <w:tc>
          <w:tcPr>
            <w:tcW w:w="1860" w:type="dxa"/>
            <w:tcBorders>
              <w:top w:val="nil"/>
              <w:left w:val="nil"/>
              <w:bottom w:val="nil"/>
            </w:tcBorders>
            <w:shd w:val="clear" w:color="auto" w:fill="auto"/>
            <w:noWrap/>
            <w:tcMar>
              <w:top w:w="15" w:type="dxa"/>
              <w:left w:w="15" w:type="dxa"/>
              <w:bottom w:w="0" w:type="dxa"/>
              <w:right w:w="15" w:type="dxa"/>
            </w:tcMar>
            <w:vAlign w:val="center"/>
            <w:hideMark/>
          </w:tcPr>
          <w:p w14:paraId="64947990" w14:textId="77777777" w:rsidR="005D7D4B" w:rsidRPr="00F543D0" w:rsidRDefault="005D7D4B" w:rsidP="006363ED">
            <w:pPr>
              <w:jc w:val="center"/>
              <w:rPr>
                <w:rFonts w:cstheme="minorHAnsi"/>
                <w:color w:val="000000"/>
                <w:sz w:val="18"/>
                <w:szCs w:val="18"/>
              </w:rPr>
            </w:pPr>
            <w:r w:rsidRPr="00F543D0">
              <w:rPr>
                <w:rFonts w:cstheme="minorHAnsi"/>
                <w:color w:val="000000"/>
                <w:sz w:val="18"/>
                <w:szCs w:val="18"/>
              </w:rPr>
              <w:t>0.54</w:t>
            </w:r>
          </w:p>
        </w:tc>
        <w:tc>
          <w:tcPr>
            <w:tcW w:w="1350" w:type="dxa"/>
            <w:tcBorders>
              <w:top w:val="nil"/>
              <w:left w:val="nil"/>
              <w:bottom w:val="nil"/>
            </w:tcBorders>
            <w:shd w:val="clear" w:color="auto" w:fill="auto"/>
            <w:noWrap/>
            <w:tcMar>
              <w:top w:w="15" w:type="dxa"/>
              <w:left w:w="15" w:type="dxa"/>
              <w:bottom w:w="0" w:type="dxa"/>
              <w:right w:w="15" w:type="dxa"/>
            </w:tcMar>
            <w:vAlign w:val="center"/>
            <w:hideMark/>
          </w:tcPr>
          <w:p w14:paraId="2F087A3B" w14:textId="77777777" w:rsidR="005D7D4B" w:rsidRPr="00F543D0" w:rsidRDefault="005D7D4B" w:rsidP="006363ED">
            <w:pPr>
              <w:jc w:val="center"/>
              <w:rPr>
                <w:rFonts w:cstheme="minorHAnsi"/>
                <w:color w:val="000000"/>
                <w:sz w:val="18"/>
                <w:szCs w:val="18"/>
              </w:rPr>
            </w:pPr>
            <w:r w:rsidRPr="00F543D0">
              <w:rPr>
                <w:rFonts w:cstheme="minorHAnsi"/>
                <w:color w:val="000000"/>
                <w:sz w:val="18"/>
                <w:szCs w:val="18"/>
              </w:rPr>
              <w:t>1.58</w:t>
            </w:r>
          </w:p>
        </w:tc>
        <w:tc>
          <w:tcPr>
            <w:tcW w:w="1927" w:type="dxa"/>
            <w:vMerge/>
            <w:tcBorders>
              <w:left w:val="nil"/>
              <w:bottom w:val="nil"/>
              <w:right w:val="nil"/>
            </w:tcBorders>
            <w:shd w:val="clear" w:color="auto" w:fill="auto"/>
            <w:noWrap/>
            <w:tcMar>
              <w:top w:w="15" w:type="dxa"/>
              <w:left w:w="15" w:type="dxa"/>
              <w:bottom w:w="0" w:type="dxa"/>
              <w:right w:w="15" w:type="dxa"/>
            </w:tcMar>
            <w:vAlign w:val="center"/>
          </w:tcPr>
          <w:p w14:paraId="7345F901" w14:textId="77777777" w:rsidR="005D7D4B" w:rsidRPr="00F543D0" w:rsidRDefault="005D7D4B" w:rsidP="006363ED">
            <w:pPr>
              <w:jc w:val="right"/>
              <w:rPr>
                <w:rFonts w:cstheme="minorHAnsi"/>
                <w:b/>
                <w:bCs/>
                <w:color w:val="000000"/>
                <w:sz w:val="18"/>
                <w:szCs w:val="18"/>
              </w:rPr>
            </w:pPr>
          </w:p>
        </w:tc>
      </w:tr>
      <w:tr w:rsidR="005D7D4B" w14:paraId="74391C28" w14:textId="77777777" w:rsidTr="006363ED">
        <w:trPr>
          <w:trHeight w:val="290"/>
        </w:trPr>
        <w:tc>
          <w:tcPr>
            <w:tcW w:w="0" w:type="auto"/>
            <w:tcBorders>
              <w:top w:val="nil"/>
              <w:left w:val="nil"/>
              <w:bottom w:val="nil"/>
            </w:tcBorders>
            <w:shd w:val="clear" w:color="auto" w:fill="auto"/>
            <w:noWrap/>
            <w:tcMar>
              <w:top w:w="15" w:type="dxa"/>
              <w:left w:w="15" w:type="dxa"/>
              <w:bottom w:w="0" w:type="dxa"/>
              <w:right w:w="15" w:type="dxa"/>
            </w:tcMar>
            <w:vAlign w:val="center"/>
            <w:hideMark/>
          </w:tcPr>
          <w:p w14:paraId="53C321E3" w14:textId="77777777" w:rsidR="005D7D4B" w:rsidRPr="00F543D0" w:rsidRDefault="005D7D4B" w:rsidP="006363ED">
            <w:pPr>
              <w:jc w:val="right"/>
              <w:rPr>
                <w:rFonts w:cstheme="minorHAnsi"/>
                <w:b/>
                <w:bCs/>
                <w:color w:val="000000"/>
                <w:sz w:val="18"/>
                <w:szCs w:val="18"/>
              </w:rPr>
            </w:pPr>
          </w:p>
        </w:tc>
        <w:tc>
          <w:tcPr>
            <w:tcW w:w="1860" w:type="dxa"/>
            <w:tcBorders>
              <w:top w:val="nil"/>
              <w:left w:val="nil"/>
              <w:bottom w:val="nil"/>
            </w:tcBorders>
            <w:shd w:val="clear" w:color="auto" w:fill="auto"/>
            <w:noWrap/>
            <w:tcMar>
              <w:top w:w="15" w:type="dxa"/>
              <w:left w:w="15" w:type="dxa"/>
              <w:bottom w:w="0" w:type="dxa"/>
              <w:right w:w="15" w:type="dxa"/>
            </w:tcMar>
            <w:vAlign w:val="center"/>
            <w:hideMark/>
          </w:tcPr>
          <w:p w14:paraId="7FF7F00E" w14:textId="77777777" w:rsidR="005D7D4B" w:rsidRPr="00F543D0" w:rsidRDefault="005D7D4B" w:rsidP="006363ED">
            <w:pPr>
              <w:jc w:val="center"/>
              <w:rPr>
                <w:rFonts w:cstheme="minorHAnsi"/>
                <w:color w:val="000000"/>
                <w:sz w:val="18"/>
                <w:szCs w:val="18"/>
              </w:rPr>
            </w:pPr>
          </w:p>
        </w:tc>
        <w:tc>
          <w:tcPr>
            <w:tcW w:w="1350" w:type="dxa"/>
            <w:tcBorders>
              <w:top w:val="nil"/>
              <w:left w:val="nil"/>
              <w:bottom w:val="nil"/>
            </w:tcBorders>
            <w:shd w:val="clear" w:color="auto" w:fill="auto"/>
            <w:noWrap/>
            <w:tcMar>
              <w:top w:w="15" w:type="dxa"/>
              <w:left w:w="15" w:type="dxa"/>
              <w:bottom w:w="0" w:type="dxa"/>
              <w:right w:w="15" w:type="dxa"/>
            </w:tcMar>
            <w:vAlign w:val="center"/>
            <w:hideMark/>
          </w:tcPr>
          <w:p w14:paraId="65C14D2F" w14:textId="77777777" w:rsidR="005D7D4B" w:rsidRPr="00F543D0" w:rsidRDefault="005D7D4B" w:rsidP="006363ED">
            <w:pPr>
              <w:jc w:val="center"/>
              <w:rPr>
                <w:rFonts w:cstheme="minorHAnsi"/>
                <w:color w:val="000000"/>
                <w:sz w:val="18"/>
                <w:szCs w:val="18"/>
              </w:rPr>
            </w:pPr>
          </w:p>
        </w:tc>
        <w:tc>
          <w:tcPr>
            <w:tcW w:w="1927" w:type="dxa"/>
            <w:tcBorders>
              <w:top w:val="nil"/>
              <w:left w:val="nil"/>
              <w:bottom w:val="nil"/>
              <w:right w:val="nil"/>
            </w:tcBorders>
            <w:shd w:val="clear" w:color="auto" w:fill="auto"/>
            <w:noWrap/>
            <w:tcMar>
              <w:top w:w="15" w:type="dxa"/>
              <w:left w:w="15" w:type="dxa"/>
              <w:bottom w:w="0" w:type="dxa"/>
              <w:right w:w="15" w:type="dxa"/>
            </w:tcMar>
            <w:vAlign w:val="center"/>
            <w:hideMark/>
          </w:tcPr>
          <w:p w14:paraId="43BAE6E8" w14:textId="77777777" w:rsidR="005D7D4B" w:rsidRPr="00F543D0" w:rsidRDefault="005D7D4B" w:rsidP="006363ED">
            <w:pPr>
              <w:rPr>
                <w:rFonts w:cstheme="minorHAnsi"/>
                <w:sz w:val="18"/>
                <w:szCs w:val="18"/>
              </w:rPr>
            </w:pPr>
            <w:r w:rsidRPr="00F543D0">
              <w:rPr>
                <w:rFonts w:cstheme="minorHAnsi"/>
                <w:color w:val="000000"/>
                <w:sz w:val="18"/>
                <w:szCs w:val="18"/>
              </w:rPr>
              <w:t> </w:t>
            </w:r>
          </w:p>
        </w:tc>
      </w:tr>
      <w:tr w:rsidR="005D7D4B" w14:paraId="14F936D6" w14:textId="77777777" w:rsidTr="006363ED">
        <w:trPr>
          <w:trHeight w:val="290"/>
        </w:trPr>
        <w:tc>
          <w:tcPr>
            <w:tcW w:w="0" w:type="auto"/>
            <w:tcBorders>
              <w:top w:val="nil"/>
              <w:left w:val="nil"/>
              <w:bottom w:val="nil"/>
            </w:tcBorders>
            <w:shd w:val="clear" w:color="auto" w:fill="auto"/>
            <w:noWrap/>
            <w:tcMar>
              <w:top w:w="15" w:type="dxa"/>
              <w:left w:w="15" w:type="dxa"/>
              <w:bottom w:w="0" w:type="dxa"/>
              <w:right w:w="15" w:type="dxa"/>
            </w:tcMar>
            <w:vAlign w:val="center"/>
            <w:hideMark/>
          </w:tcPr>
          <w:p w14:paraId="4DFA2E7B" w14:textId="77777777" w:rsidR="005D7D4B" w:rsidRPr="00F543D0" w:rsidRDefault="005D7D4B" w:rsidP="006363ED">
            <w:pPr>
              <w:rPr>
                <w:rFonts w:cstheme="minorHAnsi"/>
                <w:color w:val="000000"/>
                <w:sz w:val="18"/>
                <w:szCs w:val="18"/>
              </w:rPr>
            </w:pPr>
            <w:proofErr w:type="spellStart"/>
            <w:r w:rsidRPr="00F543D0">
              <w:rPr>
                <w:rFonts w:cstheme="minorHAnsi"/>
                <w:color w:val="000000"/>
                <w:sz w:val="18"/>
                <w:szCs w:val="18"/>
              </w:rPr>
              <w:t>Testa</w:t>
            </w:r>
            <w:proofErr w:type="spellEnd"/>
            <w:r w:rsidRPr="00F543D0">
              <w:rPr>
                <w:rFonts w:cstheme="minorHAnsi"/>
                <w:color w:val="000000"/>
                <w:sz w:val="18"/>
                <w:szCs w:val="18"/>
              </w:rPr>
              <w:t xml:space="preserve"> </w:t>
            </w:r>
            <w:r w:rsidRPr="00F543D0">
              <w:rPr>
                <w:rFonts w:cstheme="minorHAnsi"/>
                <w:i/>
                <w:iCs/>
                <w:color w:val="000000"/>
                <w:sz w:val="18"/>
                <w:szCs w:val="18"/>
              </w:rPr>
              <w:t>et al.</w:t>
            </w:r>
            <w:r w:rsidRPr="00F543D0">
              <w:rPr>
                <w:rFonts w:cstheme="minorHAnsi"/>
                <w:color w:val="000000"/>
                <w:sz w:val="18"/>
                <w:szCs w:val="18"/>
              </w:rPr>
              <w:t xml:space="preserve"> (2005)</w:t>
            </w:r>
          </w:p>
        </w:tc>
        <w:tc>
          <w:tcPr>
            <w:tcW w:w="1860" w:type="dxa"/>
            <w:tcBorders>
              <w:top w:val="nil"/>
              <w:left w:val="nil"/>
              <w:bottom w:val="nil"/>
            </w:tcBorders>
            <w:shd w:val="clear" w:color="auto" w:fill="auto"/>
            <w:noWrap/>
            <w:tcMar>
              <w:top w:w="15" w:type="dxa"/>
              <w:left w:w="15" w:type="dxa"/>
              <w:bottom w:w="0" w:type="dxa"/>
              <w:right w:w="15" w:type="dxa"/>
            </w:tcMar>
            <w:vAlign w:val="center"/>
            <w:hideMark/>
          </w:tcPr>
          <w:p w14:paraId="11D5F995" w14:textId="77777777" w:rsidR="005D7D4B" w:rsidRPr="00F543D0" w:rsidRDefault="005D7D4B" w:rsidP="006363ED">
            <w:pPr>
              <w:jc w:val="center"/>
              <w:rPr>
                <w:rFonts w:cstheme="minorHAnsi"/>
                <w:color w:val="000000"/>
                <w:sz w:val="18"/>
                <w:szCs w:val="18"/>
              </w:rPr>
            </w:pPr>
            <w:r w:rsidRPr="00F543D0">
              <w:rPr>
                <w:rFonts w:cstheme="minorHAnsi"/>
                <w:color w:val="000000"/>
                <w:sz w:val="18"/>
                <w:szCs w:val="18"/>
              </w:rPr>
              <w:t>43</w:t>
            </w:r>
          </w:p>
        </w:tc>
        <w:tc>
          <w:tcPr>
            <w:tcW w:w="1350" w:type="dxa"/>
            <w:tcBorders>
              <w:top w:val="nil"/>
              <w:left w:val="nil"/>
              <w:bottom w:val="nil"/>
            </w:tcBorders>
            <w:shd w:val="clear" w:color="auto" w:fill="auto"/>
            <w:noWrap/>
            <w:tcMar>
              <w:top w:w="15" w:type="dxa"/>
              <w:left w:w="15" w:type="dxa"/>
              <w:bottom w:w="0" w:type="dxa"/>
              <w:right w:w="15" w:type="dxa"/>
            </w:tcMar>
            <w:vAlign w:val="center"/>
            <w:hideMark/>
          </w:tcPr>
          <w:p w14:paraId="58D474E3" w14:textId="77777777" w:rsidR="005D7D4B" w:rsidRPr="00F543D0" w:rsidRDefault="005D7D4B" w:rsidP="006363ED">
            <w:pPr>
              <w:jc w:val="center"/>
              <w:rPr>
                <w:rFonts w:cstheme="minorHAnsi"/>
                <w:color w:val="000000"/>
                <w:sz w:val="18"/>
                <w:szCs w:val="18"/>
              </w:rPr>
            </w:pPr>
            <w:r w:rsidRPr="00F543D0">
              <w:rPr>
                <w:rFonts w:cstheme="minorHAnsi"/>
                <w:color w:val="000000"/>
                <w:sz w:val="18"/>
                <w:szCs w:val="18"/>
              </w:rPr>
              <w:t>0.85</w:t>
            </w:r>
          </w:p>
        </w:tc>
        <w:tc>
          <w:tcPr>
            <w:tcW w:w="1927" w:type="dxa"/>
            <w:tcBorders>
              <w:top w:val="nil"/>
              <w:left w:val="nil"/>
              <w:bottom w:val="nil"/>
              <w:right w:val="nil"/>
            </w:tcBorders>
            <w:shd w:val="clear" w:color="auto" w:fill="auto"/>
            <w:noWrap/>
            <w:tcMar>
              <w:top w:w="15" w:type="dxa"/>
              <w:left w:w="15" w:type="dxa"/>
              <w:bottom w:w="0" w:type="dxa"/>
              <w:right w:w="15" w:type="dxa"/>
            </w:tcMar>
            <w:vAlign w:val="center"/>
            <w:hideMark/>
          </w:tcPr>
          <w:p w14:paraId="6995054C" w14:textId="77777777" w:rsidR="005D7D4B" w:rsidRPr="00F543D0" w:rsidRDefault="005D7D4B" w:rsidP="006363ED">
            <w:pPr>
              <w:rPr>
                <w:rFonts w:cstheme="minorHAnsi"/>
                <w:sz w:val="18"/>
                <w:szCs w:val="18"/>
              </w:rPr>
            </w:pPr>
            <m:oMathPara>
              <m:oMath>
                <m:r>
                  <w:rPr>
                    <w:rFonts w:ascii="Cambria Math" w:hAnsi="Cambria Math" w:cstheme="minorHAnsi"/>
                    <w:color w:val="000000"/>
                    <w:sz w:val="18"/>
                    <w:szCs w:val="18"/>
                  </w:rPr>
                  <m:t>[</m:t>
                </m:r>
                <m:d>
                  <m:dPr>
                    <m:begChr m:val="["/>
                    <m:endChr m:val="]"/>
                    <m:ctrlPr>
                      <w:rPr>
                        <w:rFonts w:ascii="Cambria Math" w:hAnsi="Cambria Math" w:cstheme="minorHAnsi"/>
                        <w:i/>
                        <w:color w:val="000000"/>
                        <w:sz w:val="18"/>
                        <w:szCs w:val="18"/>
                      </w:rPr>
                    </m:ctrlPr>
                  </m:dPr>
                  <m:e>
                    <m:r>
                      <m:rPr>
                        <m:sty m:val="p"/>
                      </m:rPr>
                      <w:rPr>
                        <w:rFonts w:ascii="Cambria Math" w:hAnsi="Cambria Math" w:cstheme="minorHAnsi"/>
                        <w:color w:val="000000"/>
                        <w:sz w:val="18"/>
                        <w:szCs w:val="18"/>
                      </w:rPr>
                      <m:t>0.03</m:t>
                    </m:r>
                  </m:e>
                </m:d>
              </m:oMath>
            </m:oMathPara>
          </w:p>
        </w:tc>
      </w:tr>
      <w:tr w:rsidR="005D7D4B" w14:paraId="2303A80B" w14:textId="77777777" w:rsidTr="006363ED">
        <w:trPr>
          <w:trHeight w:val="290"/>
        </w:trPr>
        <w:tc>
          <w:tcPr>
            <w:tcW w:w="0" w:type="auto"/>
            <w:tcBorders>
              <w:top w:val="nil"/>
              <w:left w:val="nil"/>
            </w:tcBorders>
            <w:shd w:val="clear" w:color="auto" w:fill="auto"/>
            <w:noWrap/>
            <w:tcMar>
              <w:top w:w="15" w:type="dxa"/>
              <w:left w:w="15" w:type="dxa"/>
              <w:bottom w:w="0" w:type="dxa"/>
              <w:right w:w="15" w:type="dxa"/>
            </w:tcMar>
            <w:vAlign w:val="center"/>
            <w:hideMark/>
          </w:tcPr>
          <w:p w14:paraId="37B97DBE" w14:textId="77777777" w:rsidR="005D7D4B" w:rsidRPr="00F543D0" w:rsidRDefault="005D7D4B" w:rsidP="006363ED">
            <w:pPr>
              <w:rPr>
                <w:rFonts w:cstheme="minorHAnsi"/>
                <w:sz w:val="18"/>
                <w:szCs w:val="18"/>
              </w:rPr>
            </w:pPr>
          </w:p>
        </w:tc>
        <w:tc>
          <w:tcPr>
            <w:tcW w:w="1860" w:type="dxa"/>
            <w:tcBorders>
              <w:top w:val="nil"/>
              <w:left w:val="nil"/>
            </w:tcBorders>
            <w:shd w:val="clear" w:color="auto" w:fill="auto"/>
            <w:noWrap/>
            <w:tcMar>
              <w:top w:w="15" w:type="dxa"/>
              <w:left w:w="15" w:type="dxa"/>
              <w:bottom w:w="0" w:type="dxa"/>
              <w:right w:w="15" w:type="dxa"/>
            </w:tcMar>
            <w:vAlign w:val="center"/>
            <w:hideMark/>
          </w:tcPr>
          <w:p w14:paraId="6219BF3C" w14:textId="77777777" w:rsidR="005D7D4B" w:rsidRPr="00F543D0" w:rsidRDefault="005D7D4B" w:rsidP="006363ED">
            <w:pPr>
              <w:jc w:val="center"/>
              <w:rPr>
                <w:rFonts w:cstheme="minorHAnsi"/>
                <w:color w:val="000000"/>
                <w:sz w:val="18"/>
                <w:szCs w:val="18"/>
              </w:rPr>
            </w:pPr>
          </w:p>
        </w:tc>
        <w:tc>
          <w:tcPr>
            <w:tcW w:w="1350" w:type="dxa"/>
            <w:tcBorders>
              <w:top w:val="nil"/>
              <w:left w:val="nil"/>
            </w:tcBorders>
            <w:shd w:val="clear" w:color="auto" w:fill="auto"/>
            <w:noWrap/>
            <w:tcMar>
              <w:top w:w="15" w:type="dxa"/>
              <w:left w:w="15" w:type="dxa"/>
              <w:bottom w:w="0" w:type="dxa"/>
              <w:right w:w="15" w:type="dxa"/>
            </w:tcMar>
            <w:vAlign w:val="center"/>
            <w:hideMark/>
          </w:tcPr>
          <w:p w14:paraId="10CA3924" w14:textId="77777777" w:rsidR="005D7D4B" w:rsidRPr="00F543D0" w:rsidRDefault="005D7D4B" w:rsidP="006363ED">
            <w:pPr>
              <w:jc w:val="center"/>
              <w:rPr>
                <w:rFonts w:cstheme="minorHAnsi"/>
                <w:color w:val="000000"/>
                <w:sz w:val="18"/>
                <w:szCs w:val="18"/>
              </w:rPr>
            </w:pPr>
          </w:p>
        </w:tc>
        <w:tc>
          <w:tcPr>
            <w:tcW w:w="1927" w:type="dxa"/>
            <w:tcBorders>
              <w:top w:val="nil"/>
              <w:left w:val="nil"/>
              <w:right w:val="nil"/>
            </w:tcBorders>
            <w:shd w:val="clear" w:color="auto" w:fill="auto"/>
            <w:noWrap/>
            <w:tcMar>
              <w:top w:w="15" w:type="dxa"/>
              <w:left w:w="15" w:type="dxa"/>
              <w:bottom w:w="0" w:type="dxa"/>
              <w:right w:w="15" w:type="dxa"/>
            </w:tcMar>
            <w:vAlign w:val="center"/>
            <w:hideMark/>
          </w:tcPr>
          <w:p w14:paraId="38FED379" w14:textId="77777777" w:rsidR="005D7D4B" w:rsidRPr="00F543D0" w:rsidRDefault="005D7D4B" w:rsidP="006363ED">
            <w:pPr>
              <w:rPr>
                <w:rFonts w:cstheme="minorHAnsi"/>
                <w:sz w:val="18"/>
                <w:szCs w:val="18"/>
              </w:rPr>
            </w:pPr>
            <w:r w:rsidRPr="00F543D0">
              <w:rPr>
                <w:rFonts w:cstheme="minorHAnsi"/>
                <w:color w:val="000000"/>
                <w:sz w:val="18"/>
                <w:szCs w:val="18"/>
              </w:rPr>
              <w:t> </w:t>
            </w:r>
          </w:p>
        </w:tc>
      </w:tr>
      <w:tr w:rsidR="005D7D4B" w14:paraId="31E5C751" w14:textId="77777777" w:rsidTr="006363ED">
        <w:trPr>
          <w:trHeight w:val="290"/>
        </w:trPr>
        <w:tc>
          <w:tcPr>
            <w:tcW w:w="0" w:type="auto"/>
            <w:tcBorders>
              <w:top w:val="nil"/>
              <w:left w:val="nil"/>
              <w:bottom w:val="single" w:sz="4" w:space="0" w:color="auto"/>
            </w:tcBorders>
            <w:shd w:val="clear" w:color="auto" w:fill="auto"/>
            <w:noWrap/>
            <w:tcMar>
              <w:top w:w="15" w:type="dxa"/>
              <w:left w:w="15" w:type="dxa"/>
              <w:bottom w:w="0" w:type="dxa"/>
              <w:right w:w="15" w:type="dxa"/>
            </w:tcMar>
            <w:vAlign w:val="center"/>
            <w:hideMark/>
          </w:tcPr>
          <w:p w14:paraId="5E5274BA" w14:textId="77777777" w:rsidR="005D7D4B" w:rsidRPr="00F543D0" w:rsidRDefault="005D7D4B" w:rsidP="006363ED">
            <w:pPr>
              <w:rPr>
                <w:rFonts w:cstheme="minorHAnsi"/>
                <w:color w:val="000000"/>
                <w:sz w:val="18"/>
                <w:szCs w:val="18"/>
              </w:rPr>
            </w:pPr>
            <w:r w:rsidRPr="00F543D0">
              <w:rPr>
                <w:rFonts w:cstheme="minorHAnsi"/>
                <w:color w:val="000000"/>
                <w:sz w:val="18"/>
                <w:szCs w:val="18"/>
              </w:rPr>
              <w:t xml:space="preserve">Li </w:t>
            </w:r>
            <w:r w:rsidRPr="00F543D0">
              <w:rPr>
                <w:rFonts w:cstheme="minorHAnsi"/>
                <w:i/>
                <w:iCs/>
                <w:color w:val="000000"/>
                <w:sz w:val="18"/>
                <w:szCs w:val="18"/>
              </w:rPr>
              <w:t>et al.</w:t>
            </w:r>
            <w:r w:rsidRPr="00F543D0">
              <w:rPr>
                <w:rFonts w:cstheme="minorHAnsi"/>
                <w:color w:val="000000"/>
                <w:sz w:val="18"/>
                <w:szCs w:val="18"/>
              </w:rPr>
              <w:t xml:space="preserve"> (2006)</w:t>
            </w:r>
          </w:p>
        </w:tc>
        <w:tc>
          <w:tcPr>
            <w:tcW w:w="1860" w:type="dxa"/>
            <w:tcBorders>
              <w:top w:val="nil"/>
              <w:left w:val="nil"/>
              <w:bottom w:val="single" w:sz="4" w:space="0" w:color="auto"/>
            </w:tcBorders>
            <w:shd w:val="clear" w:color="auto" w:fill="auto"/>
            <w:noWrap/>
            <w:tcMar>
              <w:top w:w="15" w:type="dxa"/>
              <w:left w:w="15" w:type="dxa"/>
              <w:bottom w:w="0" w:type="dxa"/>
              <w:right w:w="15" w:type="dxa"/>
            </w:tcMar>
            <w:vAlign w:val="center"/>
            <w:hideMark/>
          </w:tcPr>
          <w:p w14:paraId="1C54EF65" w14:textId="77777777" w:rsidR="005D7D4B" w:rsidRPr="00F543D0" w:rsidRDefault="005D7D4B" w:rsidP="006363ED">
            <w:pPr>
              <w:jc w:val="center"/>
              <w:rPr>
                <w:rFonts w:cstheme="minorHAnsi"/>
                <w:color w:val="000000"/>
                <w:sz w:val="18"/>
                <w:szCs w:val="18"/>
              </w:rPr>
            </w:pPr>
            <w:r w:rsidRPr="00F543D0">
              <w:rPr>
                <w:rFonts w:cstheme="minorHAnsi"/>
                <w:color w:val="000000"/>
                <w:sz w:val="18"/>
                <w:szCs w:val="18"/>
              </w:rPr>
              <w:t>150</w:t>
            </w:r>
          </w:p>
        </w:tc>
        <w:tc>
          <w:tcPr>
            <w:tcW w:w="1350" w:type="dxa"/>
            <w:tcBorders>
              <w:top w:val="nil"/>
              <w:left w:val="nil"/>
              <w:bottom w:val="single" w:sz="4" w:space="0" w:color="auto"/>
            </w:tcBorders>
            <w:shd w:val="clear" w:color="auto" w:fill="auto"/>
            <w:noWrap/>
            <w:tcMar>
              <w:top w:w="15" w:type="dxa"/>
              <w:left w:w="15" w:type="dxa"/>
              <w:bottom w:w="0" w:type="dxa"/>
              <w:right w:w="15" w:type="dxa"/>
            </w:tcMar>
            <w:vAlign w:val="center"/>
            <w:hideMark/>
          </w:tcPr>
          <w:p w14:paraId="0170B7C8" w14:textId="77777777" w:rsidR="005D7D4B" w:rsidRPr="00F543D0" w:rsidRDefault="005D7D4B" w:rsidP="006363ED">
            <w:pPr>
              <w:jc w:val="center"/>
              <w:rPr>
                <w:rFonts w:cstheme="minorHAnsi"/>
                <w:color w:val="000000"/>
                <w:sz w:val="18"/>
                <w:szCs w:val="18"/>
              </w:rPr>
            </w:pPr>
            <w:r w:rsidRPr="00F543D0">
              <w:rPr>
                <w:rFonts w:cstheme="minorHAnsi"/>
                <w:color w:val="000000"/>
                <w:sz w:val="18"/>
                <w:szCs w:val="18"/>
              </w:rPr>
              <w:t>0.06</w:t>
            </w:r>
          </w:p>
        </w:tc>
        <w:tc>
          <w:tcPr>
            <w:tcW w:w="192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C472F13" w14:textId="77777777" w:rsidR="005D7D4B" w:rsidRPr="00F543D0" w:rsidRDefault="005D7D4B" w:rsidP="006363ED">
            <w:pPr>
              <w:rPr>
                <w:rFonts w:cstheme="minorHAnsi"/>
                <w:sz w:val="18"/>
                <w:szCs w:val="18"/>
              </w:rPr>
            </w:pPr>
            <m:oMathPara>
              <m:oMath>
                <m:d>
                  <m:dPr>
                    <m:begChr m:val="["/>
                    <m:endChr m:val="]"/>
                    <m:ctrlPr>
                      <w:rPr>
                        <w:rFonts w:ascii="Cambria Math" w:hAnsi="Cambria Math" w:cstheme="minorHAnsi"/>
                        <w:i/>
                        <w:color w:val="000000"/>
                        <w:sz w:val="18"/>
                        <w:szCs w:val="18"/>
                      </w:rPr>
                    </m:ctrlPr>
                  </m:dPr>
                  <m:e>
                    <m:r>
                      <m:rPr>
                        <m:sty m:val="p"/>
                      </m:rPr>
                      <w:rPr>
                        <w:rFonts w:ascii="Cambria Math" w:hAnsi="Cambria Math" w:cstheme="minorHAnsi"/>
                        <w:color w:val="000000"/>
                        <w:sz w:val="18"/>
                        <w:szCs w:val="18"/>
                      </w:rPr>
                      <m:t>0.07</m:t>
                    </m:r>
                  </m:e>
                </m:d>
              </m:oMath>
            </m:oMathPara>
          </w:p>
        </w:tc>
      </w:tr>
    </w:tbl>
    <w:p w14:paraId="571C4471" w14:textId="77777777" w:rsidR="005D7D4B" w:rsidRDefault="005D7D4B" w:rsidP="005D7D4B">
      <w:pPr>
        <w:rPr>
          <w:lang w:val="en-US"/>
        </w:rPr>
      </w:pPr>
    </w:p>
    <w:p w14:paraId="5A7F33C0" w14:textId="77777777" w:rsidR="00AE2260" w:rsidRDefault="00B04A1E"/>
    <w:sectPr w:rsidR="00AE2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4B"/>
    <w:rsid w:val="005D7D4B"/>
    <w:rsid w:val="00860B15"/>
    <w:rsid w:val="00A62F15"/>
    <w:rsid w:val="00B04A1E"/>
    <w:rsid w:val="00CC3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45C2"/>
  <w15:chartTrackingRefBased/>
  <w15:docId w15:val="{AF295CFE-F90E-4B92-858E-B0122EC4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4B"/>
  </w:style>
  <w:style w:type="paragraph" w:styleId="Heading1">
    <w:name w:val="heading 1"/>
    <w:basedOn w:val="Normal"/>
    <w:link w:val="Heading1Char"/>
    <w:uiPriority w:val="9"/>
    <w:qFormat/>
    <w:rsid w:val="005D7D4B"/>
    <w:pPr>
      <w:spacing w:before="100" w:beforeAutospacing="1" w:after="100" w:afterAutospacing="1" w:line="240" w:lineRule="auto"/>
      <w:outlineLvl w:val="0"/>
    </w:pPr>
    <w:rPr>
      <w:rFonts w:ascii="Times New Roman" w:eastAsia="Times New Roman" w:hAnsi="Times New Roman" w:cs="Times New Roman"/>
      <w:b/>
      <w:bCs/>
      <w:kern w:val="36"/>
      <w:sz w:val="32"/>
      <w:szCs w:val="3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D4B"/>
    <w:rPr>
      <w:rFonts w:ascii="Times New Roman" w:eastAsia="Times New Roman" w:hAnsi="Times New Roman" w:cs="Times New Roman"/>
      <w:b/>
      <w:bCs/>
      <w:kern w:val="36"/>
      <w:sz w:val="32"/>
      <w:szCs w:val="32"/>
      <w:lang w:eastAsia="nl-NL"/>
    </w:rPr>
  </w:style>
  <w:style w:type="paragraph" w:styleId="Caption">
    <w:name w:val="caption"/>
    <w:basedOn w:val="Normal"/>
    <w:next w:val="Normal"/>
    <w:uiPriority w:val="35"/>
    <w:unhideWhenUsed/>
    <w:qFormat/>
    <w:rsid w:val="005D7D4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2968</Characters>
  <Application>Microsoft Office Word</Application>
  <DocSecurity>0</DocSecurity>
  <Lines>74</Lines>
  <Paragraphs>27</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Scholten, B.J.W. (Bernice)</dc:creator>
  <cp:keywords/>
  <dc:description/>
  <cp:lastModifiedBy>Scholten, B.J.W. (Bernice)</cp:lastModifiedBy>
  <cp:revision>2</cp:revision>
  <dcterms:created xsi:type="dcterms:W3CDTF">2021-10-28T18:17:00Z</dcterms:created>
  <dcterms:modified xsi:type="dcterms:W3CDTF">2021-10-28T19:06:00Z</dcterms:modified>
</cp:coreProperties>
</file>