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B5" w:rsidRPr="00FF3E3E" w:rsidRDefault="00E735B5" w:rsidP="00E735B5">
      <w:pPr>
        <w:spacing w:before="360" w:after="12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Supplementary </w:t>
      </w:r>
      <w:r w:rsidR="008B3EFA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44753D">
        <w:rPr>
          <w:rFonts w:ascii="Arial" w:hAnsi="Arial" w:cs="Arial"/>
          <w:b/>
          <w:sz w:val="20"/>
          <w:szCs w:val="20"/>
          <w:lang w:val="en-US"/>
        </w:rPr>
        <w:t>S</w:t>
      </w:r>
      <w:r w:rsidR="008B3EFA">
        <w:rPr>
          <w:rFonts w:ascii="Arial" w:hAnsi="Arial" w:cs="Arial"/>
          <w:b/>
          <w:sz w:val="20"/>
          <w:szCs w:val="20"/>
          <w:lang w:val="en-US"/>
        </w:rPr>
        <w:t>4</w:t>
      </w:r>
      <w:r w:rsidRPr="00FF3E3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FF3E3E">
        <w:rPr>
          <w:rFonts w:ascii="Arial" w:hAnsi="Arial" w:cs="Arial"/>
          <w:sz w:val="20"/>
          <w:szCs w:val="20"/>
          <w:lang w:val="en-US"/>
        </w:rPr>
        <w:t>Number of colonoscopies needed to prevent a colorectal cancer death for each</w:t>
      </w:r>
      <w:r w:rsidRPr="00FF3E3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F3E3E">
        <w:rPr>
          <w:rFonts w:ascii="Arial" w:hAnsi="Arial" w:cs="Arial"/>
          <w:sz w:val="20"/>
          <w:szCs w:val="20"/>
          <w:lang w:val="en-US"/>
        </w:rPr>
        <w:t>surveillance strategies among HL Survivors (entire cohort not stratified by treatment, base case analysis).</w:t>
      </w:r>
    </w:p>
    <w:tbl>
      <w:tblPr>
        <w:tblW w:w="826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276"/>
        <w:gridCol w:w="1587"/>
        <w:gridCol w:w="830"/>
        <w:gridCol w:w="1053"/>
        <w:gridCol w:w="1086"/>
        <w:gridCol w:w="18"/>
      </w:tblGrid>
      <w:tr w:rsidR="00E735B5" w:rsidRPr="00FF3E3E" w:rsidTr="00971EE5">
        <w:trPr>
          <w:gridAfter w:val="1"/>
          <w:wAfter w:w="18" w:type="dxa"/>
          <w:trHeight w:val="20"/>
          <w:jc w:val="center"/>
        </w:trPr>
        <w:tc>
          <w:tcPr>
            <w:tcW w:w="2486" w:type="dxa"/>
            <w:vMerge w:val="restart"/>
            <w:shd w:val="clear" w:color="auto" w:fill="auto"/>
            <w:vAlign w:val="center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Surveillance strategy</w:t>
            </w:r>
          </w:p>
        </w:tc>
        <w:tc>
          <w:tcPr>
            <w:tcW w:w="5759" w:type="dxa"/>
            <w:gridSpan w:val="5"/>
            <w:shd w:val="clear" w:color="auto" w:fill="auto"/>
          </w:tcPr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Outcomes per 1,000 HL survivors free of CRC diagnosis and aged 35 years in 2019 (3%)*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vMerge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CRC deaths predicted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*,†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CRC mortality</w:t>
            </w:r>
          </w:p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Pr="00FF3E3E">
              <w:rPr>
                <w:rFonts w:ascii="Arial" w:hAnsi="Arial" w:cs="Arial"/>
                <w:b/>
                <w:sz w:val="20"/>
                <w:szCs w:val="20"/>
              </w:rPr>
              <w:t>reduction</w:t>
            </w:r>
            <w:proofErr w:type="gramEnd"/>
            <w:r w:rsidRPr="00FF3E3E">
              <w:rPr>
                <w:rFonts w:ascii="Arial" w:hAnsi="Arial" w:cs="Arial"/>
                <w:b/>
                <w:sz w:val="20"/>
                <w:szCs w:val="20"/>
              </w:rPr>
              <w:t>, %)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*,‡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NNS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53" w:type="dxa"/>
            <w:shd w:val="clear" w:color="auto" w:fill="auto"/>
            <w:vAlign w:val="bottom"/>
          </w:tcPr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COLs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07" w:type="dxa"/>
            <w:gridSpan w:val="2"/>
            <w:shd w:val="clear" w:color="auto" w:fill="auto"/>
            <w:vAlign w:val="bottom"/>
          </w:tcPr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Costs</w:t>
            </w:r>
          </w:p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($1,000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§</w:t>
            </w:r>
            <w:r w:rsidRPr="00FF3E3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No Surveillance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26.05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73.02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965.53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35-70,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5.46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79.03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164.35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3383.88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2339.48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35-75,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5.21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167.23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3485.07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2370.04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5.74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77.96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141.99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2883.77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1962.79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5.47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79.00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145.10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2986.24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1993.74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6.36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75.58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120.68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2376.21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1657.40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76.60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124.21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2478.05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1688.14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50-70,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7.77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70.17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101.88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1862.29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1425.14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50-75,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7.49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71.24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105.82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1963.93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1455.79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35-70,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7.03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73.01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115.07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2188.59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1746.81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35-75,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6.63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74.55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116.07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2254.01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1769.14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7.30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71.99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101.94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1911.44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1546.32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7.02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73.04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102.86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1957.47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1562.09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7.99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69.32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88.55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1599.29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1374.86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7.57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70.96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90.12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1665.39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1397.52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50-70,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9.37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64.02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76.71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1279.46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1249.98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50-75,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9.06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65.21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78.07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1326.46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1266.09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35-70,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6.18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76.27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122.78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2439.72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1943.12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35-75,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5.86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77.50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124.09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2505.44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1966.68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6.52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74.97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107.97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2108.69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1681.30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6.17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76.31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109.40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2174.95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1704.95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7.18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72.45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93.21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1758.87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1467.73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6.83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73.78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94.97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1825.40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1491.51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50-70,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8.60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66.98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79.70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1390.76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1305.60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50-75,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8.23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68.42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81.82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1458.02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1329.71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35-70,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8.57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67.09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89.90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1571.38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1527.39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35-75,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8.05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69.10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89.85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1617.25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1547.70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8.78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66.29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80.36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1387.79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1389.96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8.44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67.61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80.63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1419.82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1404.19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9.52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63.47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70.95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1172.79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1271.31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8.95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65.63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71.32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1219.65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1292.08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50-70,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10.81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58.49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62.21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948.09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1186.22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50-75,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10.43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59.98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62.82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981.18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1200.95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35-70,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6.94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73.38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97.54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1864.07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1736.64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35-75,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6.52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74.98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97.90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1911.92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1757.78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7.28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72.04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86.66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1626.66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1536.67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6.85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73.72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87.24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1674.92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1558.01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7.93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69.56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75.46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1367.34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1372.94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7.48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71.28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76.25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1415.96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1394.57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50-70,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9.37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64.05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65.25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1088.33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1250.59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50-75,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8.89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65.87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66.31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1137.95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1272.76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35-70,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9.82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62.30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73.08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1186.13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1417.45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35-75,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9.18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64.75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72.42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1221.67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1438.31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61.63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65.80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1056.03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1313.93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9.58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63.23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65.62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1080.74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1328.56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10.72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58.84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58.53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897.26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1223.92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61.45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58.32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933.78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1245.50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50-70,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11.92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54.26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51.73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731.00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1161.46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lastRenderedPageBreak/>
              <w:t>FIT47, 50-75,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11.46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56.02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51.87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756.73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1176.62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35-70,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88.07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443.34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10170.14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5336.68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35-75,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2.80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89.25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455.56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10591.84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5436.63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40-70,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3.52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86.48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379.76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8555.94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4215.14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40-75,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87.79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386.95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8849.50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4284.02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45-70,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4.04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84.51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316.91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6975.23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3279.24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45-75,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3.80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85.40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330.19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7346.64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3365.47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50-70,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5.72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78.06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258.88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5263.02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2494.03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50-75,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5.42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79.21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275.46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5682.77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2593.53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35-70,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5.16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80.21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298.77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6241.24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3577.31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35-75,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4.93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81.06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305.24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6446.76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3624.46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40-70,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5.39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79.31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254.83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5264.81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2891.22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40-75,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5.15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80.25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261.64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5468.25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2937.90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45-70,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5.84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77.59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214.93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4343.68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2333.61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45-75,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5.71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78.08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222.19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4519.44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2373.50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50-70,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7.12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72.67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181.08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3427.78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1892.12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50-75,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6.90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73.50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190.79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3653.55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1943.56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35-70,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5.89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77.40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210.21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4237.92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2636.91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35-75,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5.67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78.26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217.36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4429.72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2681.54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40-70,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6.11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76.56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188.43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3757.28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2252.49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40-75,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6.11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76.56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188.43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3757.28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2252.49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45-70,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6.44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75.28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161.45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3166.05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1897.15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45-75,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6.26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75.98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168.85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3341.50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1937.96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50-70,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7.52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71.14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143.09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2651.50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1627.44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50-75,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7.52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71.14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143.09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2651.50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1627.44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35-70,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4.86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81.34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422.67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8956.34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13019.09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35-75,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4.63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82.23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436.12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9341.64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13310.43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5.14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80.26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347.83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7273.04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9521.90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4.88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81.28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362.41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7672.24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9823.88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5.72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78.05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282.45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5742.12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6860.79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5.49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78.93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297.85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6123.73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7149.75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50-70,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7.03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73.00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228.97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4355.05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4896.02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50-75,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6.82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73.82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245.75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4725.72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5176.45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35-70,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5.20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80.05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264.78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5520.70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7673.64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35-75,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4.97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80.91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272.16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5737.22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7838.30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5.49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78.93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225.23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4630.76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5845.17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5.31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79.62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231.06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4792.09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5967.84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6.07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76.70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186.84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3733.16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4369.94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5.87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77.46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195.44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3943.97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4530.52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50-70,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7.45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71.39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156.55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2911.75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3298.93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50-75,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7.28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72.04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163.47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3068.33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3417.94</w:t>
            </w:r>
          </w:p>
        </w:tc>
      </w:tr>
    </w:tbl>
    <w:p w:rsidR="00E735B5" w:rsidRPr="00FF3E3E" w:rsidRDefault="00E735B5" w:rsidP="00E735B5">
      <w:pPr>
        <w:pStyle w:val="Geenafstand"/>
        <w:ind w:left="708"/>
        <w:rPr>
          <w:rFonts w:ascii="Arial" w:hAnsi="Arial" w:cs="Arial"/>
          <w:sz w:val="20"/>
          <w:szCs w:val="20"/>
        </w:rPr>
      </w:pPr>
      <w:r w:rsidRPr="00FF3E3E">
        <w:rPr>
          <w:rFonts w:ascii="Arial" w:hAnsi="Arial" w:cs="Arial"/>
          <w:sz w:val="20"/>
          <w:szCs w:val="20"/>
          <w:vertAlign w:val="superscript"/>
        </w:rPr>
        <w:t>*</w:t>
      </w:r>
      <w:r w:rsidRPr="00FF3E3E">
        <w:rPr>
          <w:rFonts w:ascii="Arial" w:hAnsi="Arial" w:cs="Arial"/>
          <w:sz w:val="20"/>
          <w:szCs w:val="20"/>
        </w:rPr>
        <w:t>Including deaths from complications of surveillance; CRC = colorectal cancer; NNS= number needed to screen to prevent one death from colorectal cancer; COLs = number of colonoscopies.</w:t>
      </w:r>
    </w:p>
    <w:p w:rsidR="00E735B5" w:rsidRPr="00FF3E3E" w:rsidRDefault="00E735B5" w:rsidP="00E735B5">
      <w:pPr>
        <w:pStyle w:val="Geenafstand"/>
        <w:ind w:left="708"/>
        <w:rPr>
          <w:rFonts w:ascii="Arial" w:hAnsi="Arial" w:cs="Arial"/>
          <w:sz w:val="20"/>
          <w:szCs w:val="20"/>
        </w:rPr>
      </w:pPr>
      <w:r w:rsidRPr="00FF3E3E">
        <w:rPr>
          <w:rFonts w:ascii="Arial" w:hAnsi="Arial" w:cs="Arial"/>
          <w:sz w:val="20"/>
          <w:szCs w:val="20"/>
          <w:vertAlign w:val="superscript"/>
        </w:rPr>
        <w:t>†</w:t>
      </w:r>
      <w:r w:rsidRPr="00FF3E3E">
        <w:rPr>
          <w:rFonts w:ascii="Arial" w:hAnsi="Arial" w:cs="Arial"/>
          <w:sz w:val="20"/>
          <w:szCs w:val="20"/>
        </w:rPr>
        <w:t>outcomes not discounted.</w:t>
      </w:r>
    </w:p>
    <w:p w:rsidR="00E735B5" w:rsidRPr="00FF3E3E" w:rsidRDefault="00E735B5" w:rsidP="00E735B5">
      <w:pPr>
        <w:pStyle w:val="Geenafstand"/>
        <w:ind w:left="708"/>
        <w:rPr>
          <w:rFonts w:ascii="Arial" w:hAnsi="Arial" w:cs="Arial"/>
          <w:sz w:val="20"/>
          <w:szCs w:val="20"/>
        </w:rPr>
      </w:pPr>
      <w:r w:rsidRPr="00FF3E3E">
        <w:rPr>
          <w:rFonts w:ascii="Arial" w:hAnsi="Arial" w:cs="Arial"/>
          <w:sz w:val="20"/>
          <w:szCs w:val="20"/>
          <w:vertAlign w:val="superscript"/>
        </w:rPr>
        <w:t>‡</w:t>
      </w:r>
      <w:r w:rsidRPr="00FF3E3E">
        <w:rPr>
          <w:rFonts w:ascii="Arial" w:hAnsi="Arial" w:cs="Arial"/>
          <w:sz w:val="20"/>
          <w:szCs w:val="20"/>
        </w:rPr>
        <w:t>compared with no surveillance.</w:t>
      </w:r>
    </w:p>
    <w:p w:rsidR="00E735B5" w:rsidRPr="00FF3E3E" w:rsidRDefault="00E735B5" w:rsidP="00E735B5">
      <w:pPr>
        <w:spacing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FF3E3E">
        <w:rPr>
          <w:rFonts w:ascii="Arial" w:hAnsi="Arial" w:cs="Arial"/>
          <w:sz w:val="20"/>
          <w:szCs w:val="20"/>
          <w:vertAlign w:val="superscript"/>
          <w:lang w:val="en-US"/>
        </w:rPr>
        <w:t xml:space="preserve">§ </w:t>
      </w:r>
      <w:proofErr w:type="gramStart"/>
      <w:r w:rsidRPr="00FF3E3E">
        <w:rPr>
          <w:rFonts w:ascii="Arial" w:hAnsi="Arial" w:cs="Arial"/>
          <w:sz w:val="20"/>
          <w:szCs w:val="20"/>
          <w:lang w:val="en-US"/>
        </w:rPr>
        <w:t>currency</w:t>
      </w:r>
      <w:proofErr w:type="gramEnd"/>
      <w:r w:rsidRPr="00FF3E3E">
        <w:rPr>
          <w:rFonts w:ascii="Arial" w:hAnsi="Arial" w:cs="Arial"/>
          <w:sz w:val="20"/>
          <w:szCs w:val="20"/>
          <w:lang w:val="en-US"/>
        </w:rPr>
        <w:t xml:space="preserve"> </w:t>
      </w:r>
      <w:r w:rsidRPr="00FF3E3E">
        <w:rPr>
          <w:rFonts w:ascii="Arial" w:hAnsi="Arial" w:cs="Arial"/>
          <w:sz w:val="20"/>
          <w:szCs w:val="20"/>
        </w:rPr>
        <w:t xml:space="preserve">is </w:t>
      </w:r>
      <w:r w:rsidRPr="00FF3E3E">
        <w:rPr>
          <w:rFonts w:ascii="Arial" w:hAnsi="Arial" w:cs="Arial"/>
          <w:sz w:val="20"/>
          <w:szCs w:val="20"/>
          <w:lang w:val="en-US"/>
        </w:rPr>
        <w:t>euro.</w:t>
      </w:r>
    </w:p>
    <w:p w:rsidR="00E735B5" w:rsidRPr="00FF3E3E" w:rsidRDefault="00E735B5" w:rsidP="00E735B5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E735B5" w:rsidRDefault="00E735B5" w:rsidP="00E735B5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E735B5" w:rsidRPr="00FF3E3E" w:rsidRDefault="00E735B5" w:rsidP="00E735B5">
      <w:pPr>
        <w:spacing w:before="360" w:after="12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 xml:space="preserve">Supplementary </w:t>
      </w:r>
      <w:r w:rsidR="008B3EFA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44753D">
        <w:rPr>
          <w:rFonts w:ascii="Arial" w:hAnsi="Arial" w:cs="Arial"/>
          <w:b/>
          <w:sz w:val="20"/>
          <w:szCs w:val="20"/>
          <w:lang w:val="en-US"/>
        </w:rPr>
        <w:t>S</w:t>
      </w:r>
      <w:r w:rsidR="008B3EFA">
        <w:rPr>
          <w:rFonts w:ascii="Arial" w:hAnsi="Arial" w:cs="Arial"/>
          <w:b/>
          <w:sz w:val="20"/>
          <w:szCs w:val="20"/>
          <w:lang w:val="en-US"/>
        </w:rPr>
        <w:t>5</w:t>
      </w:r>
      <w:r w:rsidRPr="00FF3E3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FF3E3E">
        <w:rPr>
          <w:rFonts w:ascii="Arial" w:hAnsi="Arial" w:cs="Arial"/>
          <w:sz w:val="20"/>
          <w:szCs w:val="20"/>
          <w:lang w:val="en-US"/>
        </w:rPr>
        <w:t>Number of colonoscopies needed to prevent a colorectal cancer death for each surveillance strategies among HL Survivors (with</w:t>
      </w:r>
      <w:r w:rsidRPr="00FF3E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E3E">
        <w:rPr>
          <w:rFonts w:ascii="Arial" w:hAnsi="Arial" w:cs="Arial"/>
          <w:sz w:val="20"/>
          <w:szCs w:val="20"/>
          <w:lang w:val="en-US"/>
        </w:rPr>
        <w:t>procarbazine</w:t>
      </w:r>
      <w:proofErr w:type="spellEnd"/>
      <w:r w:rsidRPr="00FF3E3E">
        <w:rPr>
          <w:rFonts w:ascii="Arial" w:hAnsi="Arial" w:cs="Arial"/>
          <w:sz w:val="20"/>
          <w:szCs w:val="20"/>
          <w:lang w:val="en-US"/>
        </w:rPr>
        <w:t xml:space="preserve"> chemotherapy without </w:t>
      </w:r>
      <w:proofErr w:type="spellStart"/>
      <w:r w:rsidRPr="00FF3E3E">
        <w:rPr>
          <w:rFonts w:ascii="Arial" w:hAnsi="Arial" w:cs="Arial"/>
          <w:sz w:val="20"/>
          <w:szCs w:val="20"/>
          <w:lang w:val="en-US"/>
        </w:rPr>
        <w:t>infradiaphragmatic</w:t>
      </w:r>
      <w:proofErr w:type="spellEnd"/>
      <w:r w:rsidRPr="00FF3E3E">
        <w:rPr>
          <w:rFonts w:ascii="Arial" w:hAnsi="Arial" w:cs="Arial"/>
          <w:sz w:val="20"/>
          <w:szCs w:val="20"/>
          <w:lang w:val="en-US"/>
        </w:rPr>
        <w:t xml:space="preserve"> radiotherapy, base case analysis).</w:t>
      </w:r>
    </w:p>
    <w:tbl>
      <w:tblPr>
        <w:tblW w:w="817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276"/>
        <w:gridCol w:w="1578"/>
        <w:gridCol w:w="830"/>
        <w:gridCol w:w="1053"/>
        <w:gridCol w:w="1051"/>
      </w:tblGrid>
      <w:tr w:rsidR="00E735B5" w:rsidRPr="00FF3E3E" w:rsidTr="00971EE5">
        <w:trPr>
          <w:trHeight w:val="20"/>
          <w:jc w:val="center"/>
        </w:trPr>
        <w:tc>
          <w:tcPr>
            <w:tcW w:w="2486" w:type="dxa"/>
            <w:vMerge w:val="restart"/>
            <w:shd w:val="clear" w:color="auto" w:fill="auto"/>
            <w:vAlign w:val="center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Surveillance strategy</w:t>
            </w:r>
          </w:p>
        </w:tc>
        <w:tc>
          <w:tcPr>
            <w:tcW w:w="5687" w:type="dxa"/>
            <w:gridSpan w:val="5"/>
            <w:shd w:val="clear" w:color="auto" w:fill="auto"/>
          </w:tcPr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Outcomes per 1,000 HL survivors free of CRC diagnosis and aged 35 years in 2019 (3%)*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vMerge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CRC deaths predicted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*,†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CRC mortality</w:t>
            </w:r>
          </w:p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Pr="00FF3E3E">
              <w:rPr>
                <w:rFonts w:ascii="Arial" w:hAnsi="Arial" w:cs="Arial"/>
                <w:b/>
                <w:sz w:val="20"/>
                <w:szCs w:val="20"/>
              </w:rPr>
              <w:t>reduction</w:t>
            </w:r>
            <w:proofErr w:type="gramEnd"/>
            <w:r w:rsidRPr="00FF3E3E">
              <w:rPr>
                <w:rFonts w:ascii="Arial" w:hAnsi="Arial" w:cs="Arial"/>
                <w:b/>
                <w:sz w:val="20"/>
                <w:szCs w:val="20"/>
              </w:rPr>
              <w:t>, %)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*,‡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NNS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53" w:type="dxa"/>
            <w:shd w:val="clear" w:color="auto" w:fill="auto"/>
            <w:vAlign w:val="bottom"/>
          </w:tcPr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COLs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Costs</w:t>
            </w:r>
          </w:p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($1,000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§</w:t>
            </w:r>
            <w:r w:rsidRPr="00FF3E3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No Surveillance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17.21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49.03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637.38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35-70,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3.69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78.55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238.72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3227.48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2102.58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35-75,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3.48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79.76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242.98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3336.13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2134.91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3.89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77.42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205.29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2734.47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1724.30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3.67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78.69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210.07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2844.33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1757.12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74.80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174.02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2239.65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1412.30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76.06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179.43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2348.79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1444.88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50-70,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5.21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69.71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145.47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1745.68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1165.49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50-75,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4.98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71.04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151.65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1854.68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1198.10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35-70,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4.91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71.48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162.54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1999.26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1469.52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35-75,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4.58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73.38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163.77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2068.47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1492.37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5.07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70.53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142.76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1733.06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1270.46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4.84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71.87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144.02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1781.51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1286.55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5.60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67.44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123.87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1438.17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1096.78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5.25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69.47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126.08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1507.93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1120.04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50-70,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6.41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62.78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106.03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1145.15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962.47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50-75,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6.15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64.28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108.01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1194.54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978.93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35-70,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75.10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174.34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2252.49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1680.54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35-75,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4.02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76.64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176.07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2322.30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1704.99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4.51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73.80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152.14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1932.19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1418.46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4.22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75.45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154.16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2002.57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1443.12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4.97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71.14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130.67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1599.38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1200.05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4.68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72.80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133.27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1669.93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1224.76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50-70,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5.86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65.96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110.71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1256.57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1026.62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50-75,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5.55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67.73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113.88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1327.88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1051.66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35-70,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6.03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64.95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124.46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1391.42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1233.64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35-75,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5.62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67.36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124.15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1438.89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1253.53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6.17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64.15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110.40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1218.77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1097.87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5.89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65.80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110.58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1251.76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1111.84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6.71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61.00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97.14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1020.02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976.66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6.27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63.55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97.65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1068.27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997.07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50-70,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7.47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56.59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84.13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819.43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884.79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50-75,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7.16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58.40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84.91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853.36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899.17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35-70,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4.86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71.75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135.78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1676.92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1457.42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35-75,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4.53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73.68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136.21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1727.13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1479.07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5.09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70.44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119.71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1450.86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1257.26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4.73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72.50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120.30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1501.31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1279.06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5.55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67.73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103.77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1209.94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1090.54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5.19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69.83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104.90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1260.88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1112.37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50-70,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6.44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62.57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88.75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955.88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957.44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50-75,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6.05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64.83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90.29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1007.67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979.88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35-70,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6.93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59.76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99.83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1026.22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1110.71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35-75,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6.43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62.65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98.52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1062.07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1130.45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7.01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59.26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88.75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905.26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1008.62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6.68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61.20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88.33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930.10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1022.34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7.57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56.03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79.02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761.72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916.32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59.07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78.50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798.34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936.65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50-70,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8.25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52.05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68.73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615.81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847.06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50-75,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7.89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54.16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68.84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641.56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861.39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35-70,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88.21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669.33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10160.39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5176.05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lastRenderedPageBreak/>
              <w:t>COL, 35-75,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1.79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89.58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688.48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10616.32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5284.09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40-70,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86.63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575.04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8573.79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4058.11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40-75,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2.06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88.03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585.83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8875.40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4128.92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45-70,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2.64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84.65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478.84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6976.69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3111.26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45-75,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2.47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85.68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500.60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7378.89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3204.45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50-70,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3.74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78.28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390.91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5265.52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2305.70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50-75,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3.51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79.60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417.52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5719.98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2413.45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35-70,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3.41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80.16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452.15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6239.69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3393.95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35-75,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3.26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81.06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462.50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6451.91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3442.26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40-70,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3.61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79.05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386.61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5257.83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2703.04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40-75,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3.44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80.03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397.10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5468.11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2751.00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45-70,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3.88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77.43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324.51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4325.70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2134.75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45-75,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3.78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78.04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336.06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4513.31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2177.04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50-70,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4.73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72.53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273.10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3408.23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1676.75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50-75,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4.58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73.39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288.11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3638.83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1729.06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35-70,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76.12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309.44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4053.60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2376.52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35-75,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3.92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77.20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320.14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4254.68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2422.99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40-70,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4.27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75.19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277.66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3592.89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1997.47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40-75,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4.27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75.19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277.66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3592.89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1997.47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45-70,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4.45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74.17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234.95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2998.00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1641.37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45-75,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75.09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246.54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3185.25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1684.53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50-70,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5.15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70.11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209.29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2524.01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1374.20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50-75,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5.15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70.11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209.29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2524.01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1374.20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35-70,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81.64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660.51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9280.19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13621.20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35-75,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2.98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82.70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681.36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9695.79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13935.65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3.39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80.30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546.60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7554.06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9995.81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81.45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569.36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7982.39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10320.15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3.78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78.01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443.79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5960.15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7163.51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3.61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79.02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468.58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6372.71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7476.12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50-70,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4.63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73.10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358.37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4508.34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5022.85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50-75,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4.47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74.05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385.38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4909.72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5326.75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35-70,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3.45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79.94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399.74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5500.42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7763.53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35-75,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3.28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80.97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411.64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5734.10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7941.19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3.65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78.81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339.92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4609.31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5890.70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3.51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79.63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349.06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4782.15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6022.08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4.08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76.31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281.75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3699.35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4342.56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3.91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77.28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295.39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3928.63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4516.88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50-70,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4.96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71.17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235.17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2880.85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3199.10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50-75,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4.83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71.97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246.27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3048.77</w:t>
            </w:r>
          </w:p>
        </w:tc>
        <w:tc>
          <w:tcPr>
            <w:tcW w:w="1017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3326.64</w:t>
            </w:r>
          </w:p>
        </w:tc>
      </w:tr>
    </w:tbl>
    <w:p w:rsidR="00E735B5" w:rsidRPr="00FF3E3E" w:rsidRDefault="00E735B5" w:rsidP="00E735B5">
      <w:pPr>
        <w:pStyle w:val="Geenafstand"/>
        <w:ind w:left="708"/>
        <w:rPr>
          <w:rFonts w:ascii="Arial" w:hAnsi="Arial" w:cs="Arial"/>
          <w:sz w:val="20"/>
          <w:szCs w:val="20"/>
        </w:rPr>
      </w:pPr>
      <w:r w:rsidRPr="00FF3E3E">
        <w:rPr>
          <w:rFonts w:ascii="Arial" w:hAnsi="Arial" w:cs="Arial"/>
          <w:sz w:val="20"/>
          <w:szCs w:val="20"/>
          <w:vertAlign w:val="superscript"/>
        </w:rPr>
        <w:t>*</w:t>
      </w:r>
      <w:r w:rsidRPr="00FF3E3E">
        <w:rPr>
          <w:rFonts w:ascii="Arial" w:hAnsi="Arial" w:cs="Arial"/>
          <w:sz w:val="20"/>
          <w:szCs w:val="20"/>
        </w:rPr>
        <w:t>Including deaths from complications of surveillance; CRC = colorectal cancer; NNS= number needed to screen to prevent one death from colorectal cancer; COLs = number of colonoscopies.</w:t>
      </w:r>
    </w:p>
    <w:p w:rsidR="00E735B5" w:rsidRPr="00FF3E3E" w:rsidRDefault="00E735B5" w:rsidP="00E735B5">
      <w:pPr>
        <w:pStyle w:val="Geenafstand"/>
        <w:ind w:left="708"/>
        <w:rPr>
          <w:rFonts w:ascii="Arial" w:hAnsi="Arial" w:cs="Arial"/>
          <w:sz w:val="20"/>
          <w:szCs w:val="20"/>
        </w:rPr>
      </w:pPr>
      <w:r w:rsidRPr="00FF3E3E">
        <w:rPr>
          <w:rFonts w:ascii="Arial" w:hAnsi="Arial" w:cs="Arial"/>
          <w:sz w:val="20"/>
          <w:szCs w:val="20"/>
          <w:vertAlign w:val="superscript"/>
        </w:rPr>
        <w:t>†</w:t>
      </w:r>
      <w:r w:rsidRPr="00FF3E3E">
        <w:rPr>
          <w:rFonts w:ascii="Arial" w:hAnsi="Arial" w:cs="Arial"/>
          <w:sz w:val="20"/>
          <w:szCs w:val="20"/>
        </w:rPr>
        <w:t>outcomes not discounted.</w:t>
      </w:r>
    </w:p>
    <w:p w:rsidR="00E735B5" w:rsidRPr="00FF3E3E" w:rsidRDefault="00E735B5" w:rsidP="00E735B5">
      <w:pPr>
        <w:pStyle w:val="Geenafstand"/>
        <w:ind w:left="708"/>
        <w:rPr>
          <w:rFonts w:ascii="Arial" w:hAnsi="Arial" w:cs="Arial"/>
          <w:sz w:val="20"/>
          <w:szCs w:val="20"/>
        </w:rPr>
      </w:pPr>
      <w:r w:rsidRPr="00FF3E3E">
        <w:rPr>
          <w:rFonts w:ascii="Arial" w:hAnsi="Arial" w:cs="Arial"/>
          <w:sz w:val="20"/>
          <w:szCs w:val="20"/>
          <w:vertAlign w:val="superscript"/>
        </w:rPr>
        <w:t>‡</w:t>
      </w:r>
      <w:r w:rsidRPr="00FF3E3E">
        <w:rPr>
          <w:rFonts w:ascii="Arial" w:hAnsi="Arial" w:cs="Arial"/>
          <w:sz w:val="20"/>
          <w:szCs w:val="20"/>
        </w:rPr>
        <w:t>compared with no surveillance.</w:t>
      </w:r>
    </w:p>
    <w:p w:rsidR="00E735B5" w:rsidRPr="00FF3E3E" w:rsidRDefault="00E735B5" w:rsidP="00E735B5">
      <w:pPr>
        <w:spacing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FF3E3E">
        <w:rPr>
          <w:rFonts w:ascii="Arial" w:hAnsi="Arial" w:cs="Arial"/>
          <w:sz w:val="20"/>
          <w:szCs w:val="20"/>
          <w:vertAlign w:val="superscript"/>
          <w:lang w:val="en-US"/>
        </w:rPr>
        <w:t xml:space="preserve">§ </w:t>
      </w:r>
      <w:proofErr w:type="gramStart"/>
      <w:r w:rsidRPr="00FF3E3E">
        <w:rPr>
          <w:rFonts w:ascii="Arial" w:hAnsi="Arial" w:cs="Arial"/>
          <w:sz w:val="20"/>
          <w:szCs w:val="20"/>
          <w:lang w:val="en-US"/>
        </w:rPr>
        <w:t>currency</w:t>
      </w:r>
      <w:proofErr w:type="gramEnd"/>
      <w:r w:rsidRPr="00FF3E3E">
        <w:rPr>
          <w:rFonts w:ascii="Arial" w:hAnsi="Arial" w:cs="Arial"/>
          <w:sz w:val="20"/>
          <w:szCs w:val="20"/>
          <w:lang w:val="en-US"/>
        </w:rPr>
        <w:t xml:space="preserve"> </w:t>
      </w:r>
      <w:r w:rsidRPr="00FF3E3E">
        <w:rPr>
          <w:rFonts w:ascii="Arial" w:hAnsi="Arial" w:cs="Arial"/>
          <w:sz w:val="20"/>
          <w:szCs w:val="20"/>
        </w:rPr>
        <w:t xml:space="preserve">is </w:t>
      </w:r>
      <w:r w:rsidRPr="00FF3E3E">
        <w:rPr>
          <w:rFonts w:ascii="Arial" w:hAnsi="Arial" w:cs="Arial"/>
          <w:sz w:val="20"/>
          <w:szCs w:val="20"/>
          <w:lang w:val="en-US"/>
        </w:rPr>
        <w:t>euro.</w:t>
      </w:r>
    </w:p>
    <w:p w:rsidR="00E735B5" w:rsidRPr="00FF3E3E" w:rsidRDefault="00E735B5" w:rsidP="00E735B5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E735B5" w:rsidRPr="00FF3E3E" w:rsidRDefault="00E735B5" w:rsidP="00E735B5">
      <w:pPr>
        <w:spacing w:after="160" w:line="259" w:lineRule="auto"/>
        <w:rPr>
          <w:rFonts w:ascii="Arial" w:hAnsi="Arial" w:cs="Arial"/>
          <w:b/>
          <w:sz w:val="20"/>
          <w:szCs w:val="20"/>
          <w:lang w:val="en-US"/>
        </w:rPr>
      </w:pPr>
      <w:r w:rsidRPr="00FF3E3E"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E735B5" w:rsidRPr="00FF3E3E" w:rsidRDefault="00E735B5" w:rsidP="00E735B5">
      <w:pPr>
        <w:spacing w:before="360" w:after="12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 xml:space="preserve">Supplementary </w:t>
      </w:r>
      <w:r w:rsidR="008B3EFA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44753D">
        <w:rPr>
          <w:rFonts w:ascii="Arial" w:hAnsi="Arial" w:cs="Arial"/>
          <w:b/>
          <w:sz w:val="20"/>
          <w:szCs w:val="20"/>
          <w:lang w:val="en-US"/>
        </w:rPr>
        <w:t>S</w:t>
      </w:r>
      <w:bookmarkStart w:id="0" w:name="_GoBack"/>
      <w:bookmarkEnd w:id="0"/>
      <w:r w:rsidR="008B3EFA">
        <w:rPr>
          <w:rFonts w:ascii="Arial" w:hAnsi="Arial" w:cs="Arial"/>
          <w:b/>
          <w:sz w:val="20"/>
          <w:szCs w:val="20"/>
          <w:lang w:val="en-US"/>
        </w:rPr>
        <w:t>6</w:t>
      </w:r>
      <w:r w:rsidRPr="00FF3E3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FF3E3E">
        <w:rPr>
          <w:rFonts w:ascii="Arial" w:hAnsi="Arial" w:cs="Arial"/>
          <w:sz w:val="20"/>
          <w:szCs w:val="20"/>
          <w:lang w:val="en-US"/>
        </w:rPr>
        <w:t xml:space="preserve">Number of colonoscopies needed to prevent a colorectal cancer death for each surveillance strategies among HL Survivors (with a combination of </w:t>
      </w:r>
      <w:proofErr w:type="spellStart"/>
      <w:r w:rsidRPr="00FF3E3E">
        <w:rPr>
          <w:rFonts w:ascii="Arial" w:hAnsi="Arial" w:cs="Arial"/>
          <w:sz w:val="20"/>
          <w:szCs w:val="20"/>
          <w:lang w:val="en-US"/>
        </w:rPr>
        <w:t>infradiaphragmatic</w:t>
      </w:r>
      <w:proofErr w:type="spellEnd"/>
      <w:r w:rsidRPr="00FF3E3E">
        <w:rPr>
          <w:rFonts w:ascii="Arial" w:hAnsi="Arial" w:cs="Arial"/>
          <w:sz w:val="20"/>
          <w:szCs w:val="20"/>
          <w:lang w:val="en-US"/>
        </w:rPr>
        <w:t xml:space="preserve"> radiotherapy and </w:t>
      </w:r>
      <w:proofErr w:type="spellStart"/>
      <w:r w:rsidRPr="00FF3E3E">
        <w:rPr>
          <w:rFonts w:ascii="Arial" w:hAnsi="Arial" w:cs="Arial"/>
          <w:sz w:val="20"/>
          <w:szCs w:val="20"/>
          <w:lang w:val="en-US"/>
        </w:rPr>
        <w:t>procarbazine</w:t>
      </w:r>
      <w:proofErr w:type="spellEnd"/>
      <w:r w:rsidRPr="00FF3E3E">
        <w:rPr>
          <w:rFonts w:ascii="Arial" w:hAnsi="Arial" w:cs="Arial"/>
          <w:sz w:val="20"/>
          <w:szCs w:val="20"/>
          <w:lang w:val="en-US"/>
        </w:rPr>
        <w:t xml:space="preserve"> chemotherapy, base case analysis).</w:t>
      </w:r>
    </w:p>
    <w:tbl>
      <w:tblPr>
        <w:tblW w:w="826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276"/>
        <w:gridCol w:w="1587"/>
        <w:gridCol w:w="830"/>
        <w:gridCol w:w="1053"/>
        <w:gridCol w:w="1086"/>
        <w:gridCol w:w="18"/>
      </w:tblGrid>
      <w:tr w:rsidR="00E735B5" w:rsidRPr="00FF3E3E" w:rsidTr="00971EE5">
        <w:trPr>
          <w:gridAfter w:val="1"/>
          <w:wAfter w:w="18" w:type="dxa"/>
          <w:trHeight w:val="20"/>
          <w:jc w:val="center"/>
        </w:trPr>
        <w:tc>
          <w:tcPr>
            <w:tcW w:w="2486" w:type="dxa"/>
            <w:vMerge w:val="restart"/>
            <w:shd w:val="clear" w:color="auto" w:fill="auto"/>
            <w:vAlign w:val="center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Surveillance strategy</w:t>
            </w:r>
          </w:p>
        </w:tc>
        <w:tc>
          <w:tcPr>
            <w:tcW w:w="5759" w:type="dxa"/>
            <w:gridSpan w:val="5"/>
            <w:shd w:val="clear" w:color="auto" w:fill="auto"/>
          </w:tcPr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Outcomes per 1,000 HL survivors free of CRC diagnosis and aged 35 years in 2019 (3%)*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vMerge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CRC deaths predicted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*,†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CRC mortality</w:t>
            </w:r>
          </w:p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Pr="00FF3E3E">
              <w:rPr>
                <w:rFonts w:ascii="Arial" w:hAnsi="Arial" w:cs="Arial"/>
                <w:b/>
                <w:sz w:val="20"/>
                <w:szCs w:val="20"/>
              </w:rPr>
              <w:t>reduction</w:t>
            </w:r>
            <w:proofErr w:type="gramEnd"/>
            <w:r w:rsidRPr="00FF3E3E">
              <w:rPr>
                <w:rFonts w:ascii="Arial" w:hAnsi="Arial" w:cs="Arial"/>
                <w:b/>
                <w:sz w:val="20"/>
                <w:szCs w:val="20"/>
              </w:rPr>
              <w:t>, %)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*,‡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NNS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53" w:type="dxa"/>
            <w:shd w:val="clear" w:color="auto" w:fill="auto"/>
            <w:vAlign w:val="bottom"/>
          </w:tcPr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COLs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07" w:type="dxa"/>
            <w:gridSpan w:val="2"/>
            <w:shd w:val="clear" w:color="auto" w:fill="auto"/>
            <w:vAlign w:val="bottom"/>
          </w:tcPr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Costs</w:t>
            </w:r>
          </w:p>
          <w:p w:rsidR="00E735B5" w:rsidRPr="00FF3E3E" w:rsidRDefault="00E735B5" w:rsidP="00971EE5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E3E">
              <w:rPr>
                <w:rFonts w:ascii="Arial" w:hAnsi="Arial" w:cs="Arial"/>
                <w:b/>
                <w:sz w:val="20"/>
                <w:szCs w:val="20"/>
              </w:rPr>
              <w:t>($1,000</w:t>
            </w:r>
            <w:r w:rsidRPr="00FF3E3E">
              <w:rPr>
                <w:rFonts w:ascii="Arial" w:hAnsi="Arial" w:cs="Arial"/>
                <w:sz w:val="20"/>
                <w:szCs w:val="20"/>
                <w:vertAlign w:val="superscript"/>
              </w:rPr>
              <w:t>§</w:t>
            </w:r>
            <w:r w:rsidRPr="00FF3E3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No Surveillance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47.01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126.75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1753.40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35-70,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80.22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98.49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3714.14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2876.79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35-75,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80.85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100.07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3803.63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2904.23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9.74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79.29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85.69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3193.48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2504.44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9.43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79.95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87.39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3284.20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2532.26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76.61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73.58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2649.68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2216.43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10.68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77.27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75.40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2739.39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2243.88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50-70,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13.85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70.55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62.94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2087.02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2023.32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50-75,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13.52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71.24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64.99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2176.53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2050.63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35-70,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11.43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75.68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72.38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2575.32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2357.39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35-75,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10.98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76.64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73.10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2633.87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2377.91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11.93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74.62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64.68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2268.90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2157.65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11.63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75.27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65.30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2310.27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2172.08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13.33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71.65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56.86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1915.21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1997.79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45-75,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12.85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72.66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57.79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1974.18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2018.61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50-70,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65.77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49.70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1536.86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1898.59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FIT10, 50-75,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15.74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66.52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50.50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1579.27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1913.49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35-70,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10.27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78.15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76.82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2822.42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2527.69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35-75,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9.91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78.92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77.65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2880.98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2548.95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10.80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77.04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68.07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2464.70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2268.32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10.42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77.84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68.97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2523.77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2290.01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74.27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59.31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2070.56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2067.78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11.70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75.11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60.32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2129.88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2089.37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50-70,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68.10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51.45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1646.81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1938.69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50-75,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14.57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69.01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52.61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1706.70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1960.50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35-70,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13.70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70.86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58.29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1941.60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2172.61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35-75,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72.14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58.50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1983.70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2191.98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14.16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69.87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52.74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1732.54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2037.73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13.77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70.71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53.01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1761.96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2051.10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15.59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66.83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47.04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1478.15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1928.56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45-75,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14.95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68.20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47.44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1521.00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1948.41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50-70,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18.23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61.23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41.69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1199.78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1866.76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FIT20, 50-75,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17.77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62.21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42.08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1230.34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1880.77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35-70,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11.34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75.88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62.97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2246.09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2353.82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35-75,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10.87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76.89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63.35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2289.32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2373.45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11.89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74.71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56.40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1980.70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2156.44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11.41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75.73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56.86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2024.32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2176.58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13.21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71.91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49.66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1678.36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2005.97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12.70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72.99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50.20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1722.50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2026.06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50-70,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65.81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43.44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1344.12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1912.37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50-75,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15.52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66.98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44.11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1389.12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1932.93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35-70,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15.65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66.72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48.47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1520.15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2091.86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35-75,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14.89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68.34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48.37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1553.70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2112.83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65.82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44.20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1367.45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1993.44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15.56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66.89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44.23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1390.88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2007.82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17.52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62.74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39.81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1174.12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1912.17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45-75,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16.71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64.46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39.89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1208.59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1933.79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50-70,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19.98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57.51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35.54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960.59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1870.91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FIT47, 50-75,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19.40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58.73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35.68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985.08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1885.93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35-70,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5.72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87.84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246.02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10158.26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5700.33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lastRenderedPageBreak/>
              <w:t>COL, 35-75,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5.30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88.73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252.36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10525.97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5787.27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40-70,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6.50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86.18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209.97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8505.99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4575.85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40-75,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5.99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87.26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214.02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8779.29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4639.33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45-70,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7.54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83.96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175.76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6937.07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3667.19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45-75,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7.22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84.64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182.46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7260.08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3742.30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50-70,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10.91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76.79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144.54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5217.87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2945.63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50-75, 3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77.66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152.89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5582.19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3031.64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35-70,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8.92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81.03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165.85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6317.23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4020.98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35-75,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8.61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81.69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169.59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6512.38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4065.93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40-70,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9.40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142.28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5351.15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3348.62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40-75,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9.03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80.79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145.97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5544.06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3393.22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45-70,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10.28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78.13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120.76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4435.60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2810.78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45-75,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78.50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124.41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4590.69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2846.05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50-70,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12.96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72.43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102.63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3494.46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2411.72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50-75, 5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12.64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73.11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107.94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3709.73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2460.93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35-70,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9.74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79.28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123.73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4611.37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3211.13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35-75,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9.46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79.88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127.54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4789.01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3252.55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40-70,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10.18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78.35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111.21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4095.98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2816.99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40-75,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10.18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78.35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111.21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4095.98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2816.99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45-70,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10.86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76.91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96.42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3485.51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2460.25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45-75,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10.64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77.38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100.09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3640.37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2496.30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50-70,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13.33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71.64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85.40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2876.41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2202.15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COL, 50-75, 10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13.33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71.64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85.40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2876.41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2202.15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35-70,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8.64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81.63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222.08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8521.07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12174.57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35-75,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8.32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82.30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228.98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8859.25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12430.01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9.09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80.67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182.62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6925.00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8947.83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8.72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81.45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190.11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7279.31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9215.48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45-70,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10.19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78.32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149.09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5489.42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6591.35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45-75,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9.89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78.97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156.85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5822.28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6843.02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50-70,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12.90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72.57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122.50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4178.37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4919.01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50-75, 1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12.61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73.19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130.86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4501.74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5163.31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35-70,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9.01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80.84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148.06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5626.11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7658.98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35-75,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8.72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81.45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151.93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5817.30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7804.52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9.48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79.84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126.25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4738.25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5928.58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9.25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80.32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129.28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4881.55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6037.72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45-70,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10.63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77.38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105.67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3844.33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4586.87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45-75,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10.38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77.92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109.96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4027.80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4726.51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50-70,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13.45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71.39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89.29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2996.47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3648.98</w:t>
            </w:r>
          </w:p>
        </w:tc>
      </w:tr>
      <w:tr w:rsidR="00E735B5" w:rsidRPr="00FF3E3E" w:rsidTr="00971EE5">
        <w:trPr>
          <w:trHeight w:val="20"/>
          <w:jc w:val="center"/>
        </w:trPr>
        <w:tc>
          <w:tcPr>
            <w:tcW w:w="248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MTDNA, 50-75, 2 years</w:t>
            </w:r>
          </w:p>
        </w:tc>
        <w:tc>
          <w:tcPr>
            <w:tcW w:w="1176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13.24</w:t>
            </w:r>
          </w:p>
        </w:tc>
        <w:tc>
          <w:tcPr>
            <w:tcW w:w="1611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71.84</w:t>
            </w:r>
          </w:p>
        </w:tc>
        <w:tc>
          <w:tcPr>
            <w:tcW w:w="830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92.83</w:t>
            </w:r>
          </w:p>
        </w:tc>
        <w:tc>
          <w:tcPr>
            <w:tcW w:w="1053" w:type="dxa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3134.82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E735B5" w:rsidRPr="00FF3E3E" w:rsidRDefault="00E735B5" w:rsidP="00971E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F3E3E">
              <w:rPr>
                <w:rFonts w:ascii="Arial" w:hAnsi="Arial" w:cs="Arial"/>
                <w:sz w:val="20"/>
                <w:szCs w:val="20"/>
              </w:rPr>
              <w:t>3754.14</w:t>
            </w:r>
          </w:p>
        </w:tc>
      </w:tr>
    </w:tbl>
    <w:p w:rsidR="00E735B5" w:rsidRPr="00FF3E3E" w:rsidRDefault="00E735B5" w:rsidP="00E735B5">
      <w:pPr>
        <w:pStyle w:val="Geenafstand"/>
        <w:ind w:left="708"/>
        <w:rPr>
          <w:rFonts w:ascii="Arial" w:hAnsi="Arial" w:cs="Arial"/>
          <w:sz w:val="20"/>
          <w:szCs w:val="20"/>
        </w:rPr>
      </w:pPr>
      <w:r w:rsidRPr="00FF3E3E">
        <w:rPr>
          <w:rFonts w:ascii="Arial" w:hAnsi="Arial" w:cs="Arial"/>
          <w:sz w:val="20"/>
          <w:szCs w:val="20"/>
          <w:vertAlign w:val="superscript"/>
        </w:rPr>
        <w:t>*</w:t>
      </w:r>
      <w:r w:rsidRPr="00FF3E3E">
        <w:rPr>
          <w:rFonts w:ascii="Arial" w:hAnsi="Arial" w:cs="Arial"/>
          <w:sz w:val="20"/>
          <w:szCs w:val="20"/>
        </w:rPr>
        <w:t>Including deaths from complications of surveillance; CRC = colorectal cancer; NNS= number needed to screen to prevent one death from colorectal cancer; COLs = number of colonoscopies.</w:t>
      </w:r>
    </w:p>
    <w:p w:rsidR="00E735B5" w:rsidRPr="00FF3E3E" w:rsidRDefault="00E735B5" w:rsidP="00E735B5">
      <w:pPr>
        <w:pStyle w:val="Geenafstand"/>
        <w:ind w:left="708"/>
        <w:rPr>
          <w:rFonts w:ascii="Arial" w:hAnsi="Arial" w:cs="Arial"/>
          <w:sz w:val="20"/>
          <w:szCs w:val="20"/>
        </w:rPr>
      </w:pPr>
      <w:r w:rsidRPr="00FF3E3E">
        <w:rPr>
          <w:rFonts w:ascii="Arial" w:hAnsi="Arial" w:cs="Arial"/>
          <w:sz w:val="20"/>
          <w:szCs w:val="20"/>
          <w:vertAlign w:val="superscript"/>
        </w:rPr>
        <w:t>†</w:t>
      </w:r>
      <w:r w:rsidRPr="00FF3E3E">
        <w:rPr>
          <w:rFonts w:ascii="Arial" w:hAnsi="Arial" w:cs="Arial"/>
          <w:sz w:val="20"/>
          <w:szCs w:val="20"/>
        </w:rPr>
        <w:t>outcomes not discounted.</w:t>
      </w:r>
    </w:p>
    <w:p w:rsidR="00E735B5" w:rsidRPr="00FF3E3E" w:rsidRDefault="00E735B5" w:rsidP="00E735B5">
      <w:pPr>
        <w:pStyle w:val="Geenafstand"/>
        <w:ind w:left="708"/>
        <w:rPr>
          <w:rFonts w:ascii="Arial" w:hAnsi="Arial" w:cs="Arial"/>
          <w:sz w:val="20"/>
          <w:szCs w:val="20"/>
        </w:rPr>
      </w:pPr>
      <w:r w:rsidRPr="00FF3E3E">
        <w:rPr>
          <w:rFonts w:ascii="Arial" w:hAnsi="Arial" w:cs="Arial"/>
          <w:sz w:val="20"/>
          <w:szCs w:val="20"/>
          <w:vertAlign w:val="superscript"/>
        </w:rPr>
        <w:t>‡</w:t>
      </w:r>
      <w:r w:rsidRPr="00FF3E3E">
        <w:rPr>
          <w:rFonts w:ascii="Arial" w:hAnsi="Arial" w:cs="Arial"/>
          <w:sz w:val="20"/>
          <w:szCs w:val="20"/>
        </w:rPr>
        <w:t>compared with no surveillance.</w:t>
      </w:r>
    </w:p>
    <w:p w:rsidR="00E735B5" w:rsidRPr="00FF3E3E" w:rsidRDefault="00E735B5" w:rsidP="00E735B5">
      <w:pPr>
        <w:spacing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FF3E3E">
        <w:rPr>
          <w:rFonts w:ascii="Arial" w:hAnsi="Arial" w:cs="Arial"/>
          <w:sz w:val="20"/>
          <w:szCs w:val="20"/>
          <w:vertAlign w:val="superscript"/>
          <w:lang w:val="en-US"/>
        </w:rPr>
        <w:t xml:space="preserve">§ </w:t>
      </w:r>
      <w:proofErr w:type="gramStart"/>
      <w:r w:rsidRPr="00FF3E3E">
        <w:rPr>
          <w:rFonts w:ascii="Arial" w:hAnsi="Arial" w:cs="Arial"/>
          <w:sz w:val="20"/>
          <w:szCs w:val="20"/>
          <w:lang w:val="en-US"/>
        </w:rPr>
        <w:t>currency</w:t>
      </w:r>
      <w:proofErr w:type="gramEnd"/>
      <w:r w:rsidRPr="00FF3E3E">
        <w:rPr>
          <w:rFonts w:ascii="Arial" w:hAnsi="Arial" w:cs="Arial"/>
          <w:sz w:val="20"/>
          <w:szCs w:val="20"/>
          <w:lang w:val="en-US"/>
        </w:rPr>
        <w:t xml:space="preserve"> </w:t>
      </w:r>
      <w:r w:rsidRPr="00FF3E3E">
        <w:rPr>
          <w:rFonts w:ascii="Arial" w:hAnsi="Arial" w:cs="Arial"/>
          <w:sz w:val="20"/>
          <w:szCs w:val="20"/>
        </w:rPr>
        <w:t xml:space="preserve">is </w:t>
      </w:r>
      <w:r w:rsidRPr="00FF3E3E">
        <w:rPr>
          <w:rFonts w:ascii="Arial" w:hAnsi="Arial" w:cs="Arial"/>
          <w:sz w:val="20"/>
          <w:szCs w:val="20"/>
          <w:lang w:val="en-US"/>
        </w:rPr>
        <w:t>euro.</w:t>
      </w:r>
    </w:p>
    <w:p w:rsidR="00E735B5" w:rsidRPr="00FF3E3E" w:rsidRDefault="00E735B5" w:rsidP="00E735B5">
      <w:pPr>
        <w:pStyle w:val="Geenafstand"/>
        <w:rPr>
          <w:rFonts w:ascii="Arial" w:hAnsi="Arial" w:cs="Arial"/>
          <w:sz w:val="20"/>
          <w:szCs w:val="20"/>
          <w:lang w:val="en-US"/>
        </w:rPr>
      </w:pPr>
    </w:p>
    <w:p w:rsidR="0018231C" w:rsidRDefault="0018231C"/>
    <w:sectPr w:rsidR="0018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643E2"/>
    <w:multiLevelType w:val="hybridMultilevel"/>
    <w:tmpl w:val="C358B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2066"/>
    <w:multiLevelType w:val="hybridMultilevel"/>
    <w:tmpl w:val="70365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51221"/>
    <w:multiLevelType w:val="multilevel"/>
    <w:tmpl w:val="94122314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9935"/>
        </w:tabs>
        <w:ind w:left="9935" w:hanging="720"/>
      </w:pPr>
      <w:rPr>
        <w:rFonts w:hint="default"/>
        <w:b w:val="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B5"/>
    <w:rsid w:val="0018231C"/>
    <w:rsid w:val="0044753D"/>
    <w:rsid w:val="00732656"/>
    <w:rsid w:val="008B3EFA"/>
    <w:rsid w:val="00E7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256B"/>
  <w15:chartTrackingRefBased/>
  <w15:docId w15:val="{8240DA6A-2961-449A-9755-59739B62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35B5"/>
    <w:pPr>
      <w:spacing w:after="0" w:line="288" w:lineRule="auto"/>
    </w:pPr>
    <w:rPr>
      <w:rFonts w:cs="Times New Roman"/>
      <w:szCs w:val="18"/>
      <w:lang w:val="en-AU"/>
    </w:rPr>
  </w:style>
  <w:style w:type="paragraph" w:styleId="Kop1">
    <w:name w:val="heading 1"/>
    <w:basedOn w:val="Standaard"/>
    <w:next w:val="Standaard"/>
    <w:link w:val="Kop1Char"/>
    <w:uiPriority w:val="9"/>
    <w:qFormat/>
    <w:rsid w:val="00E735B5"/>
    <w:pPr>
      <w:keepNext/>
      <w:keepLines/>
      <w:numPr>
        <w:numId w:val="1"/>
      </w:numPr>
      <w:tabs>
        <w:tab w:val="clear" w:pos="432"/>
      </w:tabs>
      <w:spacing w:before="480" w:after="120"/>
      <w:ind w:left="397" w:hanging="397"/>
      <w:outlineLvl w:val="0"/>
    </w:pPr>
    <w:rPr>
      <w:rFonts w:eastAsiaTheme="majorEastAsia" w:cstheme="majorBidi"/>
      <w:b/>
      <w:bCs/>
      <w:color w:val="1A3D3E"/>
      <w:sz w:val="32"/>
      <w:szCs w:val="28"/>
      <w:lang w:val="en-US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E735B5"/>
    <w:pPr>
      <w:numPr>
        <w:ilvl w:val="1"/>
      </w:numPr>
      <w:spacing w:before="240" w:after="0"/>
      <w:outlineLvl w:val="1"/>
    </w:pPr>
    <w:rPr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35B5"/>
    <w:pPr>
      <w:keepNext/>
      <w:keepLines/>
      <w:numPr>
        <w:ilvl w:val="2"/>
        <w:numId w:val="1"/>
      </w:numPr>
      <w:spacing w:before="120"/>
      <w:outlineLvl w:val="2"/>
    </w:pPr>
    <w:rPr>
      <w:rFonts w:eastAsiaTheme="majorEastAsia" w:cstheme="majorBidi"/>
      <w:b/>
      <w:bCs/>
      <w:i/>
      <w:color w:val="1A3D3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735B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735B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735B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735B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735B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735B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35B5"/>
    <w:rPr>
      <w:rFonts w:eastAsiaTheme="majorEastAsia" w:cstheme="majorBidi"/>
      <w:b/>
      <w:bCs/>
      <w:color w:val="1A3D3E"/>
      <w:sz w:val="32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E735B5"/>
    <w:rPr>
      <w:rFonts w:eastAsiaTheme="majorEastAsia" w:cstheme="majorBidi"/>
      <w:b/>
      <w:bCs/>
      <w:color w:val="1A3D3E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E735B5"/>
    <w:rPr>
      <w:rFonts w:eastAsiaTheme="majorEastAsia" w:cstheme="majorBidi"/>
      <w:b/>
      <w:bCs/>
      <w:i/>
      <w:color w:val="1A3D3E"/>
      <w:szCs w:val="18"/>
      <w:lang w:val="en-AU"/>
    </w:rPr>
  </w:style>
  <w:style w:type="character" w:customStyle="1" w:styleId="Kop4Char">
    <w:name w:val="Kop 4 Char"/>
    <w:basedOn w:val="Standaardalinea-lettertype"/>
    <w:link w:val="Kop4"/>
    <w:uiPriority w:val="9"/>
    <w:rsid w:val="00E735B5"/>
    <w:rPr>
      <w:rFonts w:asciiTheme="majorHAnsi" w:eastAsiaTheme="majorEastAsia" w:hAnsiTheme="majorHAnsi" w:cstheme="majorBidi"/>
      <w:b/>
      <w:bCs/>
      <w:i/>
      <w:iCs/>
      <w:color w:val="5B9BD5" w:themeColor="accent1"/>
      <w:szCs w:val="18"/>
      <w:lang w:val="en-AU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735B5"/>
    <w:rPr>
      <w:rFonts w:asciiTheme="majorHAnsi" w:eastAsiaTheme="majorEastAsia" w:hAnsiTheme="majorHAnsi" w:cstheme="majorBidi"/>
      <w:color w:val="1F4D78" w:themeColor="accent1" w:themeShade="7F"/>
      <w:szCs w:val="18"/>
      <w:lang w:val="en-AU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735B5"/>
    <w:rPr>
      <w:rFonts w:asciiTheme="majorHAnsi" w:eastAsiaTheme="majorEastAsia" w:hAnsiTheme="majorHAnsi" w:cstheme="majorBidi"/>
      <w:i/>
      <w:iCs/>
      <w:color w:val="1F4D78" w:themeColor="accent1" w:themeShade="7F"/>
      <w:szCs w:val="18"/>
      <w:lang w:val="en-AU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735B5"/>
    <w:rPr>
      <w:rFonts w:asciiTheme="majorHAnsi" w:eastAsiaTheme="majorEastAsia" w:hAnsiTheme="majorHAnsi" w:cstheme="majorBidi"/>
      <w:i/>
      <w:iCs/>
      <w:color w:val="404040" w:themeColor="text1" w:themeTint="BF"/>
      <w:szCs w:val="18"/>
      <w:lang w:val="en-AU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735B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73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styleId="Inhopg1">
    <w:name w:val="toc 1"/>
    <w:basedOn w:val="Standaard"/>
    <w:next w:val="Standaard"/>
    <w:autoRedefine/>
    <w:uiPriority w:val="39"/>
    <w:unhideWhenUsed/>
    <w:rsid w:val="00E735B5"/>
    <w:pPr>
      <w:tabs>
        <w:tab w:val="right" w:leader="dot" w:pos="9911"/>
      </w:tabs>
      <w:spacing w:before="120"/>
      <w:ind w:left="284" w:hanging="284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E735B5"/>
    <w:pPr>
      <w:tabs>
        <w:tab w:val="right" w:leader="dot" w:pos="9911"/>
      </w:tabs>
      <w:ind w:left="425" w:hanging="425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E735B5"/>
    <w:pPr>
      <w:tabs>
        <w:tab w:val="right" w:leader="dot" w:pos="9911"/>
      </w:tabs>
      <w:ind w:left="567" w:hanging="567"/>
    </w:pPr>
    <w:rPr>
      <w:i/>
      <w:noProof/>
    </w:rPr>
  </w:style>
  <w:style w:type="character" w:styleId="Hyperlink">
    <w:name w:val="Hyperlink"/>
    <w:basedOn w:val="Standaardalinea-lettertype"/>
    <w:uiPriority w:val="99"/>
    <w:unhideWhenUsed/>
    <w:rsid w:val="00E735B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E735B5"/>
    <w:pPr>
      <w:spacing w:after="0" w:line="240" w:lineRule="auto"/>
    </w:pPr>
    <w:rPr>
      <w:rFonts w:cs="Times New Roman"/>
      <w:szCs w:val="18"/>
      <w:lang w:val="en-AU"/>
    </w:rPr>
  </w:style>
  <w:style w:type="table" w:customStyle="1" w:styleId="TableGrid1">
    <w:name w:val="Table Grid1"/>
    <w:basedOn w:val="Standaardtabel"/>
    <w:uiPriority w:val="59"/>
    <w:rsid w:val="00E735B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E735B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735B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35B5"/>
    <w:rPr>
      <w:rFonts w:cs="Times New Roman"/>
      <w:szCs w:val="18"/>
      <w:lang w:val="en-AU"/>
    </w:rPr>
  </w:style>
  <w:style w:type="paragraph" w:styleId="Voettekst">
    <w:name w:val="footer"/>
    <w:basedOn w:val="Standaard"/>
    <w:link w:val="VoettekstChar"/>
    <w:uiPriority w:val="99"/>
    <w:unhideWhenUsed/>
    <w:rsid w:val="00E735B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35B5"/>
    <w:rPr>
      <w:rFonts w:cs="Times New Roman"/>
      <w:szCs w:val="18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3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5B5"/>
    <w:rPr>
      <w:rFonts w:ascii="Tahoma" w:hAnsi="Tahoma" w:cs="Tahoma"/>
      <w:sz w:val="16"/>
      <w:szCs w:val="16"/>
      <w:lang w:val="en-AU"/>
    </w:rPr>
  </w:style>
  <w:style w:type="paragraph" w:styleId="Lijstalinea">
    <w:name w:val="List Paragraph"/>
    <w:basedOn w:val="Standaard"/>
    <w:uiPriority w:val="34"/>
    <w:qFormat/>
    <w:rsid w:val="00E735B5"/>
    <w:pPr>
      <w:ind w:left="720"/>
      <w:contextualSpacing/>
    </w:pPr>
  </w:style>
  <w:style w:type="paragraph" w:customStyle="1" w:styleId="EndNoteBibliographyTitle">
    <w:name w:val="EndNote Bibliography Title"/>
    <w:basedOn w:val="Standaard"/>
    <w:link w:val="EndNoteBibliographyTitleChar"/>
    <w:rsid w:val="00E735B5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E735B5"/>
    <w:rPr>
      <w:rFonts w:ascii="Calibri" w:hAnsi="Calibri" w:cs="Calibri"/>
      <w:noProof/>
      <w:szCs w:val="18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E735B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E735B5"/>
    <w:rPr>
      <w:rFonts w:ascii="Calibri" w:hAnsi="Calibri" w:cs="Calibri"/>
      <w:noProof/>
      <w:szCs w:val="18"/>
      <w:lang w:val="en-US"/>
    </w:rPr>
  </w:style>
  <w:style w:type="table" w:customStyle="1" w:styleId="tabletemplate">
    <w:name w:val="table_template"/>
    <w:basedOn w:val="Standaardtabel"/>
    <w:uiPriority w:val="59"/>
    <w:rsid w:val="00E735B5"/>
    <w:pPr>
      <w:spacing w:after="0" w:line="240" w:lineRule="auto"/>
      <w:jc w:val="right"/>
    </w:pPr>
    <w:rPr>
      <w:rFonts w:eastAsiaTheme="minorEastAsia"/>
      <w:sz w:val="24"/>
      <w:szCs w:val="24"/>
      <w:lang w:val="en-US"/>
    </w:r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Revisie">
    <w:name w:val="Revision"/>
    <w:hidden/>
    <w:uiPriority w:val="99"/>
    <w:semiHidden/>
    <w:rsid w:val="00E735B5"/>
    <w:pPr>
      <w:spacing w:after="0" w:line="240" w:lineRule="auto"/>
    </w:pPr>
    <w:rPr>
      <w:rFonts w:cs="Times New Roman"/>
      <w:szCs w:val="18"/>
      <w:lang w:val="en-AU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35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735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5B5"/>
    <w:rPr>
      <w:rFonts w:cs="Times New Roman"/>
      <w:sz w:val="20"/>
      <w:szCs w:val="20"/>
      <w:lang w:val="en-AU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35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35B5"/>
    <w:rPr>
      <w:rFonts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2634</Words>
  <Characters>14490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Berbel Ykema</dc:creator>
  <cp:keywords/>
  <dc:description/>
  <cp:lastModifiedBy> </cp:lastModifiedBy>
  <cp:revision>4</cp:revision>
  <dcterms:created xsi:type="dcterms:W3CDTF">2022-06-07T19:26:00Z</dcterms:created>
  <dcterms:modified xsi:type="dcterms:W3CDTF">2022-07-06T19:46:00Z</dcterms:modified>
</cp:coreProperties>
</file>