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FD" w:rsidRPr="00FF3E3E" w:rsidRDefault="009855FD" w:rsidP="009855FD">
      <w:pPr>
        <w:spacing w:before="360" w:after="12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F3E3E">
        <w:rPr>
          <w:rFonts w:ascii="Arial" w:hAnsi="Arial" w:cs="Arial"/>
          <w:noProof/>
          <w:sz w:val="20"/>
          <w:szCs w:val="20"/>
          <w:lang w:val="nl-NL" w:eastAsia="nl-NL"/>
        </w:rPr>
        <w:drawing>
          <wp:inline distT="0" distB="0" distL="0" distR="0" wp14:anchorId="3C16BB5D" wp14:editId="4F1EA8D0">
            <wp:extent cx="6858000" cy="56564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65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5FD" w:rsidRPr="00FF3E3E" w:rsidRDefault="009855FD" w:rsidP="009855FD">
      <w:pPr>
        <w:spacing w:before="360" w:after="12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9855FD" w:rsidRDefault="009855FD" w:rsidP="009855FD">
      <w:pPr>
        <w:spacing w:before="360" w:after="12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Supplementary </w:t>
      </w:r>
      <w:r w:rsidRPr="00FF3E3E">
        <w:rPr>
          <w:rFonts w:ascii="Arial" w:hAnsi="Arial" w:cs="Arial"/>
          <w:b/>
          <w:sz w:val="20"/>
          <w:szCs w:val="20"/>
          <w:lang w:val="en-US"/>
        </w:rPr>
        <w:t xml:space="preserve">Figure 1. </w:t>
      </w:r>
    </w:p>
    <w:p w:rsidR="009855FD" w:rsidRPr="00FF3E3E" w:rsidRDefault="009855FD" w:rsidP="009855FD">
      <w:pPr>
        <w:spacing w:before="360"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 xml:space="preserve"> s</w:t>
      </w:r>
      <w:r w:rsidRPr="00FF3E3E">
        <w:rPr>
          <w:rFonts w:ascii="Arial" w:hAnsi="Arial" w:cs="Arial"/>
          <w:sz w:val="20"/>
          <w:szCs w:val="20"/>
          <w:lang w:val="en-US"/>
        </w:rPr>
        <w:t>imulated and observed relative risk for colorectal cancer (compared to average risk individuals) and cumulative colorectal cancer incidence rates among Hodgkin Lymphoma (HL) survivors per age and follow-up years since primary cancer diagnosis.</w:t>
      </w:r>
      <w:r>
        <w:rPr>
          <w:rFonts w:ascii="Arial" w:hAnsi="Arial" w:cs="Arial"/>
          <w:sz w:val="20"/>
          <w:szCs w:val="20"/>
          <w:lang w:val="en-US"/>
        </w:rPr>
        <w:t xml:space="preserve"> This data is shown for the three different HL subgroups (entire cohort (A), treated with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procarbazine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without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infradiaphragmatic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radiotherapy (IRT, B) and treated with IRT and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procarbazine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(C). </w:t>
      </w:r>
      <w:r w:rsidRPr="00FF3E3E">
        <w:rPr>
          <w:rFonts w:ascii="Arial" w:hAnsi="Arial" w:cs="Arial"/>
          <w:sz w:val="20"/>
          <w:szCs w:val="20"/>
          <w:lang w:val="en-US"/>
        </w:rPr>
        <w:t xml:space="preserve"> Model assumptions were tested with external data from </w:t>
      </w:r>
      <w:proofErr w:type="spellStart"/>
      <w:r w:rsidRPr="00FF3E3E">
        <w:rPr>
          <w:rFonts w:ascii="Arial" w:hAnsi="Arial" w:cs="Arial"/>
          <w:sz w:val="20"/>
          <w:szCs w:val="20"/>
          <w:lang w:val="en-US"/>
        </w:rPr>
        <w:t>Holmqvist</w:t>
      </w:r>
      <w:proofErr w:type="spellEnd"/>
      <w:r w:rsidRPr="00FF3E3E">
        <w:rPr>
          <w:rFonts w:ascii="Arial" w:hAnsi="Arial" w:cs="Arial"/>
          <w:sz w:val="20"/>
          <w:szCs w:val="20"/>
          <w:lang w:val="en-US"/>
        </w:rPr>
        <w:t xml:space="preserve"> et al. (2019). Simulated outcomes were computed assuming no surveillance.</w:t>
      </w:r>
    </w:p>
    <w:p w:rsidR="00B71CEF" w:rsidRDefault="00B71CEF"/>
    <w:sectPr w:rsidR="00B71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FD"/>
    <w:rsid w:val="009855FD"/>
    <w:rsid w:val="00B7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E678"/>
  <w15:chartTrackingRefBased/>
  <w15:docId w15:val="{610D29EC-E158-4B62-93E0-9FC7747F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55FD"/>
    <w:pPr>
      <w:spacing w:after="0" w:line="288" w:lineRule="auto"/>
    </w:pPr>
    <w:rPr>
      <w:rFonts w:cs="Times New Roman"/>
      <w:szCs w:val="18"/>
      <w:lang w:val="en-A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 van Leeuwenhoek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Berbel Ykema</dc:creator>
  <cp:keywords/>
  <dc:description/>
  <cp:lastModifiedBy> </cp:lastModifiedBy>
  <cp:revision>1</cp:revision>
  <dcterms:created xsi:type="dcterms:W3CDTF">2022-03-13T15:05:00Z</dcterms:created>
  <dcterms:modified xsi:type="dcterms:W3CDTF">2022-03-13T15:06:00Z</dcterms:modified>
</cp:coreProperties>
</file>