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5C7" w14:textId="044B5B09" w:rsidR="00B91946" w:rsidRPr="007C753A" w:rsidRDefault="00B91946" w:rsidP="00B91946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bookmarkStart w:id="0" w:name="_Hlk49153613"/>
      <w:r w:rsidRPr="007C753A">
        <w:rPr>
          <w:rFonts w:cstheme="minorHAnsi"/>
          <w:b/>
          <w:sz w:val="28"/>
          <w:szCs w:val="28"/>
          <w:lang w:val="en-GB"/>
        </w:rPr>
        <w:t>Excess mortality in a nationwide cohort of cancer patients during the initial phase of the COVID</w:t>
      </w:r>
      <w:r w:rsidRPr="007C753A">
        <w:rPr>
          <w:rFonts w:cstheme="minorHAnsi"/>
          <w:b/>
          <w:sz w:val="28"/>
          <w:szCs w:val="28"/>
          <w:lang w:val="en-GB"/>
        </w:rPr>
        <w:noBreakHyphen/>
        <w:t>19 pandemic in Belgium</w:t>
      </w:r>
    </w:p>
    <w:p w14:paraId="32024934" w14:textId="77777777" w:rsidR="00B91946" w:rsidRPr="007C753A" w:rsidRDefault="00B91946" w:rsidP="00B91946">
      <w:pPr>
        <w:spacing w:after="0" w:line="240" w:lineRule="auto"/>
        <w:jc w:val="both"/>
        <w:rPr>
          <w:rFonts w:cstheme="minorHAnsi"/>
          <w:lang w:val="en-GB"/>
        </w:rPr>
      </w:pPr>
    </w:p>
    <w:p w14:paraId="1CBF156D" w14:textId="29189D43" w:rsidR="00B91946" w:rsidRPr="00DF1CD6" w:rsidRDefault="00B91946" w:rsidP="00B91946">
      <w:pPr>
        <w:spacing w:after="0" w:line="240" w:lineRule="auto"/>
        <w:jc w:val="both"/>
        <w:rPr>
          <w:rFonts w:cstheme="minorHAnsi"/>
        </w:rPr>
      </w:pPr>
      <w:r w:rsidRPr="00DF1CD6">
        <w:rPr>
          <w:rFonts w:cstheme="minorHAnsi"/>
        </w:rPr>
        <w:t>Geert Silversmit, Freija Verdoodt, Nancy Van Damme, Harlinde De Schutter, Liesbet Van Eycken</w:t>
      </w:r>
    </w:p>
    <w:p w14:paraId="69A5BFA7" w14:textId="5CE5BCCF" w:rsidR="00B91946" w:rsidRPr="00DF1CD6" w:rsidRDefault="00B91946" w:rsidP="00B91946">
      <w:pPr>
        <w:spacing w:after="0" w:line="240" w:lineRule="auto"/>
        <w:jc w:val="both"/>
        <w:rPr>
          <w:rFonts w:cstheme="minorHAnsi"/>
        </w:rPr>
      </w:pPr>
    </w:p>
    <w:p w14:paraId="74894928" w14:textId="77777777" w:rsidR="00ED2E45" w:rsidRPr="00DF1CD6" w:rsidRDefault="00ED2E45" w:rsidP="00B91946">
      <w:pPr>
        <w:spacing w:after="0" w:line="240" w:lineRule="auto"/>
        <w:jc w:val="both"/>
        <w:rPr>
          <w:rFonts w:cstheme="minorHAnsi"/>
        </w:rPr>
      </w:pPr>
    </w:p>
    <w:p w14:paraId="6D787289" w14:textId="4406C0AC" w:rsidR="00B91946" w:rsidRPr="00DF1CD6" w:rsidRDefault="00B91946" w:rsidP="005B3993">
      <w:pPr>
        <w:rPr>
          <w:rFonts w:cstheme="minorHAnsi"/>
        </w:rPr>
      </w:pPr>
    </w:p>
    <w:p w14:paraId="5E3AA445" w14:textId="2DABC052" w:rsidR="00F96E0B" w:rsidRPr="009704EB" w:rsidRDefault="00F96E0B" w:rsidP="00F96E0B">
      <w:pPr>
        <w:pStyle w:val="Tabel"/>
        <w:rPr>
          <w:lang w:val="en-GB"/>
        </w:rPr>
      </w:pPr>
      <w:bookmarkStart w:id="1" w:name="_Ref340582284"/>
      <w:bookmarkStart w:id="2" w:name="_GoBack"/>
      <w:bookmarkEnd w:id="2"/>
      <w:r w:rsidRPr="005F0F66">
        <w:rPr>
          <w:b/>
          <w:bCs/>
          <w:iCs/>
          <w:lang w:val="en-GB"/>
        </w:rPr>
        <w:t>Table S</w:t>
      </w:r>
      <w:r w:rsidRPr="005F0F66">
        <w:rPr>
          <w:b/>
          <w:bCs/>
          <w:iCs/>
          <w:lang w:val="en-GB"/>
        </w:rPr>
        <w:fldChar w:fldCharType="begin"/>
      </w:r>
      <w:r w:rsidRPr="005F0F66">
        <w:rPr>
          <w:b/>
          <w:bCs/>
          <w:iCs/>
          <w:lang w:val="en-GB"/>
        </w:rPr>
        <w:instrText xml:space="preserve"> SEQ Table \* ARABIC </w:instrText>
      </w:r>
      <w:r w:rsidRPr="005F0F66">
        <w:rPr>
          <w:b/>
          <w:bCs/>
          <w:iCs/>
          <w:lang w:val="en-GB"/>
        </w:rPr>
        <w:fldChar w:fldCharType="separate"/>
      </w:r>
      <w:r w:rsidR="00D96B67">
        <w:rPr>
          <w:b/>
          <w:bCs/>
          <w:iCs/>
          <w:noProof/>
          <w:lang w:val="en-GB"/>
        </w:rPr>
        <w:t>1</w:t>
      </w:r>
      <w:r w:rsidRPr="005F0F66">
        <w:rPr>
          <w:b/>
          <w:bCs/>
          <w:iCs/>
          <w:lang w:val="en-GB"/>
        </w:rPr>
        <w:fldChar w:fldCharType="end"/>
      </w:r>
      <w:bookmarkEnd w:id="1"/>
      <w:r w:rsidRPr="005F0F66">
        <w:rPr>
          <w:b/>
          <w:bCs/>
          <w:iCs/>
          <w:lang w:val="en-GB"/>
        </w:rPr>
        <w:t>:</w:t>
      </w:r>
      <w:r w:rsidRPr="005F0F66">
        <w:rPr>
          <w:lang w:val="en-GB"/>
        </w:rPr>
        <w:t xml:space="preserve"> </w:t>
      </w:r>
      <w:r w:rsidRPr="00236561">
        <w:rPr>
          <w:lang w:val="en-GB"/>
        </w:rPr>
        <w:t>Observed</w:t>
      </w:r>
      <w:r>
        <w:rPr>
          <w:lang w:val="en-GB"/>
        </w:rPr>
        <w:t>,</w:t>
      </w:r>
      <w:r w:rsidRPr="00236561">
        <w:rPr>
          <w:lang w:val="en-GB"/>
        </w:rPr>
        <w:t xml:space="preserve"> expected </w:t>
      </w:r>
      <w:r>
        <w:rPr>
          <w:lang w:val="en-GB"/>
        </w:rPr>
        <w:t xml:space="preserve">and excess number of </w:t>
      </w:r>
      <w:r w:rsidRPr="00236561">
        <w:rPr>
          <w:lang w:val="en-GB"/>
        </w:rPr>
        <w:t xml:space="preserve">deaths </w:t>
      </w:r>
      <w:r>
        <w:rPr>
          <w:lang w:val="en-GB"/>
        </w:rPr>
        <w:t xml:space="preserve">in the cancer cohort </w:t>
      </w:r>
      <w:r w:rsidRPr="00236561">
        <w:rPr>
          <w:lang w:val="en-GB"/>
        </w:rPr>
        <w:t xml:space="preserve">for </w:t>
      </w:r>
      <w:r>
        <w:rPr>
          <w:lang w:val="en-GB"/>
        </w:rPr>
        <w:t>the month A</w:t>
      </w:r>
      <w:r w:rsidRPr="00236561">
        <w:rPr>
          <w:lang w:val="en-GB"/>
        </w:rPr>
        <w:t>pril 2020</w:t>
      </w:r>
      <w:r>
        <w:rPr>
          <w:lang w:val="en-GB"/>
        </w:rPr>
        <w:t xml:space="preserve">, by cancer site. The last two columns give the expected excess </w:t>
      </w:r>
      <w:r w:rsidRPr="00236561">
        <w:rPr>
          <w:lang w:val="en-GB"/>
        </w:rPr>
        <w:t xml:space="preserve">number </w:t>
      </w:r>
      <w:r>
        <w:rPr>
          <w:lang w:val="en-GB"/>
        </w:rPr>
        <w:t>of deaths, based on the excess rates in the general population</w:t>
      </w:r>
      <w:r w:rsidRPr="00236561">
        <w:rPr>
          <w:lang w:val="en-GB"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176"/>
        <w:gridCol w:w="992"/>
        <w:gridCol w:w="993"/>
        <w:gridCol w:w="975"/>
        <w:gridCol w:w="1009"/>
        <w:gridCol w:w="977"/>
      </w:tblGrid>
      <w:tr w:rsidR="00F96E0B" w:rsidRPr="006047A2" w14:paraId="12B7DE03" w14:textId="77777777" w:rsidTr="0025695F">
        <w:trPr>
          <w:cantSplit/>
          <w:tblHeader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0ABCC61C" w14:textId="77777777" w:rsidR="00F96E0B" w:rsidRPr="00965D7A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0708C7E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Number of deaths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76E90D47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Excess (O-E)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65AF5760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Expected excess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**</w:t>
            </w:r>
          </w:p>
        </w:tc>
      </w:tr>
      <w:tr w:rsidR="00F96E0B" w:rsidRPr="006047A2" w14:paraId="77C63D87" w14:textId="77777777" w:rsidTr="005D19B5">
        <w:trPr>
          <w:cantSplit/>
          <w:tblHeader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32CCCE4A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Cancer site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/type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7612C55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Observed (O)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492ABB3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Expected (E)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075CB71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Estimate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0AE9019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95% CI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27EDD61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Estimate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FF"/>
            <w:tcMar>
              <w:left w:w="60" w:type="dxa"/>
              <w:right w:w="60" w:type="dxa"/>
            </w:tcMar>
            <w:vAlign w:val="bottom"/>
          </w:tcPr>
          <w:p w14:paraId="6A3B15F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95% CI</w:t>
            </w:r>
          </w:p>
        </w:tc>
      </w:tr>
      <w:tr w:rsidR="00F96E0B" w:rsidRPr="006047A2" w14:paraId="469BE630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368F8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invasive tumours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4EAE8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B943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0F96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C1FC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[315, 492]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C2D2B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DD1F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[418, 452]</w:t>
            </w:r>
          </w:p>
        </w:tc>
      </w:tr>
      <w:tr w:rsidR="00F96E0B" w:rsidRPr="006047A2" w14:paraId="2A435277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A9EE5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0EA0C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A566C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2313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61B57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[-5, 36]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399B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CFBC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[11, 12]</w:t>
            </w:r>
          </w:p>
        </w:tc>
      </w:tr>
      <w:tr w:rsidR="00F96E0B" w:rsidRPr="006047A2" w14:paraId="5665284D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F64FC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Oesophagus &amp; GEJ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21BE0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40B7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8725A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C7C14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[3, 33]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ED826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C7005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[4, 4]</w:t>
            </w:r>
          </w:p>
        </w:tc>
      </w:tr>
      <w:tr w:rsidR="00F96E0B" w:rsidRPr="006047A2" w14:paraId="42896F53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80764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Colon and rectum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02CA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D7AF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2B84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4939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[-5, 66]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F2E9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5A76B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[82, 88]</w:t>
            </w:r>
          </w:p>
        </w:tc>
      </w:tr>
      <w:tr w:rsidR="00F96E0B" w:rsidRPr="006047A2" w14:paraId="3CF6C183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808E02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Pancreas and peri-pancreas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D4A7D0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69C2B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2140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66A4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[1, 34]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778EF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B37E07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[4, 4]</w:t>
            </w:r>
          </w:p>
        </w:tc>
      </w:tr>
      <w:tr w:rsidR="00F96E0B" w:rsidRPr="006047A2" w14:paraId="5AAF4E5F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6A98E0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7C4DB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7EC9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C06F7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340EDE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[3, 65]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2B2C06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449FB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[19, 21]</w:t>
            </w:r>
          </w:p>
        </w:tc>
      </w:tr>
      <w:tr w:rsidR="00F96E0B" w:rsidRPr="006047A2" w14:paraId="38BC2F6A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E8322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9630D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B9D04E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8E6F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2BA5A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[-7, 23]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F3CFE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7AEBFD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[20, 21]</w:t>
            </w:r>
          </w:p>
        </w:tc>
      </w:tr>
      <w:tr w:rsidR="00F96E0B" w:rsidRPr="006047A2" w14:paraId="43C25302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3BB91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(females)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F7D2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0DB9E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61AC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F4BF2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[67, 136]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E1471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16F2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[72, 80]</w:t>
            </w:r>
          </w:p>
        </w:tc>
      </w:tr>
      <w:tr w:rsidR="00F96E0B" w:rsidRPr="006047A2" w14:paraId="535EE597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748C6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Corpus uteri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F8D9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D907B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9FA8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DD015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[-11, 15]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8F020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0B1B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[12, 13]</w:t>
            </w:r>
          </w:p>
        </w:tc>
      </w:tr>
      <w:tr w:rsidR="00F96E0B" w:rsidRPr="006047A2" w14:paraId="0372E5D0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9AB475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Ovarium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9EE3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042AEA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EF2DAB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7F11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[-8, 13]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8851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7F5F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[3, 3]</w:t>
            </w:r>
          </w:p>
        </w:tc>
      </w:tr>
      <w:tr w:rsidR="00F96E0B" w:rsidRPr="006047A2" w14:paraId="7AFF0DBA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70612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E0D28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F8834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0B0D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C88DD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[17, 83]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B439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C4E9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[97, 109]</w:t>
            </w:r>
          </w:p>
        </w:tc>
      </w:tr>
      <w:tr w:rsidR="00F96E0B" w:rsidRPr="006047A2" w14:paraId="1FF9D6A0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BE9ED8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E08B2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462F7A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9847E4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AD74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[6, 36]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F2D79A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609FC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[13, 14]</w:t>
            </w:r>
          </w:p>
        </w:tc>
      </w:tr>
      <w:tr w:rsidR="00F96E0B" w:rsidRPr="006047A2" w14:paraId="0FEE2852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AB75F1" w14:textId="77777777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_Hlk69717970"/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872C6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B7CFB3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A7E196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6365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[16, 60]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FBBBD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321F79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[20, 22]</w:t>
            </w:r>
          </w:p>
        </w:tc>
      </w:tr>
      <w:bookmarkEnd w:id="3"/>
      <w:tr w:rsidR="00F96E0B" w:rsidRPr="006047A2" w14:paraId="73EB175F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D9094" w14:textId="2AB381DD" w:rsidR="00F96E0B" w:rsidRPr="006047A2" w:rsidRDefault="00F96E0B" w:rsidP="0025695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B16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logic malignancy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05FD8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9D8C1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D448C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DB7FEF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[11, 76]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7BBD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DA335" w14:textId="77777777" w:rsidR="00F96E0B" w:rsidRPr="006047A2" w:rsidRDefault="00F96E0B" w:rsidP="0025695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[52, 57]</w:t>
            </w:r>
          </w:p>
        </w:tc>
      </w:tr>
      <w:tr w:rsidR="005D19B5" w:rsidRPr="006047A2" w14:paraId="5A7917FF" w14:textId="77777777" w:rsidTr="005D19B5">
        <w:trPr>
          <w:cantSplit/>
          <w:jc w:val="center"/>
        </w:trPr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46317" w14:textId="5B1E47DD" w:rsidR="005D19B5" w:rsidRPr="006047A2" w:rsidRDefault="005D19B5" w:rsidP="00AA172F">
            <w:pPr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 Tumours</w:t>
            </w:r>
            <w:r w:rsidR="005B4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A4332" w14:textId="36426463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10A6D6" w14:textId="0C0EEDBD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D3921" w14:textId="5BCD2800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59B93" w14:textId="57E92F89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[280</w:t>
            </w: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E4885" w14:textId="58120159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0E25F" w14:textId="2FD39980" w:rsidR="005D19B5" w:rsidRPr="006047A2" w:rsidRDefault="005D19B5" w:rsidP="00AA172F">
            <w:pPr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[370, 400</w:t>
            </w:r>
            <w:r w:rsidRPr="0060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</w:tbl>
    <w:p w14:paraId="1CEC7FAA" w14:textId="77777777" w:rsidR="00F96E0B" w:rsidRPr="00F96E0B" w:rsidRDefault="00F96E0B" w:rsidP="00F96E0B">
      <w:pPr>
        <w:spacing w:after="0" w:line="240" w:lineRule="auto"/>
        <w:ind w:left="567"/>
        <w:rPr>
          <w:sz w:val="20"/>
          <w:szCs w:val="20"/>
          <w:lang w:val="en-GB"/>
        </w:rPr>
      </w:pPr>
      <w:r w:rsidRPr="00F96E0B">
        <w:rPr>
          <w:sz w:val="20"/>
          <w:szCs w:val="20"/>
          <w:lang w:val="en-GB"/>
        </w:rPr>
        <w:t>GEJ = gastroesophageal junction</w:t>
      </w:r>
    </w:p>
    <w:p w14:paraId="37EA62D1" w14:textId="7BA5E6B4" w:rsidR="00F96E0B" w:rsidRPr="00F96E0B" w:rsidRDefault="00F96E0B" w:rsidP="00F96E0B">
      <w:pPr>
        <w:spacing w:after="0" w:line="240" w:lineRule="auto"/>
        <w:ind w:left="567"/>
        <w:rPr>
          <w:sz w:val="20"/>
          <w:szCs w:val="20"/>
          <w:lang w:val="en-GB"/>
        </w:rPr>
      </w:pPr>
      <w:r w:rsidRPr="00F96E0B">
        <w:rPr>
          <w:sz w:val="20"/>
          <w:szCs w:val="20"/>
          <w:lang w:val="en-GB"/>
        </w:rPr>
        <w:t>* excluding non-melanoma skin cancers (</w:t>
      </w:r>
      <w:r w:rsidRPr="00F96E0B">
        <w:rPr>
          <w:rFonts w:cstheme="minorHAnsi"/>
          <w:sz w:val="20"/>
          <w:szCs w:val="20"/>
          <w:lang w:val="en-GB"/>
        </w:rPr>
        <w:t xml:space="preserve">ICD-10: C00.0-43.9, C45.0-96.9 </w:t>
      </w:r>
      <w:bookmarkStart w:id="4" w:name="_Hlk56083653"/>
      <w:r w:rsidRPr="00F96E0B">
        <w:rPr>
          <w:rFonts w:cstheme="minorHAnsi"/>
          <w:sz w:val="20"/>
          <w:szCs w:val="20"/>
          <w:lang w:val="en-GB"/>
        </w:rPr>
        <w:t xml:space="preserve">and </w:t>
      </w:r>
      <w:r w:rsidRPr="00F96E0B">
        <w:rPr>
          <w:sz w:val="20"/>
          <w:szCs w:val="20"/>
          <w:lang w:val="en-US"/>
        </w:rPr>
        <w:t>chronic myeloid neoplasms</w:t>
      </w:r>
      <w:bookmarkEnd w:id="4"/>
      <w:r w:rsidRPr="00F96E0B">
        <w:rPr>
          <w:sz w:val="20"/>
          <w:szCs w:val="20"/>
          <w:lang w:val="en-GB"/>
        </w:rPr>
        <w:t>)</w:t>
      </w:r>
    </w:p>
    <w:p w14:paraId="35DDBF66" w14:textId="77777777" w:rsidR="00F96E0B" w:rsidRPr="00F96E0B" w:rsidRDefault="00F96E0B" w:rsidP="00F96E0B">
      <w:pPr>
        <w:spacing w:after="0" w:line="240" w:lineRule="auto"/>
        <w:ind w:left="567"/>
        <w:rPr>
          <w:sz w:val="20"/>
          <w:szCs w:val="20"/>
          <w:lang w:val="en-US"/>
        </w:rPr>
      </w:pPr>
      <w:r w:rsidRPr="00F96E0B">
        <w:rPr>
          <w:sz w:val="20"/>
          <w:szCs w:val="20"/>
          <w:lang w:val="en-GB"/>
        </w:rPr>
        <w:t xml:space="preserve">** </w:t>
      </w:r>
      <w:r w:rsidRPr="00F96E0B">
        <w:rPr>
          <w:sz w:val="20"/>
          <w:szCs w:val="20"/>
          <w:lang w:val="en-US"/>
        </w:rPr>
        <w:t>based on excess mortality in the general population in Belgium, during the same time frame.</w:t>
      </w:r>
    </w:p>
    <w:p w14:paraId="17046CDF" w14:textId="77777777" w:rsidR="00F96E0B" w:rsidRPr="00965D7A" w:rsidRDefault="00F96E0B" w:rsidP="00F96E0B">
      <w:pPr>
        <w:rPr>
          <w:lang w:val="en-US"/>
        </w:rPr>
      </w:pPr>
    </w:p>
    <w:bookmarkEnd w:id="0"/>
    <w:p w14:paraId="0E3AA6ED" w14:textId="67EA1505" w:rsidR="0090654F" w:rsidRPr="008E6F36" w:rsidRDefault="0090654F">
      <w:pPr>
        <w:rPr>
          <w:lang w:val="en-GB"/>
        </w:rPr>
      </w:pPr>
    </w:p>
    <w:sectPr w:rsidR="0090654F" w:rsidRPr="008E6F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6929" w16cex:dateUtc="2021-04-27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A275" w14:textId="77777777" w:rsidR="005B5706" w:rsidRDefault="005B5706" w:rsidP="005B5706">
      <w:pPr>
        <w:spacing w:after="0" w:line="240" w:lineRule="auto"/>
      </w:pPr>
      <w:r>
        <w:separator/>
      </w:r>
    </w:p>
  </w:endnote>
  <w:endnote w:type="continuationSeparator" w:id="0">
    <w:p w14:paraId="7E659F07" w14:textId="77777777" w:rsidR="005B5706" w:rsidRDefault="005B5706" w:rsidP="005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71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13BC" w14:textId="3C49F3BD" w:rsidR="005B5706" w:rsidRDefault="005B5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709583" w14:textId="00489FC6" w:rsidR="005B5706" w:rsidRDefault="005B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E39F" w14:textId="77777777" w:rsidR="005B5706" w:rsidRDefault="005B5706" w:rsidP="005B5706">
      <w:pPr>
        <w:spacing w:after="0" w:line="240" w:lineRule="auto"/>
      </w:pPr>
      <w:r>
        <w:separator/>
      </w:r>
    </w:p>
  </w:footnote>
  <w:footnote w:type="continuationSeparator" w:id="0">
    <w:p w14:paraId="3113A621" w14:textId="77777777" w:rsidR="005B5706" w:rsidRDefault="005B5706" w:rsidP="005B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5C24"/>
    <w:multiLevelType w:val="hybridMultilevel"/>
    <w:tmpl w:val="322C3758"/>
    <w:lvl w:ilvl="0" w:tplc="1FCAD05E">
      <w:start w:val="1"/>
      <w:numFmt w:val="decimal"/>
      <w:pStyle w:val="Heading2"/>
      <w:lvlText w:val="%1."/>
      <w:lvlJc w:val="left"/>
      <w:pPr>
        <w:ind w:left="720" w:hanging="360"/>
      </w:pPr>
    </w:lvl>
    <w:lvl w:ilvl="1" w:tplc="7C124114">
      <w:start w:val="1"/>
      <w:numFmt w:val="lowerLetter"/>
      <w:pStyle w:val="Heading4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ev22ze3dps9ee9027pes52dsrv92pzpfsr&quot;&gt;ResearchTeam_BCR_shared&lt;record-ids&gt;&lt;item&gt;47&lt;/item&gt;&lt;item&gt;52&lt;/item&gt;&lt;/record-ids&gt;&lt;/item&gt;&lt;/Libraries&gt;"/>
  </w:docVars>
  <w:rsids>
    <w:rsidRoot w:val="007344C7"/>
    <w:rsid w:val="00011E10"/>
    <w:rsid w:val="00093D45"/>
    <w:rsid w:val="000D002E"/>
    <w:rsid w:val="001039B4"/>
    <w:rsid w:val="001326EE"/>
    <w:rsid w:val="001332B2"/>
    <w:rsid w:val="00137005"/>
    <w:rsid w:val="001C2C7C"/>
    <w:rsid w:val="001E7B1D"/>
    <w:rsid w:val="00290C48"/>
    <w:rsid w:val="00324CDC"/>
    <w:rsid w:val="00361C09"/>
    <w:rsid w:val="00386F87"/>
    <w:rsid w:val="003974FC"/>
    <w:rsid w:val="00427D9E"/>
    <w:rsid w:val="00485129"/>
    <w:rsid w:val="00541AF7"/>
    <w:rsid w:val="00556F76"/>
    <w:rsid w:val="00590FCA"/>
    <w:rsid w:val="005B3993"/>
    <w:rsid w:val="005B486A"/>
    <w:rsid w:val="005B5706"/>
    <w:rsid w:val="005C04F8"/>
    <w:rsid w:val="005C5D11"/>
    <w:rsid w:val="005D19B5"/>
    <w:rsid w:val="005F0F66"/>
    <w:rsid w:val="005F4BF1"/>
    <w:rsid w:val="00685D0F"/>
    <w:rsid w:val="006E4CDC"/>
    <w:rsid w:val="007074A9"/>
    <w:rsid w:val="007344C7"/>
    <w:rsid w:val="007A79F0"/>
    <w:rsid w:val="007C28A8"/>
    <w:rsid w:val="007C7D4B"/>
    <w:rsid w:val="007D19C1"/>
    <w:rsid w:val="007D2139"/>
    <w:rsid w:val="0082303D"/>
    <w:rsid w:val="00890FD3"/>
    <w:rsid w:val="008E6F36"/>
    <w:rsid w:val="0090654F"/>
    <w:rsid w:val="009848EF"/>
    <w:rsid w:val="00994E5A"/>
    <w:rsid w:val="009B185C"/>
    <w:rsid w:val="009B46F9"/>
    <w:rsid w:val="009D17D4"/>
    <w:rsid w:val="009F5A38"/>
    <w:rsid w:val="00A1011E"/>
    <w:rsid w:val="00A41BBF"/>
    <w:rsid w:val="00A905B7"/>
    <w:rsid w:val="00B16496"/>
    <w:rsid w:val="00B564C6"/>
    <w:rsid w:val="00B91946"/>
    <w:rsid w:val="00BA6D14"/>
    <w:rsid w:val="00BF454E"/>
    <w:rsid w:val="00C13787"/>
    <w:rsid w:val="00C354F1"/>
    <w:rsid w:val="00C534DE"/>
    <w:rsid w:val="00C54597"/>
    <w:rsid w:val="00CC2689"/>
    <w:rsid w:val="00D14863"/>
    <w:rsid w:val="00D44E4F"/>
    <w:rsid w:val="00D77EF3"/>
    <w:rsid w:val="00D96B67"/>
    <w:rsid w:val="00DE7E0D"/>
    <w:rsid w:val="00DF1CD6"/>
    <w:rsid w:val="00E11921"/>
    <w:rsid w:val="00E1759D"/>
    <w:rsid w:val="00E223D1"/>
    <w:rsid w:val="00E31B97"/>
    <w:rsid w:val="00E37929"/>
    <w:rsid w:val="00ED2E45"/>
    <w:rsid w:val="00EE0CB0"/>
    <w:rsid w:val="00EF6ABC"/>
    <w:rsid w:val="00F24DFB"/>
    <w:rsid w:val="00F63403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1779B4D0"/>
  <w15:chartTrackingRefBased/>
  <w15:docId w15:val="{FE79045F-7E89-48E0-9EEB-169AC0E2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4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E0D"/>
    <w:pPr>
      <w:keepNext/>
      <w:keepLines/>
      <w:numPr>
        <w:numId w:val="1"/>
      </w:numPr>
      <w:spacing w:before="40" w:after="0"/>
      <w:ind w:left="426"/>
      <w:outlineLvl w:val="1"/>
    </w:pPr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DE7E0D"/>
    <w:pPr>
      <w:numPr>
        <w:ilvl w:val="1"/>
      </w:numPr>
      <w:ind w:left="709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1946"/>
    <w:rPr>
      <w:rFonts w:eastAsiaTheme="majorEastAsia" w:cstheme="majorBidi"/>
      <w:b/>
      <w:sz w:val="28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7E0D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919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19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19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194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91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C48"/>
    <w:pPr>
      <w:ind w:left="720"/>
      <w:contextualSpacing/>
    </w:pPr>
  </w:style>
  <w:style w:type="paragraph" w:customStyle="1" w:styleId="Tabel">
    <w:name w:val="Tabel"/>
    <w:basedOn w:val="Normal"/>
    <w:link w:val="TabelChar"/>
    <w:rsid w:val="005B5706"/>
    <w:pPr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abelChar">
    <w:name w:val="Tabel Char"/>
    <w:link w:val="Tabel"/>
    <w:rsid w:val="005B5706"/>
    <w:rPr>
      <w:rFonts w:ascii="Times New Roman" w:eastAsia="Times New Roman" w:hAnsi="Times New Roman" w:cs="Times New Roman"/>
      <w:szCs w:val="20"/>
    </w:rPr>
  </w:style>
  <w:style w:type="paragraph" w:customStyle="1" w:styleId="TabelCaption">
    <w:name w:val="TabelCaption"/>
    <w:basedOn w:val="Tabel"/>
    <w:link w:val="TabelCaptionChar"/>
    <w:rsid w:val="005B5706"/>
    <w:rPr>
      <w:b/>
      <w:bCs/>
      <w:i/>
      <w:iCs/>
    </w:rPr>
  </w:style>
  <w:style w:type="character" w:customStyle="1" w:styleId="TabelCaptionChar">
    <w:name w:val="TabelCaption Char"/>
    <w:link w:val="TabelCaption"/>
    <w:rsid w:val="005B5706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B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06"/>
  </w:style>
  <w:style w:type="paragraph" w:styleId="Footer">
    <w:name w:val="footer"/>
    <w:basedOn w:val="Normal"/>
    <w:link w:val="FooterChar"/>
    <w:uiPriority w:val="99"/>
    <w:unhideWhenUsed/>
    <w:rsid w:val="005B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06"/>
  </w:style>
  <w:style w:type="character" w:customStyle="1" w:styleId="apbnam">
    <w:name w:val="apbnam"/>
    <w:basedOn w:val="DefaultParagraphFont"/>
    <w:rsid w:val="00EE0CB0"/>
  </w:style>
  <w:style w:type="character" w:customStyle="1" w:styleId="Heading4Char">
    <w:name w:val="Heading 4 Char"/>
    <w:basedOn w:val="DefaultParagraphFont"/>
    <w:link w:val="Heading4"/>
    <w:uiPriority w:val="9"/>
    <w:rsid w:val="00DE7E0D"/>
    <w:rPr>
      <w:rFonts w:asciiTheme="majorHAnsi" w:eastAsiaTheme="majorEastAsia" w:hAnsiTheme="majorHAnsi" w:cstheme="majorBidi"/>
      <w:i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Silversmit</dc:creator>
  <cp:keywords/>
  <dc:description/>
  <cp:lastModifiedBy>Geert Silversmit</cp:lastModifiedBy>
  <cp:revision>3</cp:revision>
  <cp:lastPrinted>2021-02-09T13:10:00Z</cp:lastPrinted>
  <dcterms:created xsi:type="dcterms:W3CDTF">2021-06-08T06:41:00Z</dcterms:created>
  <dcterms:modified xsi:type="dcterms:W3CDTF">2021-06-08T06:41:00Z</dcterms:modified>
</cp:coreProperties>
</file>