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11"/>
        <w:tblW w:w="11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2"/>
        <w:gridCol w:w="2822"/>
        <w:gridCol w:w="1791"/>
      </w:tblGrid>
      <w:tr w:rsidR="004B3ECE" w:rsidRPr="000E4B3A" w14:paraId="380B8350" w14:textId="77777777" w:rsidTr="00541867">
        <w:trPr>
          <w:trHeight w:val="376"/>
        </w:trPr>
        <w:tc>
          <w:tcPr>
            <w:tcW w:w="11325" w:type="dxa"/>
            <w:gridSpan w:val="3"/>
            <w:tcBorders>
              <w:bottom w:val="single" w:sz="4" w:space="0" w:color="auto"/>
            </w:tcBorders>
            <w:vAlign w:val="center"/>
          </w:tcPr>
          <w:p w14:paraId="2A130DF7" w14:textId="7B78042B" w:rsidR="00B35636" w:rsidRPr="000E4B3A" w:rsidRDefault="00B35636" w:rsidP="005418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Supplementary Table </w:t>
            </w:r>
            <w:r w:rsidR="0087543C" w:rsidRPr="000E4B3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0E4B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Sensitivity analysis by restricting to case-control pairs with comparable </w:t>
            </w:r>
            <w:r w:rsidR="00B079C0" w:rsidRPr="000E4B3A">
              <w:rPr>
                <w:rFonts w:ascii="Arial" w:hAnsi="Arial" w:cs="Arial"/>
                <w:color w:val="000000" w:themeColor="text1"/>
                <w:sz w:val="24"/>
                <w:szCs w:val="24"/>
              </w:rPr>
              <w:t>time to last meal</w:t>
            </w:r>
            <w:r w:rsidRPr="000E4B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hours (±</w:t>
            </w:r>
            <w:r w:rsidR="007F57B6" w:rsidRPr="000E4B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F215E" w:rsidRPr="000E4B3A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0E4B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hour, </w:t>
            </w:r>
            <w:r w:rsidR="001E6974" w:rsidRPr="000E4B3A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  <w:r w:rsidRPr="000E4B3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pairs) for top associated metabolites</w:t>
            </w:r>
          </w:p>
        </w:tc>
      </w:tr>
      <w:tr w:rsidR="004B3ECE" w:rsidRPr="000E4B3A" w14:paraId="2F26C410" w14:textId="77777777" w:rsidTr="00541867">
        <w:trPr>
          <w:trHeight w:val="337"/>
        </w:trPr>
        <w:tc>
          <w:tcPr>
            <w:tcW w:w="6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971F3" w14:textId="77777777" w:rsidR="00B35636" w:rsidRPr="000E4B3A" w:rsidRDefault="00B35636" w:rsidP="0054186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5419B" w14:textId="77777777" w:rsidR="00B35636" w:rsidRPr="000E4B3A" w:rsidRDefault="00B35636" w:rsidP="0054186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 w:themeColor="text1"/>
                <w:sz w:val="24"/>
                <w:szCs w:val="24"/>
              </w:rPr>
              <w:t>OR (95% CI)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2B858" w14:textId="3A09981D" w:rsidR="00B35636" w:rsidRPr="000E4B3A" w:rsidRDefault="00B35636" w:rsidP="0054186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</w:p>
        </w:tc>
      </w:tr>
      <w:tr w:rsidR="005010E8" w:rsidRPr="000E4B3A" w14:paraId="05DEF435" w14:textId="77777777" w:rsidTr="00541867">
        <w:trPr>
          <w:trHeight w:val="376"/>
        </w:trPr>
        <w:tc>
          <w:tcPr>
            <w:tcW w:w="6712" w:type="dxa"/>
            <w:tcBorders>
              <w:top w:val="single" w:sz="4" w:space="0" w:color="auto"/>
            </w:tcBorders>
            <w:vAlign w:val="center"/>
          </w:tcPr>
          <w:p w14:paraId="7D3C6736" w14:textId="70D2560D" w:rsidR="005010E8" w:rsidRPr="000E4B3A" w:rsidRDefault="005010E8" w:rsidP="005418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sphinganine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115074D0" w14:textId="7866A097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1.61 (1.27-2.05)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569DFC25" w14:textId="3ED972FB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8.66</w:t>
            </w:r>
            <w:r w:rsidRPr="000E4B3A">
              <w:rPr>
                <w:rFonts w:ascii="Arial" w:hAnsi="Arial" w:cs="Arial"/>
                <w:color w:val="000000" w:themeColor="text1"/>
              </w:rPr>
              <w:t>x10</w:t>
            </w:r>
            <w:r w:rsidRPr="000E4B3A">
              <w:rPr>
                <w:rFonts w:ascii="Arial" w:hAnsi="Arial" w:cs="Arial"/>
                <w:color w:val="000000" w:themeColor="text1"/>
                <w:vertAlign w:val="superscript"/>
              </w:rPr>
              <w:t>-5</w:t>
            </w:r>
          </w:p>
        </w:tc>
      </w:tr>
      <w:tr w:rsidR="005010E8" w:rsidRPr="000E4B3A" w14:paraId="2DEC11DF" w14:textId="77777777" w:rsidTr="00541867">
        <w:trPr>
          <w:trHeight w:val="376"/>
        </w:trPr>
        <w:tc>
          <w:tcPr>
            <w:tcW w:w="6712" w:type="dxa"/>
            <w:vAlign w:val="center"/>
          </w:tcPr>
          <w:p w14:paraId="554B43C9" w14:textId="2CC3ED29" w:rsidR="005010E8" w:rsidRPr="000E4B3A" w:rsidRDefault="005010E8" w:rsidP="005418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orotate</w:t>
            </w:r>
          </w:p>
        </w:tc>
        <w:tc>
          <w:tcPr>
            <w:tcW w:w="2822" w:type="dxa"/>
            <w:vAlign w:val="center"/>
          </w:tcPr>
          <w:p w14:paraId="43744824" w14:textId="6BC2C367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1.73 (1.31-2.29)</w:t>
            </w:r>
          </w:p>
        </w:tc>
        <w:tc>
          <w:tcPr>
            <w:tcW w:w="1791" w:type="dxa"/>
          </w:tcPr>
          <w:p w14:paraId="5F0069EA" w14:textId="52678FA6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19C1" w:rsidRPr="000E4B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019C1" w:rsidRPr="000E4B3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019C1" w:rsidRPr="000E4B3A">
              <w:rPr>
                <w:rFonts w:ascii="Arial" w:hAnsi="Arial" w:cs="Arial"/>
                <w:color w:val="000000" w:themeColor="text1"/>
              </w:rPr>
              <w:t>x10</w:t>
            </w:r>
            <w:r w:rsidR="00D019C1" w:rsidRPr="000E4B3A">
              <w:rPr>
                <w:rFonts w:ascii="Arial" w:hAnsi="Arial" w:cs="Arial"/>
                <w:color w:val="000000" w:themeColor="text1"/>
                <w:vertAlign w:val="superscript"/>
              </w:rPr>
              <w:t>-4</w:t>
            </w:r>
          </w:p>
        </w:tc>
      </w:tr>
      <w:tr w:rsidR="005010E8" w:rsidRPr="000E4B3A" w14:paraId="0B0444D3" w14:textId="77777777" w:rsidTr="00541867">
        <w:trPr>
          <w:trHeight w:val="337"/>
        </w:trPr>
        <w:tc>
          <w:tcPr>
            <w:tcW w:w="6712" w:type="dxa"/>
            <w:vAlign w:val="center"/>
          </w:tcPr>
          <w:p w14:paraId="54766603" w14:textId="5285DFF1" w:rsidR="005010E8" w:rsidRPr="000E4B3A" w:rsidRDefault="005010E8" w:rsidP="005418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1-(1-enyl-palmitoyl)-GPE (P-16:0)</w:t>
            </w:r>
          </w:p>
        </w:tc>
        <w:tc>
          <w:tcPr>
            <w:tcW w:w="2822" w:type="dxa"/>
            <w:vAlign w:val="center"/>
          </w:tcPr>
          <w:p w14:paraId="5D345E4D" w14:textId="0E9BC1AF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1.54 (1.22-1.95)</w:t>
            </w:r>
          </w:p>
        </w:tc>
        <w:tc>
          <w:tcPr>
            <w:tcW w:w="1791" w:type="dxa"/>
          </w:tcPr>
          <w:p w14:paraId="3D128850" w14:textId="3BF963B2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019C1" w:rsidRPr="000E4B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  <w:r w:rsidR="00D019C1" w:rsidRPr="000E4B3A">
              <w:rPr>
                <w:rFonts w:ascii="Arial" w:hAnsi="Arial" w:cs="Arial"/>
                <w:color w:val="000000" w:themeColor="text1"/>
              </w:rPr>
              <w:t>x10</w:t>
            </w:r>
            <w:r w:rsidR="00D019C1" w:rsidRPr="000E4B3A">
              <w:rPr>
                <w:rFonts w:ascii="Arial" w:hAnsi="Arial" w:cs="Arial"/>
                <w:color w:val="000000" w:themeColor="text1"/>
                <w:vertAlign w:val="superscript"/>
              </w:rPr>
              <w:t>-4</w:t>
            </w:r>
          </w:p>
        </w:tc>
      </w:tr>
      <w:tr w:rsidR="005010E8" w:rsidRPr="000E4B3A" w14:paraId="581D1070" w14:textId="77777777" w:rsidTr="00541867">
        <w:trPr>
          <w:trHeight w:val="405"/>
        </w:trPr>
        <w:tc>
          <w:tcPr>
            <w:tcW w:w="6712" w:type="dxa"/>
            <w:vAlign w:val="center"/>
          </w:tcPr>
          <w:p w14:paraId="3DD10B60" w14:textId="74ECF31F" w:rsidR="005010E8" w:rsidRPr="000E4B3A" w:rsidRDefault="005010E8" w:rsidP="005418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1-(1-enyl-stearoyl)-GPE (P-18:0)</w:t>
            </w:r>
          </w:p>
        </w:tc>
        <w:tc>
          <w:tcPr>
            <w:tcW w:w="2822" w:type="dxa"/>
            <w:vAlign w:val="center"/>
          </w:tcPr>
          <w:p w14:paraId="17AE289C" w14:textId="34818263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1.53 (1.20-1.95)</w:t>
            </w:r>
          </w:p>
        </w:tc>
        <w:tc>
          <w:tcPr>
            <w:tcW w:w="1791" w:type="dxa"/>
          </w:tcPr>
          <w:p w14:paraId="0F58AE22" w14:textId="4DA9AFD9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5B5D42" w:rsidRPr="000E4B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5B5D42" w:rsidRPr="000E4B3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5B5D42" w:rsidRPr="000E4B3A">
              <w:rPr>
                <w:rFonts w:ascii="Arial" w:hAnsi="Arial" w:cs="Arial"/>
                <w:color w:val="000000" w:themeColor="text1"/>
              </w:rPr>
              <w:t>x10</w:t>
            </w:r>
            <w:r w:rsidR="005B5D42" w:rsidRPr="000E4B3A">
              <w:rPr>
                <w:rFonts w:ascii="Arial" w:hAnsi="Arial" w:cs="Arial"/>
                <w:color w:val="000000" w:themeColor="text1"/>
                <w:vertAlign w:val="superscript"/>
              </w:rPr>
              <w:t>-4</w:t>
            </w:r>
          </w:p>
        </w:tc>
      </w:tr>
      <w:tr w:rsidR="005010E8" w:rsidRPr="000E4B3A" w14:paraId="4CC325CE" w14:textId="77777777" w:rsidTr="00541867">
        <w:trPr>
          <w:trHeight w:val="376"/>
        </w:trPr>
        <w:tc>
          <w:tcPr>
            <w:tcW w:w="6712" w:type="dxa"/>
            <w:vAlign w:val="center"/>
          </w:tcPr>
          <w:p w14:paraId="6E0C7A77" w14:textId="493D0B95" w:rsidR="005010E8" w:rsidRPr="000E4B3A" w:rsidRDefault="005010E8" w:rsidP="005418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glycerophosphoethanolamine</w:t>
            </w:r>
          </w:p>
        </w:tc>
        <w:tc>
          <w:tcPr>
            <w:tcW w:w="2822" w:type="dxa"/>
            <w:vAlign w:val="center"/>
          </w:tcPr>
          <w:p w14:paraId="6FC32901" w14:textId="62E64C23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1.55 (1.20-1.99)</w:t>
            </w:r>
          </w:p>
        </w:tc>
        <w:tc>
          <w:tcPr>
            <w:tcW w:w="1791" w:type="dxa"/>
          </w:tcPr>
          <w:p w14:paraId="2D08FC48" w14:textId="219B4303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BA1516" w:rsidRPr="000E4B3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A1516" w:rsidRPr="000E4B3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BA1516" w:rsidRPr="000E4B3A">
              <w:rPr>
                <w:rFonts w:ascii="Arial" w:hAnsi="Arial" w:cs="Arial"/>
                <w:color w:val="000000" w:themeColor="text1"/>
              </w:rPr>
              <w:t>x10</w:t>
            </w:r>
            <w:r w:rsidR="00BA1516" w:rsidRPr="000E4B3A">
              <w:rPr>
                <w:rFonts w:ascii="Arial" w:hAnsi="Arial" w:cs="Arial"/>
                <w:color w:val="000000" w:themeColor="text1"/>
                <w:vertAlign w:val="superscript"/>
              </w:rPr>
              <w:t>-4</w:t>
            </w:r>
          </w:p>
        </w:tc>
      </w:tr>
      <w:tr w:rsidR="005010E8" w:rsidRPr="000E4B3A" w14:paraId="35EE8C92" w14:textId="77777777" w:rsidTr="00541867">
        <w:trPr>
          <w:trHeight w:val="376"/>
        </w:trPr>
        <w:tc>
          <w:tcPr>
            <w:tcW w:w="6712" w:type="dxa"/>
            <w:vAlign w:val="center"/>
          </w:tcPr>
          <w:p w14:paraId="758E2CE5" w14:textId="753E4893" w:rsidR="005010E8" w:rsidRPr="000E4B3A" w:rsidRDefault="005010E8" w:rsidP="005418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1-palmitoyl-GPC (16:0)</w:t>
            </w:r>
          </w:p>
        </w:tc>
        <w:tc>
          <w:tcPr>
            <w:tcW w:w="2822" w:type="dxa"/>
            <w:vAlign w:val="center"/>
          </w:tcPr>
          <w:p w14:paraId="6A5D3DF5" w14:textId="05B8E925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1.47 (1.15-1.89)</w:t>
            </w:r>
          </w:p>
        </w:tc>
        <w:tc>
          <w:tcPr>
            <w:tcW w:w="1791" w:type="dxa"/>
          </w:tcPr>
          <w:p w14:paraId="161EC815" w14:textId="31BCF6D8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0.00246</w:t>
            </w:r>
          </w:p>
        </w:tc>
      </w:tr>
      <w:tr w:rsidR="005010E8" w:rsidRPr="000E4B3A" w14:paraId="4CFE4A32" w14:textId="77777777" w:rsidTr="00541867">
        <w:trPr>
          <w:trHeight w:val="376"/>
        </w:trPr>
        <w:tc>
          <w:tcPr>
            <w:tcW w:w="6712" w:type="dxa"/>
            <w:vAlign w:val="center"/>
          </w:tcPr>
          <w:p w14:paraId="1B9386B2" w14:textId="6AB12228" w:rsidR="005010E8" w:rsidRPr="000E4B3A" w:rsidRDefault="005010E8" w:rsidP="005418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N6-methyllysine</w:t>
            </w:r>
          </w:p>
        </w:tc>
        <w:tc>
          <w:tcPr>
            <w:tcW w:w="2822" w:type="dxa"/>
            <w:vAlign w:val="center"/>
          </w:tcPr>
          <w:p w14:paraId="05A32359" w14:textId="7D7AF416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1.40 (1.13-1.74)</w:t>
            </w:r>
          </w:p>
        </w:tc>
        <w:tc>
          <w:tcPr>
            <w:tcW w:w="1791" w:type="dxa"/>
          </w:tcPr>
          <w:p w14:paraId="5E8FC826" w14:textId="1B495AF6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0.00249</w:t>
            </w:r>
          </w:p>
        </w:tc>
      </w:tr>
      <w:tr w:rsidR="005010E8" w:rsidRPr="000E4B3A" w14:paraId="4CE11579" w14:textId="77777777" w:rsidTr="00541867">
        <w:trPr>
          <w:trHeight w:val="376"/>
        </w:trPr>
        <w:tc>
          <w:tcPr>
            <w:tcW w:w="6712" w:type="dxa"/>
            <w:vAlign w:val="center"/>
          </w:tcPr>
          <w:p w14:paraId="52714BAF" w14:textId="2A810686" w:rsidR="005010E8" w:rsidRPr="000E4B3A" w:rsidRDefault="005010E8" w:rsidP="005418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1-stearoyl-GPC (18:0)</w:t>
            </w:r>
          </w:p>
        </w:tc>
        <w:tc>
          <w:tcPr>
            <w:tcW w:w="2822" w:type="dxa"/>
            <w:vAlign w:val="center"/>
          </w:tcPr>
          <w:p w14:paraId="5F716B83" w14:textId="30E1B7EA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1.45 (1.13-1.87)</w:t>
            </w:r>
          </w:p>
        </w:tc>
        <w:tc>
          <w:tcPr>
            <w:tcW w:w="1791" w:type="dxa"/>
          </w:tcPr>
          <w:p w14:paraId="1D3672DC" w14:textId="00A15382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0.0035</w:t>
            </w:r>
            <w:r w:rsidR="004A15D4" w:rsidRPr="000E4B3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010E8" w:rsidRPr="000E4B3A" w14:paraId="6A196814" w14:textId="77777777" w:rsidTr="00541867">
        <w:trPr>
          <w:trHeight w:val="376"/>
        </w:trPr>
        <w:tc>
          <w:tcPr>
            <w:tcW w:w="6712" w:type="dxa"/>
            <w:vAlign w:val="center"/>
          </w:tcPr>
          <w:p w14:paraId="72019B98" w14:textId="42D4200E" w:rsidR="005010E8" w:rsidRPr="000E4B3A" w:rsidRDefault="005010E8" w:rsidP="005418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5alpha-pregnan-3beta20beta-diol monosulfate</w:t>
            </w:r>
          </w:p>
        </w:tc>
        <w:tc>
          <w:tcPr>
            <w:tcW w:w="2822" w:type="dxa"/>
            <w:vAlign w:val="center"/>
          </w:tcPr>
          <w:p w14:paraId="42BB11DA" w14:textId="2232BAB8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1.41 (1.12-1.78)</w:t>
            </w:r>
          </w:p>
        </w:tc>
        <w:tc>
          <w:tcPr>
            <w:tcW w:w="1791" w:type="dxa"/>
          </w:tcPr>
          <w:p w14:paraId="1DA8A6F3" w14:textId="32E803FE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0.0037</w:t>
            </w:r>
            <w:r w:rsidR="004A15D4" w:rsidRPr="000E4B3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010E8" w:rsidRPr="000E4B3A" w14:paraId="2546B543" w14:textId="77777777" w:rsidTr="00541867">
        <w:trPr>
          <w:trHeight w:val="376"/>
        </w:trPr>
        <w:tc>
          <w:tcPr>
            <w:tcW w:w="6712" w:type="dxa"/>
            <w:vAlign w:val="center"/>
          </w:tcPr>
          <w:p w14:paraId="6BBAC31F" w14:textId="0E96B71B" w:rsidR="005010E8" w:rsidRPr="000E4B3A" w:rsidRDefault="005010E8" w:rsidP="005418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glutamate</w:t>
            </w:r>
          </w:p>
        </w:tc>
        <w:tc>
          <w:tcPr>
            <w:tcW w:w="2822" w:type="dxa"/>
            <w:vAlign w:val="center"/>
          </w:tcPr>
          <w:p w14:paraId="76DC5FC3" w14:textId="094CB08C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1.42 (1.12-1.80)</w:t>
            </w:r>
          </w:p>
        </w:tc>
        <w:tc>
          <w:tcPr>
            <w:tcW w:w="1791" w:type="dxa"/>
          </w:tcPr>
          <w:p w14:paraId="7F52C46E" w14:textId="7A708F56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0.0038</w:t>
            </w:r>
            <w:r w:rsidR="004A15D4" w:rsidRPr="000E4B3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5010E8" w:rsidRPr="000E4B3A" w14:paraId="50308C48" w14:textId="77777777" w:rsidTr="00541867">
        <w:trPr>
          <w:trHeight w:val="376"/>
        </w:trPr>
        <w:tc>
          <w:tcPr>
            <w:tcW w:w="6712" w:type="dxa"/>
            <w:vAlign w:val="center"/>
          </w:tcPr>
          <w:p w14:paraId="24A48436" w14:textId="2FA16C90" w:rsidR="005010E8" w:rsidRPr="000E4B3A" w:rsidRDefault="005010E8" w:rsidP="005418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methylmalonate (MMA)</w:t>
            </w:r>
          </w:p>
        </w:tc>
        <w:tc>
          <w:tcPr>
            <w:tcW w:w="2822" w:type="dxa"/>
            <w:vAlign w:val="center"/>
          </w:tcPr>
          <w:p w14:paraId="5670E049" w14:textId="31391BF3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1.41 (1.11-1.80)</w:t>
            </w:r>
          </w:p>
        </w:tc>
        <w:tc>
          <w:tcPr>
            <w:tcW w:w="1791" w:type="dxa"/>
          </w:tcPr>
          <w:p w14:paraId="43593419" w14:textId="08FAD1AF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0.00492</w:t>
            </w:r>
          </w:p>
        </w:tc>
      </w:tr>
      <w:tr w:rsidR="005010E8" w:rsidRPr="000E4B3A" w14:paraId="1C7F75C2" w14:textId="77777777" w:rsidTr="00541867">
        <w:trPr>
          <w:trHeight w:val="376"/>
        </w:trPr>
        <w:tc>
          <w:tcPr>
            <w:tcW w:w="6712" w:type="dxa"/>
            <w:vAlign w:val="center"/>
          </w:tcPr>
          <w:p w14:paraId="718280E4" w14:textId="3E9D89CC" w:rsidR="005010E8" w:rsidRPr="000E4B3A" w:rsidRDefault="005010E8" w:rsidP="005418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1-(1-enyl-palmitoyl)-GPC (P-16:0)</w:t>
            </w:r>
          </w:p>
        </w:tc>
        <w:tc>
          <w:tcPr>
            <w:tcW w:w="2822" w:type="dxa"/>
            <w:vAlign w:val="center"/>
          </w:tcPr>
          <w:p w14:paraId="3697A9C2" w14:textId="3EF401A8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1.39 (1.10-1.75)</w:t>
            </w:r>
          </w:p>
        </w:tc>
        <w:tc>
          <w:tcPr>
            <w:tcW w:w="1791" w:type="dxa"/>
          </w:tcPr>
          <w:p w14:paraId="735845EC" w14:textId="36DE4F2A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0.00521</w:t>
            </w:r>
          </w:p>
        </w:tc>
      </w:tr>
      <w:tr w:rsidR="005010E8" w:rsidRPr="000E4B3A" w14:paraId="61C59FB1" w14:textId="77777777" w:rsidTr="00541867">
        <w:trPr>
          <w:trHeight w:val="438"/>
        </w:trPr>
        <w:tc>
          <w:tcPr>
            <w:tcW w:w="6712" w:type="dxa"/>
            <w:vAlign w:val="center"/>
          </w:tcPr>
          <w:p w14:paraId="60D5533D" w14:textId="68EDF211" w:rsidR="005010E8" w:rsidRPr="000E4B3A" w:rsidRDefault="005010E8" w:rsidP="005418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3-hydroxypyridine sulfate</w:t>
            </w:r>
          </w:p>
        </w:tc>
        <w:tc>
          <w:tcPr>
            <w:tcW w:w="2822" w:type="dxa"/>
            <w:vAlign w:val="center"/>
          </w:tcPr>
          <w:p w14:paraId="72E73B1A" w14:textId="70509B5E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0.70 (0.54-0.90)</w:t>
            </w:r>
          </w:p>
        </w:tc>
        <w:tc>
          <w:tcPr>
            <w:tcW w:w="1791" w:type="dxa"/>
          </w:tcPr>
          <w:p w14:paraId="2BD33C86" w14:textId="271C297D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0.0057</w:t>
            </w:r>
            <w:r w:rsidR="004A15D4" w:rsidRPr="000E4B3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010E8" w:rsidRPr="000E4B3A" w14:paraId="195BB810" w14:textId="77777777" w:rsidTr="00541867">
        <w:trPr>
          <w:trHeight w:val="376"/>
        </w:trPr>
        <w:tc>
          <w:tcPr>
            <w:tcW w:w="6712" w:type="dxa"/>
            <w:vAlign w:val="center"/>
          </w:tcPr>
          <w:p w14:paraId="61AA4D6D" w14:textId="197FEA02" w:rsidR="005010E8" w:rsidRPr="000E4B3A" w:rsidRDefault="005010E8" w:rsidP="005418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N-(2-furoyl) glycine</w:t>
            </w:r>
          </w:p>
        </w:tc>
        <w:tc>
          <w:tcPr>
            <w:tcW w:w="2822" w:type="dxa"/>
            <w:vAlign w:val="center"/>
          </w:tcPr>
          <w:p w14:paraId="5D6945BB" w14:textId="4EBD4D26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0.71 (0.55-0.91)</w:t>
            </w:r>
          </w:p>
        </w:tc>
        <w:tc>
          <w:tcPr>
            <w:tcW w:w="1791" w:type="dxa"/>
          </w:tcPr>
          <w:p w14:paraId="2AA50FCB" w14:textId="4DA5D709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0.007</w:t>
            </w:r>
            <w:r w:rsidR="004A15D4" w:rsidRPr="000E4B3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010E8" w:rsidRPr="000E4B3A" w14:paraId="7ADA3750" w14:textId="77777777" w:rsidTr="00541867">
        <w:trPr>
          <w:trHeight w:val="376"/>
        </w:trPr>
        <w:tc>
          <w:tcPr>
            <w:tcW w:w="6712" w:type="dxa"/>
            <w:vAlign w:val="center"/>
          </w:tcPr>
          <w:p w14:paraId="6EB10511" w14:textId="3CBC1FF1" w:rsidR="005010E8" w:rsidRPr="000E4B3A" w:rsidRDefault="005010E8" w:rsidP="005418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1-(1-enyl-oleoyl)-2-docosahexaenoyl-GPE (P-18:1/22:6)</w:t>
            </w:r>
          </w:p>
        </w:tc>
        <w:tc>
          <w:tcPr>
            <w:tcW w:w="2822" w:type="dxa"/>
            <w:vAlign w:val="center"/>
          </w:tcPr>
          <w:p w14:paraId="181C536A" w14:textId="3C31BAC2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1.36 (1.08-1.71)</w:t>
            </w:r>
          </w:p>
        </w:tc>
        <w:tc>
          <w:tcPr>
            <w:tcW w:w="1791" w:type="dxa"/>
          </w:tcPr>
          <w:p w14:paraId="11B8D543" w14:textId="54014710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0.0101</w:t>
            </w:r>
            <w:r w:rsidR="004A15D4" w:rsidRPr="000E4B3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5010E8" w:rsidRPr="000E4B3A" w14:paraId="6F2711E0" w14:textId="77777777" w:rsidTr="00541867">
        <w:trPr>
          <w:trHeight w:val="376"/>
        </w:trPr>
        <w:tc>
          <w:tcPr>
            <w:tcW w:w="6712" w:type="dxa"/>
            <w:vAlign w:val="center"/>
          </w:tcPr>
          <w:p w14:paraId="2088FF4F" w14:textId="7FB1DB86" w:rsidR="005010E8" w:rsidRPr="000E4B3A" w:rsidRDefault="005010E8" w:rsidP="005418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quinate</w:t>
            </w:r>
          </w:p>
        </w:tc>
        <w:tc>
          <w:tcPr>
            <w:tcW w:w="2822" w:type="dxa"/>
            <w:vAlign w:val="center"/>
          </w:tcPr>
          <w:p w14:paraId="42B74E4B" w14:textId="6E1E049C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0.74 (0.58-0.94)</w:t>
            </w:r>
          </w:p>
        </w:tc>
        <w:tc>
          <w:tcPr>
            <w:tcW w:w="1791" w:type="dxa"/>
          </w:tcPr>
          <w:p w14:paraId="0D436FDC" w14:textId="1890015B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0.0129</w:t>
            </w:r>
            <w:r w:rsidR="004A15D4" w:rsidRPr="000E4B3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5010E8" w:rsidRPr="000E4B3A" w14:paraId="4702CA0D" w14:textId="77777777" w:rsidTr="00541867">
        <w:trPr>
          <w:trHeight w:val="376"/>
        </w:trPr>
        <w:tc>
          <w:tcPr>
            <w:tcW w:w="6712" w:type="dxa"/>
            <w:vAlign w:val="center"/>
          </w:tcPr>
          <w:p w14:paraId="758C4049" w14:textId="5498F132" w:rsidR="005010E8" w:rsidRPr="000E4B3A" w:rsidRDefault="005010E8" w:rsidP="005418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cysteine</w:t>
            </w:r>
          </w:p>
        </w:tc>
        <w:tc>
          <w:tcPr>
            <w:tcW w:w="2822" w:type="dxa"/>
            <w:vAlign w:val="center"/>
          </w:tcPr>
          <w:p w14:paraId="208B1B72" w14:textId="751F6A17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0.75 (0.59-0.95)</w:t>
            </w:r>
          </w:p>
        </w:tc>
        <w:tc>
          <w:tcPr>
            <w:tcW w:w="1791" w:type="dxa"/>
          </w:tcPr>
          <w:p w14:paraId="13A89FAF" w14:textId="535BBD34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0.01563</w:t>
            </w:r>
          </w:p>
        </w:tc>
      </w:tr>
      <w:tr w:rsidR="005010E8" w:rsidRPr="000E4B3A" w14:paraId="6A7F315A" w14:textId="77777777" w:rsidTr="00541867">
        <w:trPr>
          <w:trHeight w:val="376"/>
        </w:trPr>
        <w:tc>
          <w:tcPr>
            <w:tcW w:w="6712" w:type="dxa"/>
            <w:vAlign w:val="center"/>
          </w:tcPr>
          <w:p w14:paraId="510E2785" w14:textId="1A2758B0" w:rsidR="005010E8" w:rsidRPr="000E4B3A" w:rsidRDefault="005010E8" w:rsidP="0054186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5alpha-pregnan-diol disulfate</w:t>
            </w:r>
          </w:p>
        </w:tc>
        <w:tc>
          <w:tcPr>
            <w:tcW w:w="2822" w:type="dxa"/>
            <w:vAlign w:val="center"/>
          </w:tcPr>
          <w:p w14:paraId="270EE825" w14:textId="1E867D2D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1.34 (1.06-1.70)</w:t>
            </w:r>
          </w:p>
        </w:tc>
        <w:tc>
          <w:tcPr>
            <w:tcW w:w="1791" w:type="dxa"/>
          </w:tcPr>
          <w:p w14:paraId="01EC8A38" w14:textId="40562AC3" w:rsidR="005010E8" w:rsidRPr="000E4B3A" w:rsidRDefault="005010E8" w:rsidP="0054186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4B3A">
              <w:rPr>
                <w:rFonts w:ascii="Arial" w:hAnsi="Arial" w:cs="Arial"/>
                <w:color w:val="000000"/>
                <w:sz w:val="24"/>
                <w:szCs w:val="24"/>
              </w:rPr>
              <w:t>0.0160</w:t>
            </w:r>
            <w:r w:rsidR="004A15D4" w:rsidRPr="000E4B3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4B3ECE" w:rsidRPr="000E4B3A" w14:paraId="4E9A965D" w14:textId="77777777" w:rsidTr="00541867">
        <w:trPr>
          <w:trHeight w:val="385"/>
        </w:trPr>
        <w:tc>
          <w:tcPr>
            <w:tcW w:w="11325" w:type="dxa"/>
            <w:gridSpan w:val="3"/>
            <w:tcBorders>
              <w:top w:val="single" w:sz="4" w:space="0" w:color="auto"/>
            </w:tcBorders>
            <w:vAlign w:val="center"/>
          </w:tcPr>
          <w:p w14:paraId="32A33BDB" w14:textId="77777777" w:rsidR="00B35636" w:rsidRPr="000E4B3A" w:rsidRDefault="00B35636" w:rsidP="00541867">
            <w:pPr>
              <w:rPr>
                <w:rFonts w:ascii="Arial" w:hAnsi="Arial" w:cs="Arial"/>
                <w:color w:val="000000" w:themeColor="text1"/>
              </w:rPr>
            </w:pPr>
            <w:r w:rsidRPr="000E4B3A">
              <w:rPr>
                <w:rFonts w:ascii="Arial" w:hAnsi="Arial" w:cs="Arial"/>
                <w:color w:val="000000" w:themeColor="text1"/>
              </w:rPr>
              <w:t xml:space="preserve">The same covariates listed in Table 2 were included in the regression analysis. </w:t>
            </w:r>
          </w:p>
          <w:p w14:paraId="37B72506" w14:textId="77777777" w:rsidR="00B75935" w:rsidRPr="000E4B3A" w:rsidRDefault="00B75935" w:rsidP="00541867">
            <w:pPr>
              <w:rPr>
                <w:rFonts w:ascii="Arial" w:hAnsi="Arial" w:cs="Arial"/>
                <w:color w:val="000000" w:themeColor="text1"/>
              </w:rPr>
            </w:pPr>
          </w:p>
          <w:p w14:paraId="01BD19FC" w14:textId="6E231F05" w:rsidR="00B75935" w:rsidRPr="000E4B3A" w:rsidRDefault="00B75935" w:rsidP="0054186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6D18C9C" w14:textId="500BFD8F" w:rsidR="001F41DE" w:rsidRPr="000E4B3A" w:rsidRDefault="001F41DE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70B3C53" w14:textId="7EE94C41" w:rsidR="001F41DE" w:rsidRPr="000E4B3A" w:rsidRDefault="001F41DE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71F52D9" w14:textId="67BA24C6" w:rsidR="00B75935" w:rsidRPr="000E4B3A" w:rsidRDefault="00B7593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B21A6E1" w14:textId="050BF59C" w:rsidR="00B75935" w:rsidRPr="000E4B3A" w:rsidRDefault="00B7593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6DA1C7E" w14:textId="6883D7CD" w:rsidR="00B75935" w:rsidRPr="000E4B3A" w:rsidRDefault="00B7593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4FABEFF" w14:textId="427E0937" w:rsidR="00B75935" w:rsidRPr="000E4B3A" w:rsidRDefault="00B7593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8344EE1" w14:textId="09C30E05" w:rsidR="00B75935" w:rsidRPr="000E4B3A" w:rsidRDefault="00B7593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AFD8819" w14:textId="0B5AD5FE" w:rsidR="00B75935" w:rsidRPr="000E4B3A" w:rsidRDefault="00B7593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6D01983" w14:textId="686F7ED2" w:rsidR="00B75935" w:rsidRPr="000E4B3A" w:rsidRDefault="00B7593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8611C07" w14:textId="607CF4EF" w:rsidR="00B75935" w:rsidRPr="000E4B3A" w:rsidRDefault="00B7593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4CD5E19" w14:textId="459FC6CA" w:rsidR="00B75935" w:rsidRPr="000E4B3A" w:rsidRDefault="00B7593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D9A07D4" w14:textId="392B1EB1" w:rsidR="00B75935" w:rsidRPr="000E4B3A" w:rsidRDefault="00B7593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6453B80" w14:textId="6908771D" w:rsidR="00B75935" w:rsidRPr="000E4B3A" w:rsidRDefault="00B7593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4CE76AB" w14:textId="7FAB3D82" w:rsidR="00B75935" w:rsidRPr="000E4B3A" w:rsidRDefault="00B7593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676397B0" w14:textId="72BF37B1" w:rsidR="00B75935" w:rsidRPr="000E4B3A" w:rsidRDefault="00B7593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CC86BB3" w14:textId="1FD8892C" w:rsidR="00B75935" w:rsidRPr="000E4B3A" w:rsidRDefault="00B7593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11319FA" w14:textId="64D8601D" w:rsidR="00B75935" w:rsidRPr="000E4B3A" w:rsidRDefault="00B7593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5BEC1FA3" w14:textId="0C8687A9" w:rsidR="00B75935" w:rsidRPr="000E4B3A" w:rsidRDefault="00B7593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00F10E6" w14:textId="7D080B5D" w:rsidR="00B75935" w:rsidRPr="000E4B3A" w:rsidRDefault="00B7593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8A8D763" w14:textId="405BBA52" w:rsidR="00B75935" w:rsidRPr="000E4B3A" w:rsidRDefault="00B7593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A07AEF6" w14:textId="33CFDEAC" w:rsidR="00B75935" w:rsidRPr="000E4B3A" w:rsidRDefault="00B7593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89E3504" w14:textId="7864ADB2" w:rsidR="00B75935" w:rsidRPr="000E4B3A" w:rsidRDefault="00B7593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9687E4C" w14:textId="48C21488" w:rsidR="00B75935" w:rsidRPr="000E4B3A" w:rsidRDefault="00B75935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1B9164EE" w14:textId="771989C8" w:rsidR="00E3351D" w:rsidRPr="00E3351D" w:rsidRDefault="00E3351D" w:rsidP="002A40AF">
      <w:pPr>
        <w:rPr>
          <w:rFonts w:ascii="Arial" w:hAnsi="Arial" w:cs="Arial"/>
        </w:rPr>
      </w:pPr>
    </w:p>
    <w:sectPr w:rsidR="00E3351D" w:rsidRPr="00E3351D" w:rsidSect="00541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C57C0" w14:textId="77777777" w:rsidR="003A30E9" w:rsidRDefault="003A30E9" w:rsidP="00541867">
      <w:pPr>
        <w:spacing w:after="0" w:line="240" w:lineRule="auto"/>
      </w:pPr>
      <w:r>
        <w:separator/>
      </w:r>
    </w:p>
  </w:endnote>
  <w:endnote w:type="continuationSeparator" w:id="0">
    <w:p w14:paraId="5B5851C6" w14:textId="77777777" w:rsidR="003A30E9" w:rsidRDefault="003A30E9" w:rsidP="0054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4FBD2" w14:textId="77777777" w:rsidR="003A30E9" w:rsidRDefault="003A30E9" w:rsidP="00541867">
      <w:pPr>
        <w:spacing w:after="0" w:line="240" w:lineRule="auto"/>
      </w:pPr>
      <w:r>
        <w:separator/>
      </w:r>
    </w:p>
  </w:footnote>
  <w:footnote w:type="continuationSeparator" w:id="0">
    <w:p w14:paraId="03BF2A70" w14:textId="77777777" w:rsidR="003A30E9" w:rsidRDefault="003A30E9" w:rsidP="0054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D26995"/>
    <w:multiLevelType w:val="hybridMultilevel"/>
    <w:tmpl w:val="67CEA81A"/>
    <w:lvl w:ilvl="0" w:tplc="2E6C4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A8"/>
    <w:rsid w:val="0000309B"/>
    <w:rsid w:val="00011256"/>
    <w:rsid w:val="000117C9"/>
    <w:rsid w:val="00016101"/>
    <w:rsid w:val="00030D81"/>
    <w:rsid w:val="00036767"/>
    <w:rsid w:val="00070DF0"/>
    <w:rsid w:val="00071380"/>
    <w:rsid w:val="00073BEA"/>
    <w:rsid w:val="00086424"/>
    <w:rsid w:val="000A3E94"/>
    <w:rsid w:val="000C5E16"/>
    <w:rsid w:val="000C637D"/>
    <w:rsid w:val="000D2731"/>
    <w:rsid w:val="000D462A"/>
    <w:rsid w:val="000D5E03"/>
    <w:rsid w:val="000D7518"/>
    <w:rsid w:val="000E4B3A"/>
    <w:rsid w:val="000F11CF"/>
    <w:rsid w:val="000F1DD9"/>
    <w:rsid w:val="000F215E"/>
    <w:rsid w:val="000F513F"/>
    <w:rsid w:val="000F5BE1"/>
    <w:rsid w:val="000F76CD"/>
    <w:rsid w:val="0010048F"/>
    <w:rsid w:val="001058AE"/>
    <w:rsid w:val="001062BC"/>
    <w:rsid w:val="00125D43"/>
    <w:rsid w:val="00150682"/>
    <w:rsid w:val="00150EDC"/>
    <w:rsid w:val="00172BA4"/>
    <w:rsid w:val="001818E6"/>
    <w:rsid w:val="00187519"/>
    <w:rsid w:val="00187AFB"/>
    <w:rsid w:val="001973C5"/>
    <w:rsid w:val="001B0373"/>
    <w:rsid w:val="001B0CBB"/>
    <w:rsid w:val="001C797D"/>
    <w:rsid w:val="001E1E84"/>
    <w:rsid w:val="001E5FBB"/>
    <w:rsid w:val="001E6974"/>
    <w:rsid w:val="001F41DE"/>
    <w:rsid w:val="00201076"/>
    <w:rsid w:val="00210367"/>
    <w:rsid w:val="00213BDD"/>
    <w:rsid w:val="00215186"/>
    <w:rsid w:val="00243711"/>
    <w:rsid w:val="00251EDB"/>
    <w:rsid w:val="00260B39"/>
    <w:rsid w:val="002703F6"/>
    <w:rsid w:val="00270940"/>
    <w:rsid w:val="002735DD"/>
    <w:rsid w:val="00293B50"/>
    <w:rsid w:val="002A40AF"/>
    <w:rsid w:val="002C6201"/>
    <w:rsid w:val="002E0DEA"/>
    <w:rsid w:val="002E373B"/>
    <w:rsid w:val="003001AD"/>
    <w:rsid w:val="00311C31"/>
    <w:rsid w:val="00313D79"/>
    <w:rsid w:val="003318A8"/>
    <w:rsid w:val="00332464"/>
    <w:rsid w:val="00332734"/>
    <w:rsid w:val="00340474"/>
    <w:rsid w:val="003449FC"/>
    <w:rsid w:val="00362910"/>
    <w:rsid w:val="00366112"/>
    <w:rsid w:val="0037433F"/>
    <w:rsid w:val="003810BF"/>
    <w:rsid w:val="003A30E9"/>
    <w:rsid w:val="003A4B05"/>
    <w:rsid w:val="003A5EC5"/>
    <w:rsid w:val="003C1B4B"/>
    <w:rsid w:val="003C382E"/>
    <w:rsid w:val="003C39CB"/>
    <w:rsid w:val="003F2E3B"/>
    <w:rsid w:val="003F3555"/>
    <w:rsid w:val="00404E9B"/>
    <w:rsid w:val="00417802"/>
    <w:rsid w:val="00444F76"/>
    <w:rsid w:val="00452E86"/>
    <w:rsid w:val="0046312E"/>
    <w:rsid w:val="00463906"/>
    <w:rsid w:val="004653F3"/>
    <w:rsid w:val="0048446B"/>
    <w:rsid w:val="004A1543"/>
    <w:rsid w:val="004A15D4"/>
    <w:rsid w:val="004B3ECE"/>
    <w:rsid w:val="004B7D48"/>
    <w:rsid w:val="004C1B89"/>
    <w:rsid w:val="004E3244"/>
    <w:rsid w:val="004E5183"/>
    <w:rsid w:val="005010E8"/>
    <w:rsid w:val="0051755B"/>
    <w:rsid w:val="005255A6"/>
    <w:rsid w:val="00531A78"/>
    <w:rsid w:val="005322A3"/>
    <w:rsid w:val="00541867"/>
    <w:rsid w:val="00554199"/>
    <w:rsid w:val="00565A25"/>
    <w:rsid w:val="00572C44"/>
    <w:rsid w:val="00581A34"/>
    <w:rsid w:val="00581D8D"/>
    <w:rsid w:val="005878DE"/>
    <w:rsid w:val="00593FB0"/>
    <w:rsid w:val="005A56F0"/>
    <w:rsid w:val="005B2ACE"/>
    <w:rsid w:val="005B3ED7"/>
    <w:rsid w:val="005B5D42"/>
    <w:rsid w:val="005C2F10"/>
    <w:rsid w:val="005D297D"/>
    <w:rsid w:val="00604C54"/>
    <w:rsid w:val="00610EB3"/>
    <w:rsid w:val="00617B6F"/>
    <w:rsid w:val="006251F7"/>
    <w:rsid w:val="006600DD"/>
    <w:rsid w:val="006759A5"/>
    <w:rsid w:val="00687168"/>
    <w:rsid w:val="006915A0"/>
    <w:rsid w:val="00694B12"/>
    <w:rsid w:val="006970CA"/>
    <w:rsid w:val="006B4D0A"/>
    <w:rsid w:val="006B5840"/>
    <w:rsid w:val="006C5CFA"/>
    <w:rsid w:val="006D6AE7"/>
    <w:rsid w:val="007057C3"/>
    <w:rsid w:val="0070744E"/>
    <w:rsid w:val="00715BD9"/>
    <w:rsid w:val="00724443"/>
    <w:rsid w:val="00735F00"/>
    <w:rsid w:val="007424FF"/>
    <w:rsid w:val="00763DCB"/>
    <w:rsid w:val="0076640E"/>
    <w:rsid w:val="00791281"/>
    <w:rsid w:val="007A7605"/>
    <w:rsid w:val="007B551E"/>
    <w:rsid w:val="007E3BB4"/>
    <w:rsid w:val="007F57B6"/>
    <w:rsid w:val="00873DF1"/>
    <w:rsid w:val="0087543C"/>
    <w:rsid w:val="00886C9D"/>
    <w:rsid w:val="00886FFC"/>
    <w:rsid w:val="008A28C9"/>
    <w:rsid w:val="008B6564"/>
    <w:rsid w:val="008D1054"/>
    <w:rsid w:val="008D259D"/>
    <w:rsid w:val="008E2EF3"/>
    <w:rsid w:val="008F3E97"/>
    <w:rsid w:val="0090340A"/>
    <w:rsid w:val="00905485"/>
    <w:rsid w:val="00907D7B"/>
    <w:rsid w:val="00917B2B"/>
    <w:rsid w:val="0094791E"/>
    <w:rsid w:val="0095317A"/>
    <w:rsid w:val="009579F7"/>
    <w:rsid w:val="00961F47"/>
    <w:rsid w:val="00961F83"/>
    <w:rsid w:val="00970F3B"/>
    <w:rsid w:val="00993EA0"/>
    <w:rsid w:val="009B3077"/>
    <w:rsid w:val="009D3CBE"/>
    <w:rsid w:val="009F5687"/>
    <w:rsid w:val="00A07793"/>
    <w:rsid w:val="00A16DE1"/>
    <w:rsid w:val="00A2784E"/>
    <w:rsid w:val="00A406F0"/>
    <w:rsid w:val="00A47BF9"/>
    <w:rsid w:val="00A756A6"/>
    <w:rsid w:val="00A77ED2"/>
    <w:rsid w:val="00A90EA6"/>
    <w:rsid w:val="00AA14C9"/>
    <w:rsid w:val="00AA3A8D"/>
    <w:rsid w:val="00AC3F70"/>
    <w:rsid w:val="00AE5EF7"/>
    <w:rsid w:val="00B050DC"/>
    <w:rsid w:val="00B079C0"/>
    <w:rsid w:val="00B232C3"/>
    <w:rsid w:val="00B35636"/>
    <w:rsid w:val="00B374DF"/>
    <w:rsid w:val="00B45005"/>
    <w:rsid w:val="00B47546"/>
    <w:rsid w:val="00B55F5E"/>
    <w:rsid w:val="00B56CEA"/>
    <w:rsid w:val="00B61E57"/>
    <w:rsid w:val="00B62135"/>
    <w:rsid w:val="00B72969"/>
    <w:rsid w:val="00B75935"/>
    <w:rsid w:val="00B76C5C"/>
    <w:rsid w:val="00B8050A"/>
    <w:rsid w:val="00B84C60"/>
    <w:rsid w:val="00BA0979"/>
    <w:rsid w:val="00BA1516"/>
    <w:rsid w:val="00BA54CE"/>
    <w:rsid w:val="00BA58A1"/>
    <w:rsid w:val="00BA5A73"/>
    <w:rsid w:val="00BA79F4"/>
    <w:rsid w:val="00BB0266"/>
    <w:rsid w:val="00BB0905"/>
    <w:rsid w:val="00BB4A0B"/>
    <w:rsid w:val="00BB4DEE"/>
    <w:rsid w:val="00BC7D9D"/>
    <w:rsid w:val="00BD3358"/>
    <w:rsid w:val="00BE5731"/>
    <w:rsid w:val="00C1146B"/>
    <w:rsid w:val="00C1321D"/>
    <w:rsid w:val="00C21A87"/>
    <w:rsid w:val="00C344A5"/>
    <w:rsid w:val="00C37A28"/>
    <w:rsid w:val="00C4128A"/>
    <w:rsid w:val="00C42ECC"/>
    <w:rsid w:val="00C53C84"/>
    <w:rsid w:val="00C672E5"/>
    <w:rsid w:val="00C73A3F"/>
    <w:rsid w:val="00C74E7A"/>
    <w:rsid w:val="00C9762E"/>
    <w:rsid w:val="00CA5C25"/>
    <w:rsid w:val="00CB0098"/>
    <w:rsid w:val="00CB0704"/>
    <w:rsid w:val="00CB34EA"/>
    <w:rsid w:val="00CC6BA3"/>
    <w:rsid w:val="00CD70A3"/>
    <w:rsid w:val="00CE1888"/>
    <w:rsid w:val="00CF049C"/>
    <w:rsid w:val="00D019C1"/>
    <w:rsid w:val="00D21AC6"/>
    <w:rsid w:val="00D35B55"/>
    <w:rsid w:val="00D36DC6"/>
    <w:rsid w:val="00D43EA6"/>
    <w:rsid w:val="00D92229"/>
    <w:rsid w:val="00DA3224"/>
    <w:rsid w:val="00DC6BD4"/>
    <w:rsid w:val="00DC7E23"/>
    <w:rsid w:val="00DD1E29"/>
    <w:rsid w:val="00DE2C2E"/>
    <w:rsid w:val="00DE532E"/>
    <w:rsid w:val="00E03B2C"/>
    <w:rsid w:val="00E05761"/>
    <w:rsid w:val="00E16447"/>
    <w:rsid w:val="00E2205B"/>
    <w:rsid w:val="00E253A4"/>
    <w:rsid w:val="00E3351D"/>
    <w:rsid w:val="00E34F37"/>
    <w:rsid w:val="00E47E67"/>
    <w:rsid w:val="00E64C07"/>
    <w:rsid w:val="00E6641E"/>
    <w:rsid w:val="00E741B2"/>
    <w:rsid w:val="00E81D6F"/>
    <w:rsid w:val="00EA6EB5"/>
    <w:rsid w:val="00EB02BD"/>
    <w:rsid w:val="00EB0D05"/>
    <w:rsid w:val="00EC0CC3"/>
    <w:rsid w:val="00EC42DC"/>
    <w:rsid w:val="00EC6193"/>
    <w:rsid w:val="00F01AC2"/>
    <w:rsid w:val="00F051E7"/>
    <w:rsid w:val="00F07ABB"/>
    <w:rsid w:val="00F13579"/>
    <w:rsid w:val="00F14221"/>
    <w:rsid w:val="00F23695"/>
    <w:rsid w:val="00F27046"/>
    <w:rsid w:val="00F34084"/>
    <w:rsid w:val="00F402AC"/>
    <w:rsid w:val="00F503A1"/>
    <w:rsid w:val="00F51C8E"/>
    <w:rsid w:val="00F70938"/>
    <w:rsid w:val="00F95DE0"/>
    <w:rsid w:val="00FA37B0"/>
    <w:rsid w:val="00FB2603"/>
    <w:rsid w:val="00FC0B25"/>
    <w:rsid w:val="00FC3C87"/>
    <w:rsid w:val="00FD082D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EFD9"/>
  <w15:chartTrackingRefBased/>
  <w15:docId w15:val="{5F48C86D-EACE-45BE-B0BF-0F55F7E9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3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C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7B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5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4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67"/>
  </w:style>
  <w:style w:type="paragraph" w:styleId="Footer">
    <w:name w:val="footer"/>
    <w:basedOn w:val="Normal"/>
    <w:link w:val="FooterChar"/>
    <w:uiPriority w:val="99"/>
    <w:unhideWhenUsed/>
    <w:rsid w:val="0054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Shu, Xiang</dc:creator>
  <cp:keywords/>
  <dc:description/>
  <cp:lastModifiedBy>Shu, Xiang/Epidemiology-Biostatistics</cp:lastModifiedBy>
  <cp:revision>2</cp:revision>
  <dcterms:created xsi:type="dcterms:W3CDTF">2021-03-06T04:31:00Z</dcterms:created>
  <dcterms:modified xsi:type="dcterms:W3CDTF">2021-03-06T04:31:00Z</dcterms:modified>
</cp:coreProperties>
</file>