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75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1501"/>
        <w:gridCol w:w="1452"/>
        <w:gridCol w:w="1163"/>
        <w:gridCol w:w="1518"/>
      </w:tblGrid>
      <w:tr w:rsidR="00575A20" w:rsidRPr="000E4B3A" w14:paraId="44E00F39" w14:textId="77777777" w:rsidTr="00575A20">
        <w:trPr>
          <w:trHeight w:val="376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center"/>
          </w:tcPr>
          <w:p w14:paraId="29769287" w14:textId="77777777" w:rsidR="00575A20" w:rsidRPr="000E4B3A" w:rsidRDefault="00575A20" w:rsidP="00575A20">
            <w:pPr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</w:rPr>
              <w:t xml:space="preserve">Supplementary Table 4. Associations between </w:t>
            </w:r>
            <w:r>
              <w:rPr>
                <w:rFonts w:ascii="Arial" w:hAnsi="Arial" w:cs="Arial"/>
                <w:color w:val="000000" w:themeColor="text1"/>
              </w:rPr>
              <w:t>the three identified</w:t>
            </w:r>
            <w:r>
              <w:t xml:space="preserve"> </w:t>
            </w:r>
            <w:r w:rsidRPr="00A756A6">
              <w:rPr>
                <w:rFonts w:ascii="Arial" w:hAnsi="Arial" w:cs="Arial"/>
                <w:color w:val="000000" w:themeColor="text1"/>
              </w:rPr>
              <w:t xml:space="preserve">xenobiotic metabolites </w:t>
            </w:r>
            <w:r w:rsidRPr="000E4B3A">
              <w:rPr>
                <w:rFonts w:ascii="Arial" w:hAnsi="Arial" w:cs="Arial"/>
                <w:color w:val="000000" w:themeColor="text1"/>
              </w:rPr>
              <w:t>and monthly tea consumption</w:t>
            </w:r>
          </w:p>
        </w:tc>
      </w:tr>
      <w:tr w:rsidR="00575A20" w:rsidRPr="000E4B3A" w14:paraId="2646CC09" w14:textId="77777777" w:rsidTr="00575A20">
        <w:trPr>
          <w:trHeight w:val="337"/>
        </w:trPr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4D0CD" w14:textId="77777777" w:rsidR="00575A20" w:rsidRPr="000E4B3A" w:rsidRDefault="00575A20" w:rsidP="00575A2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B332C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</w:rPr>
              <w:t>Spearman rho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6EBA3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</w:rPr>
              <w:t>P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9F17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</w:rPr>
              <w:t xml:space="preserve">Beta 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5E4C8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</w:rPr>
              <w:t>P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 xml:space="preserve"> a</w:t>
            </w:r>
          </w:p>
        </w:tc>
      </w:tr>
      <w:tr w:rsidR="00575A20" w:rsidRPr="000E4B3A" w14:paraId="63978807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050E4705" w14:textId="77777777" w:rsidR="00575A20" w:rsidRPr="000E4B3A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1501" w:type="dxa"/>
            <w:vAlign w:val="center"/>
          </w:tcPr>
          <w:p w14:paraId="0FC744D0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6AA7A9AA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3D24D140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14:paraId="487C4CB5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</w:tr>
      <w:tr w:rsidR="00575A20" w:rsidRPr="000E4B3A" w14:paraId="61784835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474A714C" w14:textId="77777777" w:rsidR="00575A20" w:rsidRPr="000E4B3A" w:rsidRDefault="00575A20" w:rsidP="00575A2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3-hydroxypyridine sulfate</w:t>
            </w:r>
          </w:p>
        </w:tc>
        <w:tc>
          <w:tcPr>
            <w:tcW w:w="1501" w:type="dxa"/>
            <w:vAlign w:val="center"/>
          </w:tcPr>
          <w:p w14:paraId="0DE95B03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</w:rPr>
              <w:t>0.2360</w:t>
            </w:r>
          </w:p>
        </w:tc>
        <w:tc>
          <w:tcPr>
            <w:tcW w:w="1452" w:type="dxa"/>
            <w:vAlign w:val="center"/>
          </w:tcPr>
          <w:p w14:paraId="4C5532DE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</w:rPr>
              <w:t>9.30</w:t>
            </w:r>
            <w:r w:rsidRPr="000E4B3A">
              <w:rPr>
                <w:rFonts w:ascii="Arial" w:hAnsi="Arial" w:cs="Arial"/>
                <w:color w:val="000000" w:themeColor="text1"/>
              </w:rPr>
              <w:t>x10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-8</w:t>
            </w:r>
          </w:p>
        </w:tc>
        <w:tc>
          <w:tcPr>
            <w:tcW w:w="1163" w:type="dxa"/>
            <w:vAlign w:val="center"/>
          </w:tcPr>
          <w:p w14:paraId="7B8D5200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/>
              </w:rPr>
            </w:pPr>
            <w:r w:rsidRPr="000E4B3A">
              <w:rPr>
                <w:rFonts w:ascii="Arial" w:hAnsi="Arial" w:cs="Arial"/>
              </w:rPr>
              <w:t>0.0441</w:t>
            </w:r>
          </w:p>
        </w:tc>
        <w:tc>
          <w:tcPr>
            <w:tcW w:w="1518" w:type="dxa"/>
            <w:vAlign w:val="center"/>
          </w:tcPr>
          <w:p w14:paraId="778FC4A8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/>
              </w:rPr>
            </w:pPr>
            <w:r w:rsidRPr="000E4B3A">
              <w:rPr>
                <w:rFonts w:ascii="Arial" w:hAnsi="Arial" w:cs="Arial"/>
              </w:rPr>
              <w:t>0.00334</w:t>
            </w:r>
          </w:p>
        </w:tc>
      </w:tr>
      <w:tr w:rsidR="00575A20" w:rsidRPr="000E4B3A" w14:paraId="0714D66D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5E76F7BD" w14:textId="77777777" w:rsidR="00575A20" w:rsidRPr="000E4B3A" w:rsidRDefault="00575A20" w:rsidP="00575A2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quinate</w:t>
            </w:r>
          </w:p>
        </w:tc>
        <w:tc>
          <w:tcPr>
            <w:tcW w:w="1501" w:type="dxa"/>
            <w:vAlign w:val="center"/>
          </w:tcPr>
          <w:p w14:paraId="150AE960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</w:rPr>
              <w:t>0.3142</w:t>
            </w:r>
          </w:p>
        </w:tc>
        <w:tc>
          <w:tcPr>
            <w:tcW w:w="1452" w:type="dxa"/>
            <w:vAlign w:val="center"/>
          </w:tcPr>
          <w:p w14:paraId="5EA7C7F0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</w:rPr>
              <w:t>6.38</w:t>
            </w:r>
            <w:r w:rsidRPr="000E4B3A">
              <w:rPr>
                <w:rFonts w:ascii="Arial" w:hAnsi="Arial" w:cs="Arial"/>
                <w:color w:val="000000" w:themeColor="text1"/>
              </w:rPr>
              <w:t>x10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-13</w:t>
            </w:r>
          </w:p>
        </w:tc>
        <w:tc>
          <w:tcPr>
            <w:tcW w:w="1163" w:type="dxa"/>
            <w:vAlign w:val="center"/>
          </w:tcPr>
          <w:p w14:paraId="65AE27A3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/>
              </w:rPr>
            </w:pPr>
            <w:r w:rsidRPr="000E4B3A">
              <w:rPr>
                <w:rFonts w:ascii="Arial" w:hAnsi="Arial" w:cs="Arial"/>
              </w:rPr>
              <w:t>0.0632</w:t>
            </w:r>
          </w:p>
        </w:tc>
        <w:tc>
          <w:tcPr>
            <w:tcW w:w="1518" w:type="dxa"/>
            <w:vAlign w:val="center"/>
          </w:tcPr>
          <w:p w14:paraId="6533962B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/>
              </w:rPr>
            </w:pPr>
            <w:r w:rsidRPr="000E4B3A">
              <w:rPr>
                <w:rFonts w:ascii="Arial" w:hAnsi="Arial" w:cs="Arial"/>
              </w:rPr>
              <w:t>1.62</w:t>
            </w:r>
            <w:r w:rsidRPr="000E4B3A">
              <w:rPr>
                <w:rFonts w:ascii="Arial" w:hAnsi="Arial" w:cs="Arial"/>
                <w:color w:val="000000" w:themeColor="text1"/>
              </w:rPr>
              <w:t>x10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-5</w:t>
            </w:r>
          </w:p>
        </w:tc>
      </w:tr>
      <w:tr w:rsidR="00575A20" w:rsidRPr="000E4B3A" w14:paraId="1FDE6F7E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4572CF2A" w14:textId="77777777" w:rsidR="00575A20" w:rsidRPr="000E4B3A" w:rsidRDefault="00575A20" w:rsidP="00575A2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N-(2-furoyl) glycine</w:t>
            </w:r>
          </w:p>
        </w:tc>
        <w:tc>
          <w:tcPr>
            <w:tcW w:w="1501" w:type="dxa"/>
            <w:vAlign w:val="center"/>
          </w:tcPr>
          <w:p w14:paraId="6082679B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</w:rPr>
              <w:t>0.1042</w:t>
            </w:r>
          </w:p>
        </w:tc>
        <w:tc>
          <w:tcPr>
            <w:tcW w:w="1452" w:type="dxa"/>
            <w:vAlign w:val="center"/>
          </w:tcPr>
          <w:p w14:paraId="05CD8DFD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</w:rPr>
              <w:t>0.01982</w:t>
            </w:r>
          </w:p>
        </w:tc>
        <w:tc>
          <w:tcPr>
            <w:tcW w:w="1163" w:type="dxa"/>
            <w:vAlign w:val="center"/>
          </w:tcPr>
          <w:p w14:paraId="39CCCCDF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/>
              </w:rPr>
            </w:pPr>
            <w:r w:rsidRPr="000E4B3A">
              <w:rPr>
                <w:rFonts w:ascii="Arial" w:hAnsi="Arial" w:cs="Arial"/>
              </w:rPr>
              <w:t>0.0321</w:t>
            </w:r>
          </w:p>
        </w:tc>
        <w:tc>
          <w:tcPr>
            <w:tcW w:w="1518" w:type="dxa"/>
            <w:vAlign w:val="center"/>
          </w:tcPr>
          <w:p w14:paraId="00DC5611" w14:textId="77777777" w:rsidR="00575A20" w:rsidRPr="000E4B3A" w:rsidRDefault="00575A20" w:rsidP="00575A20">
            <w:pPr>
              <w:jc w:val="center"/>
              <w:rPr>
                <w:rFonts w:ascii="Arial" w:hAnsi="Arial" w:cs="Arial"/>
                <w:color w:val="000000"/>
              </w:rPr>
            </w:pPr>
            <w:r w:rsidRPr="000E4B3A">
              <w:rPr>
                <w:rFonts w:ascii="Arial" w:hAnsi="Arial" w:cs="Arial"/>
              </w:rPr>
              <w:t>0.03351</w:t>
            </w:r>
          </w:p>
        </w:tc>
      </w:tr>
      <w:tr w:rsidR="00575A20" w:rsidRPr="000E4B3A" w14:paraId="3CAA7873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3367F9C9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501" w:type="dxa"/>
            <w:vAlign w:val="center"/>
          </w:tcPr>
          <w:p w14:paraId="36E65E29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3EB72DB0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1460928E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14:paraId="57E30E5A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</w:tr>
      <w:tr w:rsidR="00575A20" w:rsidRPr="000E4B3A" w14:paraId="7FFDB412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72DBA0E0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3-hydroxypyridine sulfate</w:t>
            </w:r>
          </w:p>
        </w:tc>
        <w:tc>
          <w:tcPr>
            <w:tcW w:w="1501" w:type="dxa"/>
            <w:vAlign w:val="center"/>
          </w:tcPr>
          <w:p w14:paraId="6EB7AE0E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366112">
              <w:rPr>
                <w:rFonts w:ascii="Arial" w:hAnsi="Arial" w:cs="Arial"/>
              </w:rPr>
              <w:t>0.17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452" w:type="dxa"/>
            <w:vAlign w:val="center"/>
          </w:tcPr>
          <w:p w14:paraId="179D3285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E6641E">
              <w:rPr>
                <w:rFonts w:ascii="Arial" w:hAnsi="Arial" w:cs="Arial"/>
              </w:rPr>
              <w:t>0.00554</w:t>
            </w:r>
          </w:p>
        </w:tc>
        <w:tc>
          <w:tcPr>
            <w:tcW w:w="1163" w:type="dxa"/>
            <w:vAlign w:val="center"/>
          </w:tcPr>
          <w:p w14:paraId="04A7CD4B" w14:textId="77777777" w:rsidR="00575A20" w:rsidRPr="006759A5" w:rsidRDefault="00575A20" w:rsidP="00575A20">
            <w:pPr>
              <w:jc w:val="center"/>
              <w:rPr>
                <w:rFonts w:ascii="Arial" w:hAnsi="Arial" w:cs="Arial"/>
              </w:rPr>
            </w:pPr>
            <w:r w:rsidRPr="006759A5">
              <w:rPr>
                <w:rFonts w:ascii="Arial" w:hAnsi="Arial" w:cs="Arial"/>
              </w:rPr>
              <w:t>0.0213</w:t>
            </w:r>
          </w:p>
        </w:tc>
        <w:tc>
          <w:tcPr>
            <w:tcW w:w="1518" w:type="dxa"/>
            <w:vAlign w:val="center"/>
          </w:tcPr>
          <w:p w14:paraId="347B79D5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0.11523</w:t>
            </w:r>
          </w:p>
        </w:tc>
      </w:tr>
      <w:tr w:rsidR="00575A20" w:rsidRPr="000E4B3A" w14:paraId="455A2B0D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42F2129F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quinate</w:t>
            </w:r>
          </w:p>
        </w:tc>
        <w:tc>
          <w:tcPr>
            <w:tcW w:w="1501" w:type="dxa"/>
            <w:vAlign w:val="center"/>
          </w:tcPr>
          <w:p w14:paraId="5BC12FCF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404E9B">
              <w:rPr>
                <w:rFonts w:ascii="Arial" w:hAnsi="Arial" w:cs="Arial"/>
              </w:rPr>
              <w:t>0.2990</w:t>
            </w:r>
          </w:p>
        </w:tc>
        <w:tc>
          <w:tcPr>
            <w:tcW w:w="1452" w:type="dxa"/>
            <w:vAlign w:val="center"/>
          </w:tcPr>
          <w:p w14:paraId="1D53EE12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E4B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47</w:t>
            </w:r>
            <w:r w:rsidRPr="000E4B3A">
              <w:rPr>
                <w:rFonts w:ascii="Arial" w:hAnsi="Arial" w:cs="Arial"/>
                <w:color w:val="000000" w:themeColor="text1"/>
              </w:rPr>
              <w:t>x10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6</w:t>
            </w:r>
          </w:p>
        </w:tc>
        <w:tc>
          <w:tcPr>
            <w:tcW w:w="1163" w:type="dxa"/>
            <w:vAlign w:val="center"/>
          </w:tcPr>
          <w:p w14:paraId="37E0E229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6B5840">
              <w:rPr>
                <w:rFonts w:ascii="Arial" w:hAnsi="Arial" w:cs="Arial"/>
              </w:rPr>
              <w:t>0.0544</w:t>
            </w:r>
          </w:p>
        </w:tc>
        <w:tc>
          <w:tcPr>
            <w:tcW w:w="1518" w:type="dxa"/>
            <w:vAlign w:val="center"/>
          </w:tcPr>
          <w:p w14:paraId="49510C85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E4B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0E4B3A">
              <w:rPr>
                <w:rFonts w:ascii="Arial" w:hAnsi="Arial" w:cs="Arial"/>
              </w:rPr>
              <w:t>2</w:t>
            </w:r>
            <w:r w:rsidRPr="000E4B3A">
              <w:rPr>
                <w:rFonts w:ascii="Arial" w:hAnsi="Arial" w:cs="Arial"/>
                <w:color w:val="000000" w:themeColor="text1"/>
              </w:rPr>
              <w:t>x10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-5</w:t>
            </w:r>
          </w:p>
        </w:tc>
      </w:tr>
      <w:tr w:rsidR="00575A20" w:rsidRPr="000E4B3A" w14:paraId="1340FE3C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2F32584E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N-(2-furoyl) glycine</w:t>
            </w:r>
          </w:p>
        </w:tc>
        <w:tc>
          <w:tcPr>
            <w:tcW w:w="1501" w:type="dxa"/>
            <w:vAlign w:val="center"/>
          </w:tcPr>
          <w:p w14:paraId="39728639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EB02BD">
              <w:rPr>
                <w:rFonts w:ascii="Arial" w:hAnsi="Arial" w:cs="Arial"/>
              </w:rPr>
              <w:t>0.0768</w:t>
            </w:r>
          </w:p>
        </w:tc>
        <w:tc>
          <w:tcPr>
            <w:tcW w:w="1452" w:type="dxa"/>
            <w:vAlign w:val="center"/>
          </w:tcPr>
          <w:p w14:paraId="79940308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0.2261</w:t>
            </w:r>
          </w:p>
        </w:tc>
        <w:tc>
          <w:tcPr>
            <w:tcW w:w="1163" w:type="dxa"/>
            <w:vAlign w:val="center"/>
          </w:tcPr>
          <w:p w14:paraId="3E45514D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970F3B">
              <w:rPr>
                <w:rFonts w:ascii="Arial" w:hAnsi="Arial" w:cs="Arial"/>
              </w:rPr>
              <w:t>0.017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8" w:type="dxa"/>
            <w:vAlign w:val="center"/>
          </w:tcPr>
          <w:p w14:paraId="044CD982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0.21598</w:t>
            </w:r>
          </w:p>
        </w:tc>
      </w:tr>
      <w:tr w:rsidR="00575A20" w:rsidRPr="000E4B3A" w14:paraId="23C7D98D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3F660B81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501" w:type="dxa"/>
            <w:vAlign w:val="center"/>
          </w:tcPr>
          <w:p w14:paraId="48D4272F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vAlign w:val="center"/>
          </w:tcPr>
          <w:p w14:paraId="0DF00F51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14:paraId="4D8856B7" w14:textId="77777777" w:rsidR="00575A20" w:rsidRPr="00970F3B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14:paraId="02737E7B" w14:textId="77777777" w:rsidR="00575A20" w:rsidRDefault="00575A20" w:rsidP="00575A20">
            <w:pPr>
              <w:jc w:val="center"/>
              <w:rPr>
                <w:rFonts w:ascii="Arial" w:hAnsi="Arial" w:cs="Arial"/>
              </w:rPr>
            </w:pPr>
          </w:p>
        </w:tc>
      </w:tr>
      <w:tr w:rsidR="00575A20" w:rsidRPr="000E4B3A" w14:paraId="125DCC49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44F1B7CA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3-hydroxypyridine sulfate</w:t>
            </w:r>
          </w:p>
        </w:tc>
        <w:tc>
          <w:tcPr>
            <w:tcW w:w="1501" w:type="dxa"/>
            <w:vAlign w:val="center"/>
          </w:tcPr>
          <w:p w14:paraId="08248865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1818E6">
              <w:rPr>
                <w:rFonts w:ascii="Arial" w:hAnsi="Arial" w:cs="Arial"/>
              </w:rPr>
              <w:t>0.158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52" w:type="dxa"/>
            <w:vAlign w:val="center"/>
          </w:tcPr>
          <w:p w14:paraId="7C912D28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1818E6">
              <w:rPr>
                <w:rFonts w:ascii="Arial" w:hAnsi="Arial" w:cs="Arial"/>
              </w:rPr>
              <w:t>0.01194</w:t>
            </w:r>
          </w:p>
        </w:tc>
        <w:tc>
          <w:tcPr>
            <w:tcW w:w="1163" w:type="dxa"/>
            <w:vAlign w:val="center"/>
          </w:tcPr>
          <w:p w14:paraId="687E46A6" w14:textId="77777777" w:rsidR="00575A20" w:rsidRPr="00970F3B" w:rsidRDefault="00575A20" w:rsidP="00575A20">
            <w:pPr>
              <w:jc w:val="center"/>
              <w:rPr>
                <w:rFonts w:ascii="Arial" w:hAnsi="Arial" w:cs="Arial"/>
              </w:rPr>
            </w:pPr>
            <w:r w:rsidRPr="00BB4A0B">
              <w:rPr>
                <w:rFonts w:ascii="Arial" w:hAnsi="Arial" w:cs="Arial"/>
              </w:rPr>
              <w:t>0.134</w:t>
            </w:r>
          </w:p>
        </w:tc>
        <w:tc>
          <w:tcPr>
            <w:tcW w:w="1518" w:type="dxa"/>
            <w:vAlign w:val="center"/>
          </w:tcPr>
          <w:p w14:paraId="4F693688" w14:textId="77777777" w:rsidR="00575A20" w:rsidRDefault="00575A20" w:rsidP="00575A20">
            <w:pPr>
              <w:jc w:val="center"/>
              <w:rPr>
                <w:rFonts w:ascii="Arial" w:hAnsi="Arial" w:cs="Arial"/>
              </w:rPr>
            </w:pPr>
            <w:r w:rsidRPr="00BB4A0B">
              <w:rPr>
                <w:rFonts w:ascii="Arial" w:hAnsi="Arial" w:cs="Arial"/>
              </w:rPr>
              <w:t>0.0085</w:t>
            </w:r>
            <w:r>
              <w:rPr>
                <w:rFonts w:ascii="Arial" w:hAnsi="Arial" w:cs="Arial"/>
              </w:rPr>
              <w:t>5</w:t>
            </w:r>
          </w:p>
        </w:tc>
      </w:tr>
      <w:tr w:rsidR="00575A20" w:rsidRPr="000E4B3A" w14:paraId="1C3594AE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3372CDEF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quinate</w:t>
            </w:r>
          </w:p>
        </w:tc>
        <w:tc>
          <w:tcPr>
            <w:tcW w:w="1501" w:type="dxa"/>
            <w:vAlign w:val="center"/>
          </w:tcPr>
          <w:p w14:paraId="56531341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1818E6">
              <w:rPr>
                <w:rFonts w:ascii="Arial" w:hAnsi="Arial" w:cs="Arial"/>
              </w:rPr>
              <w:t>0.163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52" w:type="dxa"/>
            <w:vAlign w:val="center"/>
          </w:tcPr>
          <w:p w14:paraId="4C167EC0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1818E6">
              <w:rPr>
                <w:rFonts w:ascii="Arial" w:hAnsi="Arial" w:cs="Arial"/>
              </w:rPr>
              <w:t>0.0096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  <w:vAlign w:val="center"/>
          </w:tcPr>
          <w:p w14:paraId="1609794C" w14:textId="77777777" w:rsidR="00575A20" w:rsidRPr="00970F3B" w:rsidRDefault="00575A20" w:rsidP="00575A20">
            <w:pPr>
              <w:jc w:val="center"/>
              <w:rPr>
                <w:rFonts w:ascii="Arial" w:hAnsi="Arial" w:cs="Arial"/>
              </w:rPr>
            </w:pPr>
            <w:r w:rsidRPr="00BB4A0B">
              <w:rPr>
                <w:rFonts w:ascii="Arial" w:hAnsi="Arial" w:cs="Arial"/>
              </w:rPr>
              <w:t>0.13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8" w:type="dxa"/>
            <w:vAlign w:val="center"/>
          </w:tcPr>
          <w:p w14:paraId="047F2185" w14:textId="77777777" w:rsidR="00575A20" w:rsidRDefault="00575A20" w:rsidP="00575A20">
            <w:pPr>
              <w:jc w:val="center"/>
              <w:rPr>
                <w:rFonts w:ascii="Arial" w:hAnsi="Arial" w:cs="Arial"/>
              </w:rPr>
            </w:pPr>
            <w:r w:rsidRPr="00BB4A0B">
              <w:rPr>
                <w:rFonts w:ascii="Arial" w:hAnsi="Arial" w:cs="Arial"/>
              </w:rPr>
              <w:t>0.0093</w:t>
            </w:r>
            <w:r>
              <w:rPr>
                <w:rFonts w:ascii="Arial" w:hAnsi="Arial" w:cs="Arial"/>
              </w:rPr>
              <w:t>8</w:t>
            </w:r>
          </w:p>
        </w:tc>
      </w:tr>
      <w:tr w:rsidR="00575A20" w:rsidRPr="000E4B3A" w14:paraId="599A2538" w14:textId="77777777" w:rsidTr="00575A20">
        <w:trPr>
          <w:trHeight w:val="376"/>
        </w:trPr>
        <w:tc>
          <w:tcPr>
            <w:tcW w:w="5346" w:type="dxa"/>
            <w:vAlign w:val="center"/>
          </w:tcPr>
          <w:p w14:paraId="4E9594E0" w14:textId="77777777" w:rsidR="00575A20" w:rsidRDefault="00575A20" w:rsidP="0057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4B3A">
              <w:rPr>
                <w:rFonts w:ascii="Arial" w:hAnsi="Arial" w:cs="Arial"/>
              </w:rPr>
              <w:t>N-(2-furoyl) glycine</w:t>
            </w:r>
          </w:p>
        </w:tc>
        <w:tc>
          <w:tcPr>
            <w:tcW w:w="1501" w:type="dxa"/>
            <w:vAlign w:val="center"/>
          </w:tcPr>
          <w:p w14:paraId="5B7D4205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BA79F4">
              <w:rPr>
                <w:rFonts w:ascii="Arial" w:hAnsi="Arial" w:cs="Arial"/>
              </w:rPr>
              <w:t>0.0837</w:t>
            </w:r>
          </w:p>
        </w:tc>
        <w:tc>
          <w:tcPr>
            <w:tcW w:w="1452" w:type="dxa"/>
            <w:vAlign w:val="center"/>
          </w:tcPr>
          <w:p w14:paraId="6F5AA230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BA79F4">
              <w:rPr>
                <w:rFonts w:ascii="Arial" w:hAnsi="Arial" w:cs="Arial"/>
              </w:rPr>
              <w:t>0.18713</w:t>
            </w:r>
          </w:p>
        </w:tc>
        <w:tc>
          <w:tcPr>
            <w:tcW w:w="1163" w:type="dxa"/>
            <w:vAlign w:val="center"/>
          </w:tcPr>
          <w:p w14:paraId="030D0C9E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AA14C9">
              <w:rPr>
                <w:rFonts w:ascii="Arial" w:hAnsi="Arial" w:cs="Arial"/>
              </w:rPr>
              <w:t>0.087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18" w:type="dxa"/>
            <w:vAlign w:val="center"/>
          </w:tcPr>
          <w:p w14:paraId="26A9C292" w14:textId="77777777" w:rsidR="00575A20" w:rsidRPr="000E4B3A" w:rsidRDefault="00575A20" w:rsidP="00575A20">
            <w:pPr>
              <w:jc w:val="center"/>
              <w:rPr>
                <w:rFonts w:ascii="Arial" w:hAnsi="Arial" w:cs="Arial"/>
              </w:rPr>
            </w:pPr>
            <w:r w:rsidRPr="00AA14C9">
              <w:rPr>
                <w:rFonts w:ascii="Arial" w:hAnsi="Arial" w:cs="Arial"/>
              </w:rPr>
              <w:t>0.0864</w:t>
            </w:r>
            <w:r>
              <w:rPr>
                <w:rFonts w:ascii="Arial" w:hAnsi="Arial" w:cs="Arial"/>
              </w:rPr>
              <w:t>8</w:t>
            </w:r>
          </w:p>
        </w:tc>
      </w:tr>
      <w:tr w:rsidR="00575A20" w:rsidRPr="000E4B3A" w14:paraId="5DC733AE" w14:textId="77777777" w:rsidTr="00575A20">
        <w:trPr>
          <w:trHeight w:val="385"/>
        </w:trPr>
        <w:tc>
          <w:tcPr>
            <w:tcW w:w="10980" w:type="dxa"/>
            <w:gridSpan w:val="5"/>
            <w:tcBorders>
              <w:top w:val="single" w:sz="4" w:space="0" w:color="auto"/>
            </w:tcBorders>
            <w:vAlign w:val="center"/>
          </w:tcPr>
          <w:p w14:paraId="0992BF72" w14:textId="77777777" w:rsidR="00575A20" w:rsidRPr="000E4B3A" w:rsidRDefault="00575A20" w:rsidP="00575A20">
            <w:pPr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a </w:t>
            </w:r>
            <w:r w:rsidRPr="000E4B3A">
              <w:rPr>
                <w:rFonts w:ascii="Arial" w:hAnsi="Arial" w:cs="Arial"/>
                <w:color w:val="000000" w:themeColor="text1"/>
                <w:sz w:val="20"/>
                <w:szCs w:val="20"/>
              </w:rPr>
              <w:t>Linear regression with adjustment of age at interview and sex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where was appropriate</w:t>
            </w:r>
            <w:r w:rsidRPr="000E4B3A">
              <w:rPr>
                <w:rFonts w:ascii="Arial" w:hAnsi="Arial" w:cs="Arial"/>
                <w:color w:val="000000" w:themeColor="text1"/>
                <w:sz w:val="20"/>
                <w:szCs w:val="20"/>
              </w:rPr>
              <w:t>. The tea intake, g/month was converted to 50g unit.</w:t>
            </w:r>
          </w:p>
        </w:tc>
      </w:tr>
    </w:tbl>
    <w:p w14:paraId="1B04FA76" w14:textId="5B9EB314" w:rsidR="008D259D" w:rsidRPr="000E4B3A" w:rsidRDefault="008D259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248F0A9" w14:textId="734580E6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C6EDAFC" w14:textId="53D3D0E2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001580E" w14:textId="4E9BBE6B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7E4E497" w14:textId="332254C4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71AA9DC" w14:textId="64F341C6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32F3580" w14:textId="252450E9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D40B336" w14:textId="36282424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CFF46EE" w14:textId="2850E7BD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2D6F7E1" w14:textId="4BF051BF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D7CF283" w14:textId="1D707B89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F3FF87A" w14:textId="542C6BFC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7379291" w14:textId="39FE8D5B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581BD3D" w14:textId="0D45BD8E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785B5BF" w14:textId="6F9A2CF6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8BBCBA3" w14:textId="277FDFD8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FBB1AB6" w14:textId="77FCAFA0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3EA828A" w14:textId="469EB3E3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167D771" w14:textId="17C0EAF0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01A757" w14:textId="5D7DB09C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9ED421D" w14:textId="5E0E2C86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0CEF049" w14:textId="7DE51807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8D7B9E1" w14:textId="6702D7F5" w:rsidR="00F01AC2" w:rsidRPr="000E4B3A" w:rsidRDefault="00F01AC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B9164EE" w14:textId="02545B86" w:rsidR="00E3351D" w:rsidRPr="00E3351D" w:rsidRDefault="00E3351D" w:rsidP="002A40AF">
      <w:pPr>
        <w:rPr>
          <w:rFonts w:ascii="Arial" w:hAnsi="Arial" w:cs="Arial"/>
        </w:rPr>
      </w:pPr>
    </w:p>
    <w:sectPr w:rsidR="00E3351D" w:rsidRPr="00E3351D" w:rsidSect="00575A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995"/>
    <w:multiLevelType w:val="hybridMultilevel"/>
    <w:tmpl w:val="67CEA81A"/>
    <w:lvl w:ilvl="0" w:tplc="2E6C4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8"/>
    <w:rsid w:val="0000309B"/>
    <w:rsid w:val="00011256"/>
    <w:rsid w:val="000117C9"/>
    <w:rsid w:val="00016101"/>
    <w:rsid w:val="00030D81"/>
    <w:rsid w:val="00036767"/>
    <w:rsid w:val="00070DF0"/>
    <w:rsid w:val="00071380"/>
    <w:rsid w:val="00073BEA"/>
    <w:rsid w:val="00086424"/>
    <w:rsid w:val="000A3E94"/>
    <w:rsid w:val="000C5E16"/>
    <w:rsid w:val="000C637D"/>
    <w:rsid w:val="000D2731"/>
    <w:rsid w:val="000D462A"/>
    <w:rsid w:val="000D5E03"/>
    <w:rsid w:val="000D7518"/>
    <w:rsid w:val="000E4B3A"/>
    <w:rsid w:val="000F11CF"/>
    <w:rsid w:val="000F1DD9"/>
    <w:rsid w:val="000F215E"/>
    <w:rsid w:val="000F513F"/>
    <w:rsid w:val="000F5BE1"/>
    <w:rsid w:val="000F76CD"/>
    <w:rsid w:val="0010048F"/>
    <w:rsid w:val="001058AE"/>
    <w:rsid w:val="001062BC"/>
    <w:rsid w:val="00125D43"/>
    <w:rsid w:val="00150682"/>
    <w:rsid w:val="00150EDC"/>
    <w:rsid w:val="00172BA4"/>
    <w:rsid w:val="001818E6"/>
    <w:rsid w:val="00187519"/>
    <w:rsid w:val="00187AFB"/>
    <w:rsid w:val="001973C5"/>
    <w:rsid w:val="001B0373"/>
    <w:rsid w:val="001B0CBB"/>
    <w:rsid w:val="001C797D"/>
    <w:rsid w:val="001E1E84"/>
    <w:rsid w:val="001E5FBB"/>
    <w:rsid w:val="001E6974"/>
    <w:rsid w:val="001F41DE"/>
    <w:rsid w:val="00201076"/>
    <w:rsid w:val="00210367"/>
    <w:rsid w:val="00213BDD"/>
    <w:rsid w:val="00215186"/>
    <w:rsid w:val="00243711"/>
    <w:rsid w:val="00251EDB"/>
    <w:rsid w:val="00260B39"/>
    <w:rsid w:val="002703F6"/>
    <w:rsid w:val="00270940"/>
    <w:rsid w:val="002735DD"/>
    <w:rsid w:val="00293B50"/>
    <w:rsid w:val="002A40AF"/>
    <w:rsid w:val="002C6201"/>
    <w:rsid w:val="002E0DEA"/>
    <w:rsid w:val="002E373B"/>
    <w:rsid w:val="003001AD"/>
    <w:rsid w:val="00311C31"/>
    <w:rsid w:val="00313D79"/>
    <w:rsid w:val="003318A8"/>
    <w:rsid w:val="00332464"/>
    <w:rsid w:val="00332734"/>
    <w:rsid w:val="00340474"/>
    <w:rsid w:val="003449FC"/>
    <w:rsid w:val="00362910"/>
    <w:rsid w:val="00366112"/>
    <w:rsid w:val="0037433F"/>
    <w:rsid w:val="003810BF"/>
    <w:rsid w:val="003A4B05"/>
    <w:rsid w:val="003A5EC5"/>
    <w:rsid w:val="003C1B4B"/>
    <w:rsid w:val="003C382E"/>
    <w:rsid w:val="003C39CB"/>
    <w:rsid w:val="003F2E3B"/>
    <w:rsid w:val="003F3555"/>
    <w:rsid w:val="00404E9B"/>
    <w:rsid w:val="00417802"/>
    <w:rsid w:val="00444F76"/>
    <w:rsid w:val="00452E86"/>
    <w:rsid w:val="0046312E"/>
    <w:rsid w:val="00463906"/>
    <w:rsid w:val="004653F3"/>
    <w:rsid w:val="0048446B"/>
    <w:rsid w:val="004A1543"/>
    <w:rsid w:val="004A15D4"/>
    <w:rsid w:val="004B3ECE"/>
    <w:rsid w:val="004B7D48"/>
    <w:rsid w:val="004C1B89"/>
    <w:rsid w:val="004E3244"/>
    <w:rsid w:val="004E5183"/>
    <w:rsid w:val="005010E8"/>
    <w:rsid w:val="0051755B"/>
    <w:rsid w:val="005255A6"/>
    <w:rsid w:val="00531A78"/>
    <w:rsid w:val="005322A3"/>
    <w:rsid w:val="00554199"/>
    <w:rsid w:val="00565A25"/>
    <w:rsid w:val="00572C44"/>
    <w:rsid w:val="00575A20"/>
    <w:rsid w:val="00581A34"/>
    <w:rsid w:val="00581D8D"/>
    <w:rsid w:val="005878DE"/>
    <w:rsid w:val="00593FB0"/>
    <w:rsid w:val="005A56F0"/>
    <w:rsid w:val="005B2ACE"/>
    <w:rsid w:val="005B3ED7"/>
    <w:rsid w:val="005B5D42"/>
    <w:rsid w:val="005C2F10"/>
    <w:rsid w:val="005D297D"/>
    <w:rsid w:val="00604C54"/>
    <w:rsid w:val="00610EB3"/>
    <w:rsid w:val="00617B6F"/>
    <w:rsid w:val="006251F7"/>
    <w:rsid w:val="006600DD"/>
    <w:rsid w:val="006759A5"/>
    <w:rsid w:val="00687168"/>
    <w:rsid w:val="006915A0"/>
    <w:rsid w:val="00694B12"/>
    <w:rsid w:val="006970CA"/>
    <w:rsid w:val="006B4D0A"/>
    <w:rsid w:val="006B5840"/>
    <w:rsid w:val="006C5CFA"/>
    <w:rsid w:val="006D6AE7"/>
    <w:rsid w:val="007057C3"/>
    <w:rsid w:val="0070744E"/>
    <w:rsid w:val="00715BD9"/>
    <w:rsid w:val="00724443"/>
    <w:rsid w:val="00735F00"/>
    <w:rsid w:val="007424FF"/>
    <w:rsid w:val="00763DCB"/>
    <w:rsid w:val="0076640E"/>
    <w:rsid w:val="00791281"/>
    <w:rsid w:val="007A7605"/>
    <w:rsid w:val="007B551E"/>
    <w:rsid w:val="007E3BB4"/>
    <w:rsid w:val="007F57B6"/>
    <w:rsid w:val="00873DF1"/>
    <w:rsid w:val="0087543C"/>
    <w:rsid w:val="00886C9D"/>
    <w:rsid w:val="00886FFC"/>
    <w:rsid w:val="008A28C9"/>
    <w:rsid w:val="008B6564"/>
    <w:rsid w:val="008D1054"/>
    <w:rsid w:val="008D259D"/>
    <w:rsid w:val="008E2EF3"/>
    <w:rsid w:val="008F3E97"/>
    <w:rsid w:val="0090340A"/>
    <w:rsid w:val="00905485"/>
    <w:rsid w:val="00907D7B"/>
    <w:rsid w:val="00917B2B"/>
    <w:rsid w:val="0094791E"/>
    <w:rsid w:val="0095317A"/>
    <w:rsid w:val="009579F7"/>
    <w:rsid w:val="00961F47"/>
    <w:rsid w:val="00961F83"/>
    <w:rsid w:val="00970F3B"/>
    <w:rsid w:val="00993EA0"/>
    <w:rsid w:val="009B3077"/>
    <w:rsid w:val="009D3CBE"/>
    <w:rsid w:val="009F5687"/>
    <w:rsid w:val="00A07793"/>
    <w:rsid w:val="00A16DE1"/>
    <w:rsid w:val="00A2784E"/>
    <w:rsid w:val="00A406F0"/>
    <w:rsid w:val="00A47BF9"/>
    <w:rsid w:val="00A756A6"/>
    <w:rsid w:val="00A77ED2"/>
    <w:rsid w:val="00A90EA6"/>
    <w:rsid w:val="00AA14C9"/>
    <w:rsid w:val="00AA3A8D"/>
    <w:rsid w:val="00AC3F70"/>
    <w:rsid w:val="00AE5EF7"/>
    <w:rsid w:val="00B050DC"/>
    <w:rsid w:val="00B079C0"/>
    <w:rsid w:val="00B232C3"/>
    <w:rsid w:val="00B35636"/>
    <w:rsid w:val="00B374DF"/>
    <w:rsid w:val="00B45005"/>
    <w:rsid w:val="00B47546"/>
    <w:rsid w:val="00B55F5E"/>
    <w:rsid w:val="00B56CEA"/>
    <w:rsid w:val="00B61E57"/>
    <w:rsid w:val="00B62135"/>
    <w:rsid w:val="00B72969"/>
    <w:rsid w:val="00B75935"/>
    <w:rsid w:val="00B76C5C"/>
    <w:rsid w:val="00B8050A"/>
    <w:rsid w:val="00B84C60"/>
    <w:rsid w:val="00BA0979"/>
    <w:rsid w:val="00BA1516"/>
    <w:rsid w:val="00BA54CE"/>
    <w:rsid w:val="00BA58A1"/>
    <w:rsid w:val="00BA5A73"/>
    <w:rsid w:val="00BA79F4"/>
    <w:rsid w:val="00BB0266"/>
    <w:rsid w:val="00BB0905"/>
    <w:rsid w:val="00BB4A0B"/>
    <w:rsid w:val="00BB4DEE"/>
    <w:rsid w:val="00BC7D9D"/>
    <w:rsid w:val="00BD3358"/>
    <w:rsid w:val="00BE5731"/>
    <w:rsid w:val="00C1146B"/>
    <w:rsid w:val="00C1321D"/>
    <w:rsid w:val="00C21A87"/>
    <w:rsid w:val="00C344A5"/>
    <w:rsid w:val="00C37A28"/>
    <w:rsid w:val="00C4128A"/>
    <w:rsid w:val="00C42ECC"/>
    <w:rsid w:val="00C53C84"/>
    <w:rsid w:val="00C672E5"/>
    <w:rsid w:val="00C73A3F"/>
    <w:rsid w:val="00C74E7A"/>
    <w:rsid w:val="00C9762E"/>
    <w:rsid w:val="00CA5C25"/>
    <w:rsid w:val="00CB0098"/>
    <w:rsid w:val="00CB0704"/>
    <w:rsid w:val="00CB34EA"/>
    <w:rsid w:val="00CC6BA3"/>
    <w:rsid w:val="00CD70A3"/>
    <w:rsid w:val="00CE1888"/>
    <w:rsid w:val="00CF049C"/>
    <w:rsid w:val="00D019C1"/>
    <w:rsid w:val="00D21AC6"/>
    <w:rsid w:val="00D35B55"/>
    <w:rsid w:val="00D36DC6"/>
    <w:rsid w:val="00D43EA6"/>
    <w:rsid w:val="00D92229"/>
    <w:rsid w:val="00DA3224"/>
    <w:rsid w:val="00DC6BD4"/>
    <w:rsid w:val="00DC7E23"/>
    <w:rsid w:val="00DD1E29"/>
    <w:rsid w:val="00DE2C2E"/>
    <w:rsid w:val="00DE532E"/>
    <w:rsid w:val="00E03B2C"/>
    <w:rsid w:val="00E05761"/>
    <w:rsid w:val="00E16447"/>
    <w:rsid w:val="00E2205B"/>
    <w:rsid w:val="00E253A4"/>
    <w:rsid w:val="00E3351D"/>
    <w:rsid w:val="00E34F37"/>
    <w:rsid w:val="00E47E67"/>
    <w:rsid w:val="00E64C07"/>
    <w:rsid w:val="00E6641E"/>
    <w:rsid w:val="00E741B2"/>
    <w:rsid w:val="00E81D6F"/>
    <w:rsid w:val="00EA6EB5"/>
    <w:rsid w:val="00EB02BD"/>
    <w:rsid w:val="00EB0D05"/>
    <w:rsid w:val="00EC0CC3"/>
    <w:rsid w:val="00EC42DC"/>
    <w:rsid w:val="00EC6193"/>
    <w:rsid w:val="00F01AC2"/>
    <w:rsid w:val="00F051E7"/>
    <w:rsid w:val="00F07ABB"/>
    <w:rsid w:val="00F13579"/>
    <w:rsid w:val="00F14221"/>
    <w:rsid w:val="00F23695"/>
    <w:rsid w:val="00F27046"/>
    <w:rsid w:val="00F34084"/>
    <w:rsid w:val="00F402AC"/>
    <w:rsid w:val="00F503A1"/>
    <w:rsid w:val="00F51C8E"/>
    <w:rsid w:val="00F70938"/>
    <w:rsid w:val="00F95DE0"/>
    <w:rsid w:val="00FA37B0"/>
    <w:rsid w:val="00FB2603"/>
    <w:rsid w:val="00FC0B25"/>
    <w:rsid w:val="00FC3C87"/>
    <w:rsid w:val="00FD082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EFD9"/>
  <w15:chartTrackingRefBased/>
  <w15:docId w15:val="{5F48C86D-EACE-45BE-B0BF-0F55F7E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Shu, Xiang</dc:creator>
  <cp:keywords/>
  <dc:description/>
  <cp:lastModifiedBy>Shu, Xiang/Epidemiology-Biostatistics</cp:lastModifiedBy>
  <cp:revision>2</cp:revision>
  <dcterms:created xsi:type="dcterms:W3CDTF">2021-03-06T04:32:00Z</dcterms:created>
  <dcterms:modified xsi:type="dcterms:W3CDTF">2021-03-06T04:32:00Z</dcterms:modified>
</cp:coreProperties>
</file>