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28BE" w14:textId="79642F59" w:rsidR="00B40A0E" w:rsidRPr="00D36D89" w:rsidRDefault="00F25EFF" w:rsidP="00F25EFF">
      <w:pPr>
        <w:rPr>
          <w:b/>
          <w:u w:val="single"/>
        </w:rPr>
      </w:pPr>
      <w:bookmarkStart w:id="0" w:name="_GoBack"/>
      <w:bookmarkEnd w:id="0"/>
      <w:r w:rsidRPr="00210092">
        <w:rPr>
          <w:b/>
        </w:rPr>
        <w:t>Supplementary Table 2:</w:t>
      </w:r>
      <w:r w:rsidRPr="00F25EFF">
        <w:rPr>
          <w:bCs/>
        </w:rPr>
        <w:t xml:space="preserve">  </w:t>
      </w:r>
      <w:r w:rsidR="001A3756" w:rsidRPr="00F25EFF">
        <w:rPr>
          <w:bCs/>
        </w:rPr>
        <w:t>Genetic and Environmental Category</w:t>
      </w:r>
      <w:r w:rsidR="00B40A0E" w:rsidRPr="00F25EFF">
        <w:rPr>
          <w:bCs/>
        </w:rPr>
        <w:t xml:space="preserve"> Definitions</w:t>
      </w:r>
      <w:r w:rsidR="001A3756" w:rsidRPr="00F25EFF">
        <w:rPr>
          <w:bCs/>
        </w:rPr>
        <w:t xml:space="preserve"> and Examples</w:t>
      </w:r>
      <w:r w:rsidRPr="00F25EFF">
        <w:rPr>
          <w:bCs/>
        </w:rPr>
        <w:t xml:space="preserve"> Used for Data Abstraction</w:t>
      </w:r>
      <w:r w:rsidR="00A52F48">
        <w:rPr>
          <w:bCs/>
        </w:rPr>
        <w:t xml:space="preserve"> </w:t>
      </w:r>
      <w:r w:rsidR="002F21BA">
        <w:rPr>
          <w:bCs/>
        </w:rPr>
        <w:t xml:space="preserve"> </w:t>
      </w:r>
    </w:p>
    <w:p w14:paraId="67D4F349" w14:textId="13795575" w:rsidR="00B40A0E" w:rsidRDefault="00B40A0E" w:rsidP="00B40A0E">
      <w:pPr>
        <w:rPr>
          <w:b/>
        </w:rPr>
      </w:pPr>
      <w:r>
        <w:rPr>
          <w:b/>
        </w:rPr>
        <w:t xml:space="preserve">Genetic Categories </w:t>
      </w:r>
    </w:p>
    <w:p w14:paraId="02C6331A" w14:textId="7BBAA337" w:rsidR="00A52F48" w:rsidRPr="00D66441" w:rsidRDefault="00B40A0E" w:rsidP="00D66441">
      <w:pPr>
        <w:pStyle w:val="ListParagraph"/>
        <w:numPr>
          <w:ilvl w:val="0"/>
          <w:numId w:val="20"/>
        </w:numPr>
        <w:spacing w:after="0" w:line="240" w:lineRule="auto"/>
        <w:rPr>
          <w:b/>
        </w:rPr>
      </w:pPr>
      <w:r w:rsidRPr="00D66441">
        <w:rPr>
          <w:b/>
        </w:rPr>
        <w:t xml:space="preserve">Germline: </w:t>
      </w:r>
      <w:r w:rsidR="00FD3027">
        <w:t>Variation</w:t>
      </w:r>
      <w:r w:rsidR="00D51CE0" w:rsidRPr="00D51CE0">
        <w:t xml:space="preserve"> in the DNA sequence, often in the form of single nucleotide polymorphism (SNPs)</w:t>
      </w:r>
      <w:r w:rsidR="007178C6">
        <w:t xml:space="preserve"> and structural variations</w:t>
      </w:r>
      <w:r w:rsidR="00D51CE0" w:rsidRPr="00D51CE0">
        <w:t xml:space="preserve"> (e.g. copy number variation</w:t>
      </w:r>
      <w:r w:rsidR="007178C6">
        <w:t>, insertions/deletions</w:t>
      </w:r>
      <w:r w:rsidR="00D51CE0" w:rsidRPr="00D51CE0">
        <w:t>).  These typically remain constant during an individual’s lifetime.</w:t>
      </w:r>
      <w:r w:rsidR="00D51CE0">
        <w:t xml:space="preserve">  </w:t>
      </w:r>
      <w:r w:rsidR="00D51CE0" w:rsidRPr="00D51CE0">
        <w:t xml:space="preserve">Germline DNA is the source of DNA for all other cells in the body. </w:t>
      </w:r>
      <w:r w:rsidR="00D51CE0">
        <w:t xml:space="preserve"> </w:t>
      </w:r>
    </w:p>
    <w:p w14:paraId="09EDB5EA" w14:textId="06A2D569" w:rsidR="00B40A0E" w:rsidRPr="002303BA" w:rsidRDefault="00B40A0E" w:rsidP="00D51CE0">
      <w:pPr>
        <w:pStyle w:val="ListParagraph"/>
        <w:numPr>
          <w:ilvl w:val="0"/>
          <w:numId w:val="7"/>
        </w:numPr>
        <w:spacing w:after="0" w:line="240" w:lineRule="auto"/>
        <w:rPr>
          <w:b/>
        </w:rPr>
      </w:pPr>
      <w:r>
        <w:rPr>
          <w:b/>
        </w:rPr>
        <w:t>Somatic</w:t>
      </w:r>
      <w:r w:rsidRPr="002303BA">
        <w:rPr>
          <w:b/>
        </w:rPr>
        <w:t xml:space="preserve">: </w:t>
      </w:r>
      <w:r w:rsidR="00D51CE0" w:rsidRPr="00D51CE0">
        <w:t xml:space="preserve">Somatic genetic variation, usually described as somatic mutations, occur during mitotic divisions within an individual. Somatic mutations are </w:t>
      </w:r>
      <w:proofErr w:type="gramStart"/>
      <w:r w:rsidR="00D51CE0" w:rsidRPr="00D51CE0">
        <w:t>most commonly studied</w:t>
      </w:r>
      <w:proofErr w:type="gramEnd"/>
      <w:r w:rsidR="00D51CE0" w:rsidRPr="00D51CE0">
        <w:t xml:space="preserve"> in the context of tumor cells</w:t>
      </w:r>
      <w:r w:rsidR="005421DF">
        <w:t xml:space="preserve">, or genetic alterations </w:t>
      </w:r>
      <w:r w:rsidR="00D51CE0" w:rsidRPr="00D51CE0">
        <w:t>in tumor tissue.</w:t>
      </w:r>
    </w:p>
    <w:p w14:paraId="7F687A9E" w14:textId="77777777" w:rsidR="00B40A0E" w:rsidRDefault="00B40A0E" w:rsidP="00B40A0E">
      <w:pPr>
        <w:spacing w:after="0" w:line="240" w:lineRule="auto"/>
        <w:rPr>
          <w:b/>
        </w:rPr>
      </w:pPr>
    </w:p>
    <w:p w14:paraId="6634EA78" w14:textId="29B4294C" w:rsidR="00B40A0E" w:rsidRPr="00B40A0E" w:rsidRDefault="00B40A0E" w:rsidP="00B40A0E">
      <w:pPr>
        <w:pStyle w:val="ListParagraph"/>
        <w:numPr>
          <w:ilvl w:val="0"/>
          <w:numId w:val="7"/>
        </w:numPr>
        <w:spacing w:after="0" w:line="240" w:lineRule="auto"/>
      </w:pPr>
      <w:r>
        <w:rPr>
          <w:b/>
        </w:rPr>
        <w:t>GWAS</w:t>
      </w:r>
      <w:r w:rsidR="00D51CE0">
        <w:rPr>
          <w:b/>
        </w:rPr>
        <w:t xml:space="preserve"> (or genome</w:t>
      </w:r>
      <w:r w:rsidR="00012AB1">
        <w:rPr>
          <w:b/>
        </w:rPr>
        <w:t>-</w:t>
      </w:r>
      <w:r w:rsidR="00D51CE0">
        <w:rPr>
          <w:b/>
        </w:rPr>
        <w:t xml:space="preserve">wide association study):  </w:t>
      </w:r>
      <w:r w:rsidR="00D51CE0" w:rsidRPr="00D51CE0">
        <w:t xml:space="preserve">Agnostic studies of germline genetic variation that use an array technology (e.g. GWAS array, </w:t>
      </w:r>
      <w:proofErr w:type="spellStart"/>
      <w:r w:rsidR="00D51CE0" w:rsidRPr="00D51CE0">
        <w:t>Oncoarray</w:t>
      </w:r>
      <w:proofErr w:type="spellEnd"/>
      <w:r w:rsidR="00D51CE0" w:rsidRPr="00D51CE0">
        <w:t>, Illumina chip, Affymetrix chip) to survey genetic variation</w:t>
      </w:r>
      <w:r w:rsidR="00012AB1">
        <w:t xml:space="preserve"> across the entire</w:t>
      </w:r>
      <w:r w:rsidR="00D51CE0" w:rsidRPr="00D51CE0">
        <w:t xml:space="preserve"> genome.</w:t>
      </w:r>
      <w:r w:rsidR="00D51CE0">
        <w:rPr>
          <w:b/>
        </w:rPr>
        <w:t xml:space="preserve">  </w:t>
      </w:r>
      <w:r w:rsidR="00012AB1">
        <w:t>For the purposes of this portfolio analysis, t</w:t>
      </w:r>
      <w:r w:rsidR="00A16506">
        <w:t>o be categorized as GWAS, the grant must be using a GWAS</w:t>
      </w:r>
      <w:r w:rsidR="00012AB1">
        <w:t>-</w:t>
      </w:r>
      <w:r w:rsidR="00A16506">
        <w:t xml:space="preserve">based approach in the </w:t>
      </w:r>
      <w:proofErr w:type="spellStart"/>
      <w:r w:rsidR="00A16506">
        <w:t>GxE</w:t>
      </w:r>
      <w:proofErr w:type="spellEnd"/>
      <w:r w:rsidR="00A16506">
        <w:t xml:space="preserve"> analysis (or a genome-wide </w:t>
      </w:r>
      <w:proofErr w:type="spellStart"/>
      <w:r w:rsidR="00A16506">
        <w:t>GxE</w:t>
      </w:r>
      <w:proofErr w:type="spellEnd"/>
      <w:r w:rsidR="00A45435">
        <w:t xml:space="preserve"> </w:t>
      </w:r>
      <w:r w:rsidR="00A16506">
        <w:t>analysis).</w:t>
      </w:r>
    </w:p>
    <w:p w14:paraId="1713ED2A" w14:textId="77777777" w:rsidR="00B40A0E" w:rsidRDefault="00B40A0E" w:rsidP="00B40A0E">
      <w:pPr>
        <w:pStyle w:val="ListParagraph"/>
      </w:pPr>
    </w:p>
    <w:p w14:paraId="727E297D" w14:textId="7F073FEF" w:rsidR="00B40A0E" w:rsidRPr="00B40A0E" w:rsidRDefault="00B40A0E" w:rsidP="00B911C1">
      <w:pPr>
        <w:pStyle w:val="ListParagraph"/>
        <w:numPr>
          <w:ilvl w:val="0"/>
          <w:numId w:val="7"/>
        </w:numPr>
        <w:spacing w:after="0" w:line="240" w:lineRule="auto"/>
        <w:rPr>
          <w:b/>
        </w:rPr>
      </w:pPr>
      <w:r w:rsidRPr="00B40A0E">
        <w:rPr>
          <w:b/>
        </w:rPr>
        <w:t>Candidate Gene:</w:t>
      </w:r>
      <w:r w:rsidR="00B911C1">
        <w:rPr>
          <w:b/>
        </w:rPr>
        <w:t xml:space="preserve">  </w:t>
      </w:r>
      <w:r w:rsidR="00B911C1" w:rsidRPr="00B911C1">
        <w:t xml:space="preserve">The candidate gene approach to conducting genetic association studies </w:t>
      </w:r>
      <w:r w:rsidR="00807D4D">
        <w:t xml:space="preserve">or studies of somatic alterations in tumors </w:t>
      </w:r>
      <w:r w:rsidR="00B911C1" w:rsidRPr="00B911C1">
        <w:t xml:space="preserve">focuses on associations between genetic variation </w:t>
      </w:r>
      <w:r w:rsidR="00B911C1" w:rsidRPr="00A45435">
        <w:t>within pre-specified genes of interest</w:t>
      </w:r>
      <w:r w:rsidR="00B911C1" w:rsidRPr="00B911C1">
        <w:t xml:space="preserve"> and </w:t>
      </w:r>
      <w:r w:rsidR="00FE37E6">
        <w:t>cance</w:t>
      </w:r>
      <w:r w:rsidR="00FE28BD">
        <w:t>r</w:t>
      </w:r>
      <w:r w:rsidR="00B911C1" w:rsidRPr="00B911C1">
        <w:t>.</w:t>
      </w:r>
      <w:r w:rsidR="00EE70C8">
        <w:t xml:space="preserve">  </w:t>
      </w:r>
    </w:p>
    <w:p w14:paraId="6D0A9A51" w14:textId="77777777" w:rsidR="00B40A0E" w:rsidRPr="00B40A0E" w:rsidRDefault="00B40A0E" w:rsidP="00B40A0E">
      <w:pPr>
        <w:pStyle w:val="ListParagraph"/>
        <w:rPr>
          <w:b/>
        </w:rPr>
      </w:pPr>
    </w:p>
    <w:p w14:paraId="4ACF03A5" w14:textId="77777777" w:rsidR="00081853" w:rsidRDefault="00B40A0E" w:rsidP="00081853">
      <w:pPr>
        <w:pStyle w:val="ListParagraph"/>
        <w:numPr>
          <w:ilvl w:val="0"/>
          <w:numId w:val="7"/>
        </w:numPr>
        <w:spacing w:after="0" w:line="240" w:lineRule="auto"/>
        <w:rPr>
          <w:b/>
        </w:rPr>
      </w:pPr>
      <w:r w:rsidRPr="00B40A0E">
        <w:rPr>
          <w:b/>
        </w:rPr>
        <w:t>Whole Exome/Genome Sequencing:</w:t>
      </w:r>
      <w:r w:rsidR="007A522F">
        <w:rPr>
          <w:b/>
        </w:rPr>
        <w:t xml:space="preserve">  </w:t>
      </w:r>
      <w:r w:rsidR="00081853" w:rsidRPr="00081853">
        <w:t xml:space="preserve">Both of these approaches are using next generation sequencing </w:t>
      </w:r>
      <w:r w:rsidR="00081853">
        <w:t>technology and are largely agnostic approaches.</w:t>
      </w:r>
    </w:p>
    <w:p w14:paraId="02CBB247" w14:textId="77777777" w:rsidR="00081853" w:rsidRDefault="00081853" w:rsidP="00081853">
      <w:pPr>
        <w:pStyle w:val="ListParagraph"/>
      </w:pPr>
    </w:p>
    <w:p w14:paraId="5B82FF65" w14:textId="77777777" w:rsidR="00081853" w:rsidRPr="00081853" w:rsidRDefault="007A522F" w:rsidP="00081853">
      <w:pPr>
        <w:pStyle w:val="ListParagraph"/>
        <w:numPr>
          <w:ilvl w:val="1"/>
          <w:numId w:val="7"/>
        </w:numPr>
        <w:spacing w:after="0" w:line="240" w:lineRule="auto"/>
        <w:rPr>
          <w:b/>
        </w:rPr>
      </w:pPr>
      <w:r w:rsidRPr="007A522F">
        <w:t>Whole Genome sequencing (also known as WGS, full genome sequencing, complete genome sequencing, or entire genome sequencing) is the process of determining the complete DNA sequence of an organism's genome at a single time.</w:t>
      </w:r>
      <w:r w:rsidR="00081853">
        <w:t xml:space="preserve"> </w:t>
      </w:r>
    </w:p>
    <w:p w14:paraId="4B8CA8F9" w14:textId="77777777" w:rsidR="00081853" w:rsidRDefault="00081853" w:rsidP="00081853">
      <w:pPr>
        <w:pStyle w:val="ListParagraph"/>
      </w:pPr>
    </w:p>
    <w:p w14:paraId="6E3B3CC9" w14:textId="224013BE" w:rsidR="007A522F" w:rsidRPr="00081853" w:rsidRDefault="007A522F" w:rsidP="00081853">
      <w:pPr>
        <w:pStyle w:val="ListParagraph"/>
        <w:numPr>
          <w:ilvl w:val="1"/>
          <w:numId w:val="7"/>
        </w:numPr>
        <w:spacing w:after="0" w:line="240" w:lineRule="auto"/>
        <w:rPr>
          <w:b/>
        </w:rPr>
      </w:pPr>
      <w:r w:rsidRPr="007A522F">
        <w:t>Exome sequencing, also known as whole exome sequencing (WES), is a genomic technique for sequencing the protein-coding genes</w:t>
      </w:r>
      <w:r w:rsidR="00067F4D">
        <w:t xml:space="preserve"> (i.e., exons)</w:t>
      </w:r>
      <w:r w:rsidRPr="007A522F">
        <w:t xml:space="preserve"> in a genome (known as the exome).</w:t>
      </w:r>
    </w:p>
    <w:p w14:paraId="7197CD2C" w14:textId="77777777" w:rsidR="00B40A0E" w:rsidRPr="00B40A0E" w:rsidRDefault="00B40A0E" w:rsidP="00B40A0E">
      <w:pPr>
        <w:pStyle w:val="ListParagraph"/>
        <w:rPr>
          <w:b/>
        </w:rPr>
      </w:pPr>
    </w:p>
    <w:p w14:paraId="742D1A41" w14:textId="18ACFAB5" w:rsidR="00694CD3" w:rsidRPr="00B40A0E" w:rsidRDefault="00694CD3" w:rsidP="00694CD3">
      <w:pPr>
        <w:pStyle w:val="ListParagraph"/>
        <w:numPr>
          <w:ilvl w:val="0"/>
          <w:numId w:val="7"/>
        </w:numPr>
        <w:spacing w:after="0" w:line="240" w:lineRule="auto"/>
        <w:rPr>
          <w:b/>
        </w:rPr>
      </w:pPr>
      <w:r w:rsidRPr="00B40A0E">
        <w:rPr>
          <w:b/>
        </w:rPr>
        <w:t>Targeted Sequencing:</w:t>
      </w:r>
      <w:r>
        <w:rPr>
          <w:b/>
        </w:rPr>
        <w:t xml:space="preserve">  </w:t>
      </w:r>
      <w:r w:rsidRPr="00081853">
        <w:t>In contrast to whole exome or whole genome sequencing approaches, specific candidate genes or specified regions of the genome</w:t>
      </w:r>
      <w:r w:rsidR="00A52F48">
        <w:t xml:space="preserve"> are sequenced using next generation sequencing technology</w:t>
      </w:r>
      <w:r w:rsidRPr="00081853">
        <w:t xml:space="preserve">.  </w:t>
      </w:r>
    </w:p>
    <w:p w14:paraId="429BF5AF" w14:textId="77777777" w:rsidR="00694CD3" w:rsidRDefault="00694CD3" w:rsidP="00A52F48">
      <w:pPr>
        <w:pStyle w:val="ListParagraph"/>
        <w:spacing w:after="0" w:line="240" w:lineRule="auto"/>
        <w:rPr>
          <w:b/>
        </w:rPr>
      </w:pPr>
    </w:p>
    <w:p w14:paraId="67A70F63" w14:textId="447F037B" w:rsidR="00B40A0E" w:rsidRPr="00B40A0E" w:rsidRDefault="00B40A0E" w:rsidP="00D51CE0">
      <w:pPr>
        <w:pStyle w:val="ListParagraph"/>
        <w:numPr>
          <w:ilvl w:val="0"/>
          <w:numId w:val="7"/>
        </w:numPr>
        <w:spacing w:after="0" w:line="240" w:lineRule="auto"/>
        <w:rPr>
          <w:b/>
        </w:rPr>
      </w:pPr>
      <w:r w:rsidRPr="00B40A0E">
        <w:rPr>
          <w:b/>
        </w:rPr>
        <w:t>Epigenetic:</w:t>
      </w:r>
      <w:r w:rsidR="00D51CE0">
        <w:rPr>
          <w:b/>
        </w:rPr>
        <w:t xml:space="preserve">  </w:t>
      </w:r>
      <w:r w:rsidR="00A26BD9">
        <w:t>Functional changes</w:t>
      </w:r>
      <w:r w:rsidR="00D51CE0" w:rsidRPr="001E7C4B">
        <w:t xml:space="preserve"> to </w:t>
      </w:r>
      <w:r w:rsidR="00A26BD9">
        <w:t>the genome</w:t>
      </w:r>
      <w:r w:rsidR="00D51CE0" w:rsidRPr="001E7C4B">
        <w:t xml:space="preserve"> that are not due to changes in the DNA</w:t>
      </w:r>
      <w:r w:rsidR="001E7C4B" w:rsidRPr="001E7C4B">
        <w:t xml:space="preserve"> sequence</w:t>
      </w:r>
      <w:r w:rsidR="009945F7">
        <w:t>.</w:t>
      </w:r>
      <w:r w:rsidR="001E7C4B" w:rsidRPr="001E7C4B">
        <w:t xml:space="preserve">  </w:t>
      </w:r>
      <w:r w:rsidR="00D51CE0" w:rsidRPr="001E7C4B">
        <w:t>DNA methylation</w:t>
      </w:r>
      <w:r w:rsidR="009B697D">
        <w:t xml:space="preserve"> is an example of an epigenetic change where methyl groups are added to DNA</w:t>
      </w:r>
      <w:r w:rsidR="001E7C4B" w:rsidRPr="001E7C4B">
        <w:t xml:space="preserve"> which </w:t>
      </w:r>
      <w:r w:rsidR="009B697D">
        <w:t xml:space="preserve">can </w:t>
      </w:r>
      <w:r w:rsidR="001E7C4B" w:rsidRPr="001E7C4B">
        <w:t>influ</w:t>
      </w:r>
      <w:r w:rsidR="00D51CE0" w:rsidRPr="001E7C4B">
        <w:t>ence gene activity and expression</w:t>
      </w:r>
      <w:r w:rsidR="001E7C4B">
        <w:t xml:space="preserve">. Epigenetic modifications can </w:t>
      </w:r>
      <w:r w:rsidR="00723F75">
        <w:t xml:space="preserve">result from </w:t>
      </w:r>
      <w:r w:rsidR="001E7C4B">
        <w:t>exposure and aging.</w:t>
      </w:r>
    </w:p>
    <w:p w14:paraId="0F06334B" w14:textId="77777777" w:rsidR="00B40A0E" w:rsidRPr="00B40A0E" w:rsidRDefault="00B40A0E" w:rsidP="00B40A0E">
      <w:pPr>
        <w:pStyle w:val="ListParagraph"/>
        <w:rPr>
          <w:b/>
        </w:rPr>
      </w:pPr>
    </w:p>
    <w:p w14:paraId="6B8CF68F" w14:textId="77777777" w:rsidR="00B40A0E" w:rsidRPr="00205F9B" w:rsidRDefault="00B40A0E" w:rsidP="00B40A0E">
      <w:pPr>
        <w:spacing w:after="0" w:line="240" w:lineRule="auto"/>
      </w:pPr>
    </w:p>
    <w:p w14:paraId="1F539001" w14:textId="77777777" w:rsidR="00D36D89" w:rsidRDefault="00D36D89" w:rsidP="00B40A0E">
      <w:pPr>
        <w:rPr>
          <w:b/>
        </w:rPr>
      </w:pPr>
    </w:p>
    <w:p w14:paraId="63C83EE4" w14:textId="3D074344" w:rsidR="00B40A0E" w:rsidRPr="002303BA" w:rsidRDefault="00B40A0E" w:rsidP="00B40A0E">
      <w:pPr>
        <w:rPr>
          <w:b/>
        </w:rPr>
      </w:pPr>
      <w:r w:rsidRPr="002303BA">
        <w:rPr>
          <w:b/>
        </w:rPr>
        <w:lastRenderedPageBreak/>
        <w:t>Environmental Exposure Categor</w:t>
      </w:r>
      <w:r w:rsidR="00D36D89">
        <w:rPr>
          <w:b/>
        </w:rPr>
        <w:t>ies</w:t>
      </w:r>
      <w:r w:rsidR="00E71099">
        <w:rPr>
          <w:b/>
        </w:rPr>
        <w:t xml:space="preserve"> and Terms</w:t>
      </w:r>
      <w:r w:rsidRPr="002303BA">
        <w:rPr>
          <w:b/>
        </w:rPr>
        <w:t xml:space="preserve"> </w:t>
      </w:r>
    </w:p>
    <w:p w14:paraId="1421AA71" w14:textId="7FA1249E" w:rsidR="00B40A0E" w:rsidRPr="002303BA" w:rsidRDefault="00B40A0E" w:rsidP="00B40A0E">
      <w:pPr>
        <w:pStyle w:val="ListParagraph"/>
        <w:numPr>
          <w:ilvl w:val="0"/>
          <w:numId w:val="7"/>
        </w:numPr>
        <w:spacing w:after="0" w:line="240" w:lineRule="auto"/>
        <w:rPr>
          <w:b/>
        </w:rPr>
      </w:pPr>
      <w:r w:rsidRPr="002303BA">
        <w:rPr>
          <w:b/>
        </w:rPr>
        <w:t xml:space="preserve">Infection and Inflammation: </w:t>
      </w:r>
      <w:r>
        <w:t xml:space="preserve">infection, bacteria, virus, </w:t>
      </w:r>
      <w:r w:rsidR="00D26328">
        <w:t xml:space="preserve">allergy, inflammatory bowel </w:t>
      </w:r>
      <w:proofErr w:type="gramStart"/>
      <w:r w:rsidR="00D26328">
        <w:t>disease,  autoimmune</w:t>
      </w:r>
      <w:proofErr w:type="gramEnd"/>
      <w:r w:rsidR="00D26328">
        <w:t xml:space="preserve"> diseases, such as rheumatoid arthritis, systemic lupus erythematosus, multiple sclerosis</w:t>
      </w:r>
    </w:p>
    <w:p w14:paraId="6A945CF5" w14:textId="77777777" w:rsidR="00B40A0E" w:rsidRDefault="00B40A0E" w:rsidP="00B40A0E">
      <w:pPr>
        <w:spacing w:after="0" w:line="240" w:lineRule="auto"/>
        <w:rPr>
          <w:b/>
        </w:rPr>
      </w:pPr>
    </w:p>
    <w:p w14:paraId="58BF0DC7" w14:textId="2597CAC3" w:rsidR="00B40A0E" w:rsidRPr="002303BA" w:rsidRDefault="00B40A0E" w:rsidP="00B40A0E">
      <w:pPr>
        <w:pStyle w:val="ListParagraph"/>
        <w:numPr>
          <w:ilvl w:val="0"/>
          <w:numId w:val="7"/>
        </w:numPr>
        <w:spacing w:after="0" w:line="240" w:lineRule="auto"/>
        <w:rPr>
          <w:b/>
        </w:rPr>
      </w:pPr>
      <w:r w:rsidRPr="002303BA">
        <w:rPr>
          <w:b/>
        </w:rPr>
        <w:t xml:space="preserve">Drugs/Treatment: </w:t>
      </w:r>
      <w:r>
        <w:t>drugs, medication, radiation</w:t>
      </w:r>
      <w:r w:rsidR="00D36D89">
        <w:t xml:space="preserve"> therapy</w:t>
      </w:r>
      <w:r w:rsidR="0058506F">
        <w:t xml:space="preserve">, </w:t>
      </w:r>
      <w:r w:rsidR="001E7E7B">
        <w:t>nonsteroidal anti-inflammatory drugs</w:t>
      </w:r>
      <w:r w:rsidR="00A45435">
        <w:t xml:space="preserve"> (</w:t>
      </w:r>
      <w:r w:rsidR="0058506F">
        <w:t>NSAIDs</w:t>
      </w:r>
      <w:r w:rsidR="001E7E7B">
        <w:t>)</w:t>
      </w:r>
    </w:p>
    <w:p w14:paraId="34805EEA" w14:textId="77777777" w:rsidR="00B40A0E" w:rsidRDefault="00B40A0E" w:rsidP="00B40A0E">
      <w:pPr>
        <w:spacing w:after="0" w:line="240" w:lineRule="auto"/>
        <w:rPr>
          <w:b/>
        </w:rPr>
      </w:pPr>
    </w:p>
    <w:p w14:paraId="3BC605C2" w14:textId="6406C3B2" w:rsidR="00B40A0E" w:rsidRDefault="00127B90" w:rsidP="00B40A0E">
      <w:pPr>
        <w:pStyle w:val="ListParagraph"/>
        <w:numPr>
          <w:ilvl w:val="0"/>
          <w:numId w:val="7"/>
        </w:numPr>
        <w:spacing w:after="0" w:line="240" w:lineRule="auto"/>
      </w:pPr>
      <w:r>
        <w:rPr>
          <w:b/>
        </w:rPr>
        <w:t>Reproductive Factors:</w:t>
      </w:r>
      <w:r w:rsidR="00B40A0E" w:rsidRPr="002303BA">
        <w:rPr>
          <w:b/>
        </w:rPr>
        <w:t xml:space="preserve">  </w:t>
      </w:r>
      <w:r w:rsidR="00B40A0E">
        <w:t>parity, age of menarche, age of menopause, age of first full</w:t>
      </w:r>
      <w:r w:rsidR="003239CE">
        <w:t>-</w:t>
      </w:r>
      <w:r w:rsidR="00B40A0E">
        <w:t>term pregnancy</w:t>
      </w:r>
    </w:p>
    <w:p w14:paraId="36D7B9A5" w14:textId="77777777" w:rsidR="00B40A0E" w:rsidRDefault="00B40A0E" w:rsidP="00B40A0E">
      <w:pPr>
        <w:spacing w:after="0" w:line="240" w:lineRule="auto"/>
      </w:pPr>
    </w:p>
    <w:p w14:paraId="0CF9C470" w14:textId="77777777" w:rsidR="00B40A0E" w:rsidRPr="00205F9B" w:rsidRDefault="00B40A0E" w:rsidP="00B40A0E">
      <w:pPr>
        <w:pStyle w:val="ListParagraph"/>
        <w:numPr>
          <w:ilvl w:val="0"/>
          <w:numId w:val="7"/>
        </w:numPr>
        <w:spacing w:after="0" w:line="240" w:lineRule="auto"/>
      </w:pPr>
      <w:r w:rsidRPr="002303BA">
        <w:rPr>
          <w:b/>
        </w:rPr>
        <w:t>Exogenous Hormones:</w:t>
      </w:r>
      <w:r>
        <w:t xml:space="preserve">  hormone replacement therapy (HRT), oral contraceptives (OC)</w:t>
      </w:r>
    </w:p>
    <w:p w14:paraId="64F1B9D4" w14:textId="77777777" w:rsidR="00B40A0E" w:rsidRDefault="00B40A0E" w:rsidP="00B40A0E">
      <w:pPr>
        <w:spacing w:after="0" w:line="240" w:lineRule="auto"/>
        <w:rPr>
          <w:b/>
        </w:rPr>
      </w:pPr>
    </w:p>
    <w:p w14:paraId="2872DC40" w14:textId="77777777" w:rsidR="00B40A0E" w:rsidRDefault="00B40A0E" w:rsidP="00B40A0E">
      <w:pPr>
        <w:pStyle w:val="ListParagraph"/>
        <w:numPr>
          <w:ilvl w:val="0"/>
          <w:numId w:val="7"/>
        </w:numPr>
        <w:spacing w:after="0" w:line="240" w:lineRule="auto"/>
      </w:pPr>
      <w:r w:rsidRPr="002303BA">
        <w:rPr>
          <w:b/>
        </w:rPr>
        <w:t xml:space="preserve">Chemical Environment: </w:t>
      </w:r>
      <w:r>
        <w:t xml:space="preserve">carcinogens, chemicals, solvents, dioxins, pesticides, metals, vinyl chloride, benzidine, diesel exhaust particles, polycyclic aromatic hydrocarbons (PAH), phthalates, polychlorinated biphenyl (PCB), phenols, bisphenol A (BPA), </w:t>
      </w:r>
      <w:proofErr w:type="spellStart"/>
      <w:r>
        <w:t>perfluorinated</w:t>
      </w:r>
      <w:proofErr w:type="spellEnd"/>
      <w:r>
        <w:t xml:space="preserve"> compounds, perfluorooctanoic acid (PFOA), enterolactone (ENL), genistein, cotinine, polybrominated diphenyl ether (PBDE), organochlorine pesticides </w:t>
      </w:r>
    </w:p>
    <w:p w14:paraId="59783BBF" w14:textId="77777777" w:rsidR="00B40A0E" w:rsidRDefault="00B40A0E" w:rsidP="00B40A0E">
      <w:pPr>
        <w:spacing w:after="0" w:line="240" w:lineRule="auto"/>
      </w:pPr>
    </w:p>
    <w:p w14:paraId="7498E693" w14:textId="79960D9E" w:rsidR="00B40A0E" w:rsidRPr="002303BA" w:rsidRDefault="00B40A0E" w:rsidP="00B40A0E">
      <w:pPr>
        <w:pStyle w:val="ListParagraph"/>
        <w:numPr>
          <w:ilvl w:val="0"/>
          <w:numId w:val="7"/>
        </w:numPr>
        <w:spacing w:after="0" w:line="240" w:lineRule="auto"/>
        <w:rPr>
          <w:b/>
        </w:rPr>
      </w:pPr>
      <w:r w:rsidRPr="002303BA">
        <w:rPr>
          <w:b/>
        </w:rPr>
        <w:t xml:space="preserve">Physical Environment: </w:t>
      </w:r>
      <w:r w:rsidRPr="00B40A0E">
        <w:t>electromagnetic field</w:t>
      </w:r>
      <w:r w:rsidR="001E7E7B">
        <w:t xml:space="preserve"> (EMF</w:t>
      </w:r>
      <w:r w:rsidRPr="00B40A0E">
        <w:t xml:space="preserve">), </w:t>
      </w:r>
      <w:r w:rsidR="00A07857">
        <w:t>i</w:t>
      </w:r>
      <w:r w:rsidRPr="00B40A0E">
        <w:t xml:space="preserve">onizing radiation (could include cell phone use), </w:t>
      </w:r>
      <w:r w:rsidR="00937D3D">
        <w:t>ultraviolet (UV)</w:t>
      </w:r>
      <w:r w:rsidRPr="00B40A0E">
        <w:t xml:space="preserve"> exposure (could also be lifestyle depending on focus of application)</w:t>
      </w:r>
    </w:p>
    <w:p w14:paraId="28D28D97" w14:textId="77777777" w:rsidR="00B40A0E" w:rsidRDefault="00B40A0E" w:rsidP="00B40A0E">
      <w:pPr>
        <w:spacing w:after="0" w:line="240" w:lineRule="auto"/>
        <w:rPr>
          <w:b/>
        </w:rPr>
      </w:pPr>
    </w:p>
    <w:p w14:paraId="308E9AD2" w14:textId="6BE9F080" w:rsidR="00B40A0E" w:rsidRPr="002303BA" w:rsidRDefault="00B40A0E" w:rsidP="00B40A0E">
      <w:pPr>
        <w:pStyle w:val="ListParagraph"/>
        <w:numPr>
          <w:ilvl w:val="0"/>
          <w:numId w:val="7"/>
        </w:numPr>
        <w:spacing w:after="0" w:line="240" w:lineRule="auto"/>
        <w:rPr>
          <w:b/>
        </w:rPr>
      </w:pPr>
      <w:r w:rsidRPr="002303BA">
        <w:rPr>
          <w:b/>
        </w:rPr>
        <w:t xml:space="preserve">Lifestyle: </w:t>
      </w:r>
      <w:r w:rsidR="00EE0FD8">
        <w:t>Behaviors</w:t>
      </w:r>
      <w:r>
        <w:t>, smoking, tobacco</w:t>
      </w:r>
      <w:r w:rsidR="008274DC">
        <w:t xml:space="preserve"> use</w:t>
      </w:r>
      <w:r>
        <w:t>, alcohol</w:t>
      </w:r>
      <w:r w:rsidR="008274DC">
        <w:t xml:space="preserve"> use</w:t>
      </w:r>
    </w:p>
    <w:p w14:paraId="69D63045" w14:textId="77777777" w:rsidR="00B40A0E" w:rsidRDefault="00B40A0E" w:rsidP="00B40A0E">
      <w:pPr>
        <w:spacing w:after="0" w:line="240" w:lineRule="auto"/>
        <w:rPr>
          <w:b/>
        </w:rPr>
      </w:pPr>
    </w:p>
    <w:p w14:paraId="5906B9EE" w14:textId="1DA14D52" w:rsidR="00B40A0E" w:rsidRDefault="00B40A0E" w:rsidP="00B40A0E">
      <w:pPr>
        <w:pStyle w:val="ListParagraph"/>
        <w:numPr>
          <w:ilvl w:val="0"/>
          <w:numId w:val="7"/>
        </w:numPr>
        <w:spacing w:after="0" w:line="240" w:lineRule="auto"/>
      </w:pPr>
      <w:r w:rsidRPr="002303BA">
        <w:rPr>
          <w:b/>
        </w:rPr>
        <w:t xml:space="preserve">Energy Balance: </w:t>
      </w:r>
      <w:r w:rsidR="00704BAD">
        <w:t>D</w:t>
      </w:r>
      <w:r>
        <w:t>iet (e.g. nutrients, phytoestrogens, vitamin D), physical activity, physical inactivity, weight, obesity</w:t>
      </w:r>
      <w:r w:rsidR="00E75DF3">
        <w:t xml:space="preserve"> </w:t>
      </w:r>
      <w:r w:rsidR="00E75DF3" w:rsidRPr="0039217C">
        <w:t>(Note:</w:t>
      </w:r>
      <w:r w:rsidR="00704BAD" w:rsidRPr="0039217C">
        <w:t xml:space="preserve"> a</w:t>
      </w:r>
      <w:r w:rsidR="00FE7FD0" w:rsidRPr="0039217C">
        <w:t xml:space="preserve">lthough </w:t>
      </w:r>
      <w:r w:rsidR="00E75DF3" w:rsidRPr="0039217C">
        <w:t xml:space="preserve">these factors contribute to energy balance, </w:t>
      </w:r>
      <w:r w:rsidR="00FE7FD0" w:rsidRPr="0039217C">
        <w:t>the grants were</w:t>
      </w:r>
      <w:r w:rsidR="00E75DF3" w:rsidRPr="0039217C">
        <w:t xml:space="preserve"> not necessarily specifically assessing the balance of intake/out</w:t>
      </w:r>
      <w:r w:rsidR="00FE7FD0" w:rsidRPr="0039217C">
        <w:t>put</w:t>
      </w:r>
      <w:r w:rsidR="00E75DF3" w:rsidRPr="0039217C">
        <w:t xml:space="preserve"> of energy</w:t>
      </w:r>
      <w:r w:rsidR="00064FB9" w:rsidRPr="0039217C">
        <w:t>.</w:t>
      </w:r>
      <w:r w:rsidR="00E75DF3" w:rsidRPr="0039217C">
        <w:t>)</w:t>
      </w:r>
    </w:p>
    <w:p w14:paraId="7217CAC1" w14:textId="77777777" w:rsidR="00401FDD" w:rsidRDefault="00401FDD" w:rsidP="00401FDD">
      <w:pPr>
        <w:pStyle w:val="ListParagraph"/>
      </w:pPr>
    </w:p>
    <w:p w14:paraId="15CA5284" w14:textId="08BC5AA9" w:rsidR="00401FDD" w:rsidRPr="00401FDD" w:rsidRDefault="00401FDD" w:rsidP="00B40A0E">
      <w:pPr>
        <w:pStyle w:val="ListParagraph"/>
        <w:numPr>
          <w:ilvl w:val="0"/>
          <w:numId w:val="7"/>
        </w:numPr>
        <w:spacing w:after="0" w:line="240" w:lineRule="auto"/>
        <w:rPr>
          <w:b/>
        </w:rPr>
      </w:pPr>
      <w:r w:rsidRPr="00401FDD">
        <w:rPr>
          <w:b/>
        </w:rPr>
        <w:t>Metabolomics:</w:t>
      </w:r>
      <w:r>
        <w:rPr>
          <w:b/>
        </w:rPr>
        <w:t xml:space="preserve"> </w:t>
      </w:r>
      <w:r>
        <w:t xml:space="preserve">metabolites, </w:t>
      </w:r>
      <w:r w:rsidR="00FC33E2">
        <w:t xml:space="preserve">often assessed using </w:t>
      </w:r>
      <w:r w:rsidR="00FF2CFE">
        <w:t>mass spectrometry tec</w:t>
      </w:r>
      <w:r w:rsidR="00430703">
        <w:t>h</w:t>
      </w:r>
      <w:r w:rsidR="00FF2CFE">
        <w:t>nology</w:t>
      </w:r>
    </w:p>
    <w:p w14:paraId="0DCC43EF" w14:textId="77777777" w:rsidR="00401FDD" w:rsidRDefault="00401FDD" w:rsidP="00401FDD">
      <w:pPr>
        <w:pStyle w:val="ListParagraph"/>
      </w:pPr>
    </w:p>
    <w:p w14:paraId="7056E137" w14:textId="1CB28C12" w:rsidR="00401FDD" w:rsidRPr="008274DC" w:rsidRDefault="00401FDD" w:rsidP="00B40A0E">
      <w:pPr>
        <w:pStyle w:val="ListParagraph"/>
        <w:numPr>
          <w:ilvl w:val="0"/>
          <w:numId w:val="7"/>
        </w:numPr>
        <w:spacing w:after="0" w:line="240" w:lineRule="auto"/>
        <w:rPr>
          <w:b/>
        </w:rPr>
      </w:pPr>
      <w:r w:rsidRPr="00401FDD">
        <w:rPr>
          <w:b/>
        </w:rPr>
        <w:t>Microbiome:</w:t>
      </w:r>
      <w:r>
        <w:rPr>
          <w:b/>
        </w:rPr>
        <w:t xml:space="preserve"> </w:t>
      </w:r>
      <w:r w:rsidR="00FF2CFE" w:rsidRPr="00A17CDD">
        <w:rPr>
          <w:bCs/>
        </w:rPr>
        <w:t>sequencing</w:t>
      </w:r>
      <w:r w:rsidR="00FF2CFE">
        <w:rPr>
          <w:b/>
        </w:rPr>
        <w:t xml:space="preserve"> </w:t>
      </w:r>
      <w:r w:rsidR="00FF2CFE" w:rsidRPr="00A17CDD">
        <w:rPr>
          <w:bCs/>
        </w:rPr>
        <w:t>of microbial species in the</w:t>
      </w:r>
      <w:r w:rsidR="00FF2CFE">
        <w:rPr>
          <w:b/>
        </w:rPr>
        <w:t xml:space="preserve"> </w:t>
      </w:r>
      <w:r>
        <w:t xml:space="preserve">gut </w:t>
      </w:r>
      <w:r w:rsidR="00FF2CFE">
        <w:t>or oral cavity</w:t>
      </w:r>
    </w:p>
    <w:p w14:paraId="500B006D" w14:textId="77777777" w:rsidR="008274DC" w:rsidRPr="008274DC" w:rsidRDefault="008274DC" w:rsidP="008274DC">
      <w:pPr>
        <w:pStyle w:val="ListParagraph"/>
        <w:rPr>
          <w:b/>
        </w:rPr>
      </w:pPr>
    </w:p>
    <w:p w14:paraId="511C42C4" w14:textId="77777777" w:rsidR="008274DC" w:rsidRPr="00401FDD" w:rsidRDefault="008274DC" w:rsidP="00B40A0E">
      <w:pPr>
        <w:pStyle w:val="ListParagraph"/>
        <w:numPr>
          <w:ilvl w:val="0"/>
          <w:numId w:val="7"/>
        </w:numPr>
        <w:spacing w:after="0" w:line="240" w:lineRule="auto"/>
        <w:rPr>
          <w:b/>
        </w:rPr>
      </w:pPr>
      <w:r>
        <w:rPr>
          <w:b/>
        </w:rPr>
        <w:t xml:space="preserve">Social: </w:t>
      </w:r>
      <w:r>
        <w:t>social environment (cultural, political, neighborhoods), social determinants</w:t>
      </w:r>
    </w:p>
    <w:p w14:paraId="443A4BFE" w14:textId="77777777" w:rsidR="00B40A0E" w:rsidRPr="00401FDD" w:rsidRDefault="00B40A0E" w:rsidP="00B40A0E">
      <w:pPr>
        <w:spacing w:after="0" w:line="240" w:lineRule="auto"/>
        <w:rPr>
          <w:b/>
        </w:rPr>
      </w:pPr>
    </w:p>
    <w:p w14:paraId="03862657" w14:textId="55D61C7D" w:rsidR="00B40A0E" w:rsidRPr="00401FDD" w:rsidRDefault="00B40A0E" w:rsidP="00B40A0E">
      <w:pPr>
        <w:pStyle w:val="ListParagraph"/>
        <w:numPr>
          <w:ilvl w:val="0"/>
          <w:numId w:val="7"/>
        </w:numPr>
        <w:spacing w:after="0" w:line="240" w:lineRule="auto"/>
        <w:rPr>
          <w:b/>
        </w:rPr>
      </w:pPr>
      <w:r w:rsidRPr="002303BA">
        <w:rPr>
          <w:b/>
        </w:rPr>
        <w:t xml:space="preserve">General:  </w:t>
      </w:r>
      <w:r w:rsidR="00D056A9">
        <w:t>A</w:t>
      </w:r>
      <w:r w:rsidRPr="00205F9B">
        <w:t xml:space="preserve">pplications that </w:t>
      </w:r>
      <w:r w:rsidR="00D056A9">
        <w:t xml:space="preserve">did not specify a </w:t>
      </w:r>
      <w:r w:rsidRPr="00205F9B">
        <w:t xml:space="preserve">specific </w:t>
      </w:r>
      <w:r w:rsidR="002B2DE3">
        <w:t>environmental exposure</w:t>
      </w:r>
      <w:r w:rsidRPr="00205F9B">
        <w:t xml:space="preserve"> and indicate</w:t>
      </w:r>
      <w:r w:rsidR="00D056A9">
        <w:t>d</w:t>
      </w:r>
      <w:r w:rsidRPr="00205F9B">
        <w:t xml:space="preserve"> they will examine</w:t>
      </w:r>
      <w:r w:rsidR="00D056A9">
        <w:t xml:space="preserve"> </w:t>
      </w:r>
      <w:proofErr w:type="spellStart"/>
      <w:r w:rsidR="00D056A9">
        <w:t>GxE</w:t>
      </w:r>
      <w:proofErr w:type="spellEnd"/>
      <w:r w:rsidRPr="00205F9B">
        <w:t xml:space="preserve"> interactions.</w:t>
      </w:r>
      <w:r w:rsidR="009C155C">
        <w:t xml:space="preserve"> Most of the funded applications that were coded in this category were methods grants examining </w:t>
      </w:r>
      <w:proofErr w:type="spellStart"/>
      <w:r w:rsidR="009C155C">
        <w:t>GxE</w:t>
      </w:r>
      <w:proofErr w:type="spellEnd"/>
      <w:r w:rsidR="009C155C">
        <w:t>.</w:t>
      </w:r>
    </w:p>
    <w:p w14:paraId="4C798D8E" w14:textId="77777777" w:rsidR="00401FDD" w:rsidRPr="00401FDD" w:rsidRDefault="00401FDD" w:rsidP="00401FDD">
      <w:pPr>
        <w:pStyle w:val="ListParagraph"/>
        <w:rPr>
          <w:b/>
        </w:rPr>
      </w:pPr>
    </w:p>
    <w:p w14:paraId="6E385208" w14:textId="2EE6F1B4" w:rsidR="00401FDD" w:rsidRPr="002303BA" w:rsidRDefault="00401FDD" w:rsidP="00D66441">
      <w:pPr>
        <w:pStyle w:val="ListParagraph"/>
        <w:spacing w:after="0" w:line="240" w:lineRule="auto"/>
        <w:rPr>
          <w:b/>
        </w:rPr>
      </w:pPr>
      <w:r>
        <w:t>.</w:t>
      </w:r>
    </w:p>
    <w:p w14:paraId="01AFE7C2" w14:textId="77777777" w:rsidR="00B40A0E" w:rsidRPr="002303BA" w:rsidRDefault="00B40A0E" w:rsidP="00B40A0E">
      <w:pPr>
        <w:spacing w:after="0" w:line="240" w:lineRule="auto"/>
        <w:rPr>
          <w:b/>
        </w:rPr>
      </w:pPr>
    </w:p>
    <w:p w14:paraId="545AB1DA" w14:textId="2D6A4084" w:rsidR="00B40A0E" w:rsidRPr="002F2592" w:rsidRDefault="00B40A0E" w:rsidP="00210092"/>
    <w:sectPr w:rsidR="00B40A0E" w:rsidRPr="002F2592" w:rsidSect="00A76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0714" w14:textId="77777777" w:rsidR="005178BA" w:rsidRDefault="005178BA" w:rsidP="00B40A0E">
      <w:pPr>
        <w:spacing w:after="0" w:line="240" w:lineRule="auto"/>
      </w:pPr>
      <w:r>
        <w:separator/>
      </w:r>
    </w:p>
  </w:endnote>
  <w:endnote w:type="continuationSeparator" w:id="0">
    <w:p w14:paraId="334106D6" w14:textId="77777777" w:rsidR="005178BA" w:rsidRDefault="005178BA" w:rsidP="00B4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67BE" w14:textId="77777777" w:rsidR="005178BA" w:rsidRDefault="005178BA" w:rsidP="00B40A0E">
      <w:pPr>
        <w:spacing w:after="0" w:line="240" w:lineRule="auto"/>
      </w:pPr>
      <w:r>
        <w:separator/>
      </w:r>
    </w:p>
  </w:footnote>
  <w:footnote w:type="continuationSeparator" w:id="0">
    <w:p w14:paraId="24BBA457" w14:textId="77777777" w:rsidR="005178BA" w:rsidRDefault="005178BA" w:rsidP="00B40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44"/>
    <w:multiLevelType w:val="hybridMultilevel"/>
    <w:tmpl w:val="D25C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C57"/>
    <w:multiLevelType w:val="hybridMultilevel"/>
    <w:tmpl w:val="23B2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77CC"/>
    <w:multiLevelType w:val="hybridMultilevel"/>
    <w:tmpl w:val="4F8A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96BE4"/>
    <w:multiLevelType w:val="hybridMultilevel"/>
    <w:tmpl w:val="CE5A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F44D4"/>
    <w:multiLevelType w:val="hybridMultilevel"/>
    <w:tmpl w:val="6A5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05E48"/>
    <w:multiLevelType w:val="hybridMultilevel"/>
    <w:tmpl w:val="771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722B"/>
    <w:multiLevelType w:val="hybridMultilevel"/>
    <w:tmpl w:val="6D7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D5C35"/>
    <w:multiLevelType w:val="hybridMultilevel"/>
    <w:tmpl w:val="370E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E573A"/>
    <w:multiLevelType w:val="hybridMultilevel"/>
    <w:tmpl w:val="4C1A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27B56"/>
    <w:multiLevelType w:val="hybridMultilevel"/>
    <w:tmpl w:val="AC3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A1498"/>
    <w:multiLevelType w:val="hybridMultilevel"/>
    <w:tmpl w:val="3F22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93D28"/>
    <w:multiLevelType w:val="hybridMultilevel"/>
    <w:tmpl w:val="ED4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82562"/>
    <w:multiLevelType w:val="hybridMultilevel"/>
    <w:tmpl w:val="C84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44249"/>
    <w:multiLevelType w:val="hybridMultilevel"/>
    <w:tmpl w:val="560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1F19"/>
    <w:multiLevelType w:val="hybridMultilevel"/>
    <w:tmpl w:val="BC5E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63065"/>
    <w:multiLevelType w:val="hybridMultilevel"/>
    <w:tmpl w:val="AE9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958B1"/>
    <w:multiLevelType w:val="hybridMultilevel"/>
    <w:tmpl w:val="767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16BED"/>
    <w:multiLevelType w:val="hybridMultilevel"/>
    <w:tmpl w:val="189C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D1AEB"/>
    <w:multiLevelType w:val="hybridMultilevel"/>
    <w:tmpl w:val="87D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93BC3"/>
    <w:multiLevelType w:val="hybridMultilevel"/>
    <w:tmpl w:val="F090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8"/>
  </w:num>
  <w:num w:numId="4">
    <w:abstractNumId w:val="14"/>
  </w:num>
  <w:num w:numId="5">
    <w:abstractNumId w:val="16"/>
  </w:num>
  <w:num w:numId="6">
    <w:abstractNumId w:val="10"/>
  </w:num>
  <w:num w:numId="7">
    <w:abstractNumId w:val="7"/>
  </w:num>
  <w:num w:numId="8">
    <w:abstractNumId w:val="3"/>
  </w:num>
  <w:num w:numId="9">
    <w:abstractNumId w:val="11"/>
  </w:num>
  <w:num w:numId="10">
    <w:abstractNumId w:val="6"/>
  </w:num>
  <w:num w:numId="11">
    <w:abstractNumId w:val="18"/>
  </w:num>
  <w:num w:numId="12">
    <w:abstractNumId w:val="0"/>
  </w:num>
  <w:num w:numId="13">
    <w:abstractNumId w:val="13"/>
  </w:num>
  <w:num w:numId="14">
    <w:abstractNumId w:val="12"/>
  </w:num>
  <w:num w:numId="15">
    <w:abstractNumId w:val="9"/>
  </w:num>
  <w:num w:numId="16">
    <w:abstractNumId w:val="17"/>
  </w:num>
  <w:num w:numId="17">
    <w:abstractNumId w:val="1"/>
  </w:num>
  <w:num w:numId="18">
    <w:abstractNumId w:val="19"/>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0E"/>
    <w:rsid w:val="000123C2"/>
    <w:rsid w:val="00012AB1"/>
    <w:rsid w:val="0004761F"/>
    <w:rsid w:val="00064FB9"/>
    <w:rsid w:val="00067F4D"/>
    <w:rsid w:val="00081087"/>
    <w:rsid w:val="00081853"/>
    <w:rsid w:val="00094241"/>
    <w:rsid w:val="000948A5"/>
    <w:rsid w:val="000C0ABF"/>
    <w:rsid w:val="000F69C9"/>
    <w:rsid w:val="00105B4D"/>
    <w:rsid w:val="00127B90"/>
    <w:rsid w:val="001703AC"/>
    <w:rsid w:val="00194FB1"/>
    <w:rsid w:val="001A3756"/>
    <w:rsid w:val="001C2C14"/>
    <w:rsid w:val="001E7C4B"/>
    <w:rsid w:val="001E7E7B"/>
    <w:rsid w:val="00210092"/>
    <w:rsid w:val="002B2DE3"/>
    <w:rsid w:val="002F21BA"/>
    <w:rsid w:val="00305E88"/>
    <w:rsid w:val="003239CE"/>
    <w:rsid w:val="00332291"/>
    <w:rsid w:val="003415AF"/>
    <w:rsid w:val="00376E62"/>
    <w:rsid w:val="0039217C"/>
    <w:rsid w:val="00401FDD"/>
    <w:rsid w:val="00430703"/>
    <w:rsid w:val="00465CEE"/>
    <w:rsid w:val="005178BA"/>
    <w:rsid w:val="005421DF"/>
    <w:rsid w:val="0056470E"/>
    <w:rsid w:val="0058506F"/>
    <w:rsid w:val="005E6521"/>
    <w:rsid w:val="006219B2"/>
    <w:rsid w:val="00662B69"/>
    <w:rsid w:val="0068136C"/>
    <w:rsid w:val="00694CD3"/>
    <w:rsid w:val="00704BAD"/>
    <w:rsid w:val="007178C6"/>
    <w:rsid w:val="00723F75"/>
    <w:rsid w:val="00730A19"/>
    <w:rsid w:val="00750E1C"/>
    <w:rsid w:val="00777D79"/>
    <w:rsid w:val="007A522F"/>
    <w:rsid w:val="007F1CBE"/>
    <w:rsid w:val="007F5621"/>
    <w:rsid w:val="00807D4D"/>
    <w:rsid w:val="008274DC"/>
    <w:rsid w:val="008601E0"/>
    <w:rsid w:val="008825BE"/>
    <w:rsid w:val="008A3763"/>
    <w:rsid w:val="008E024E"/>
    <w:rsid w:val="00924735"/>
    <w:rsid w:val="00937D3D"/>
    <w:rsid w:val="009945F7"/>
    <w:rsid w:val="009B697D"/>
    <w:rsid w:val="009C155C"/>
    <w:rsid w:val="00A07857"/>
    <w:rsid w:val="00A16506"/>
    <w:rsid w:val="00A17CDD"/>
    <w:rsid w:val="00A26BD9"/>
    <w:rsid w:val="00A45435"/>
    <w:rsid w:val="00A52F48"/>
    <w:rsid w:val="00A91C8F"/>
    <w:rsid w:val="00AA2479"/>
    <w:rsid w:val="00B40A0E"/>
    <w:rsid w:val="00B82242"/>
    <w:rsid w:val="00B911C1"/>
    <w:rsid w:val="00B974B8"/>
    <w:rsid w:val="00BB6004"/>
    <w:rsid w:val="00C256DA"/>
    <w:rsid w:val="00C63BCF"/>
    <w:rsid w:val="00CD29D1"/>
    <w:rsid w:val="00CD5507"/>
    <w:rsid w:val="00D056A9"/>
    <w:rsid w:val="00D26328"/>
    <w:rsid w:val="00D3483C"/>
    <w:rsid w:val="00D36D89"/>
    <w:rsid w:val="00D51CE0"/>
    <w:rsid w:val="00D66441"/>
    <w:rsid w:val="00D81900"/>
    <w:rsid w:val="00D8714C"/>
    <w:rsid w:val="00DC0001"/>
    <w:rsid w:val="00DD31F0"/>
    <w:rsid w:val="00E62B0E"/>
    <w:rsid w:val="00E71099"/>
    <w:rsid w:val="00E740C8"/>
    <w:rsid w:val="00E75DF3"/>
    <w:rsid w:val="00EA11CD"/>
    <w:rsid w:val="00EE0FD8"/>
    <w:rsid w:val="00EE2977"/>
    <w:rsid w:val="00EE70C8"/>
    <w:rsid w:val="00F25EFF"/>
    <w:rsid w:val="00F642A9"/>
    <w:rsid w:val="00FA05F1"/>
    <w:rsid w:val="00FB1171"/>
    <w:rsid w:val="00FC33E2"/>
    <w:rsid w:val="00FC4B2B"/>
    <w:rsid w:val="00FD3027"/>
    <w:rsid w:val="00FE28BD"/>
    <w:rsid w:val="00FE37E6"/>
    <w:rsid w:val="00FE7FD0"/>
    <w:rsid w:val="00FF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140C"/>
  <w15:chartTrackingRefBased/>
  <w15:docId w15:val="{A0CEB97E-16FA-45BB-B041-A3A3D5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A0E"/>
    <w:pPr>
      <w:ind w:left="720"/>
      <w:contextualSpacing/>
    </w:pPr>
  </w:style>
  <w:style w:type="paragraph" w:styleId="Header">
    <w:name w:val="header"/>
    <w:basedOn w:val="Normal"/>
    <w:link w:val="HeaderChar"/>
    <w:uiPriority w:val="99"/>
    <w:unhideWhenUsed/>
    <w:rsid w:val="00B4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0E"/>
    <w:rPr>
      <w:rFonts w:ascii="Calibri" w:eastAsia="Calibri" w:hAnsi="Calibri" w:cs="Times New Roman"/>
    </w:rPr>
  </w:style>
  <w:style w:type="paragraph" w:styleId="Footer">
    <w:name w:val="footer"/>
    <w:basedOn w:val="Normal"/>
    <w:link w:val="FooterChar"/>
    <w:uiPriority w:val="99"/>
    <w:unhideWhenUsed/>
    <w:rsid w:val="00B4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0E"/>
    <w:rPr>
      <w:rFonts w:ascii="Calibri" w:eastAsia="Calibri" w:hAnsi="Calibri" w:cs="Times New Roman"/>
    </w:rPr>
  </w:style>
  <w:style w:type="paragraph" w:styleId="BalloonText">
    <w:name w:val="Balloon Text"/>
    <w:basedOn w:val="Normal"/>
    <w:link w:val="BalloonTextChar"/>
    <w:uiPriority w:val="99"/>
    <w:semiHidden/>
    <w:unhideWhenUsed/>
    <w:rsid w:val="0054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D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3483C"/>
    <w:rPr>
      <w:sz w:val="16"/>
      <w:szCs w:val="16"/>
    </w:rPr>
  </w:style>
  <w:style w:type="paragraph" w:styleId="CommentText">
    <w:name w:val="annotation text"/>
    <w:basedOn w:val="Normal"/>
    <w:link w:val="CommentTextChar"/>
    <w:uiPriority w:val="99"/>
    <w:semiHidden/>
    <w:unhideWhenUsed/>
    <w:rsid w:val="00D3483C"/>
    <w:pPr>
      <w:spacing w:line="240" w:lineRule="auto"/>
    </w:pPr>
    <w:rPr>
      <w:sz w:val="20"/>
      <w:szCs w:val="20"/>
    </w:rPr>
  </w:style>
  <w:style w:type="character" w:customStyle="1" w:styleId="CommentTextChar">
    <w:name w:val="Comment Text Char"/>
    <w:basedOn w:val="DefaultParagraphFont"/>
    <w:link w:val="CommentText"/>
    <w:uiPriority w:val="99"/>
    <w:semiHidden/>
    <w:rsid w:val="00D3483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483C"/>
    <w:rPr>
      <w:b/>
      <w:bCs/>
    </w:rPr>
  </w:style>
  <w:style w:type="character" w:customStyle="1" w:styleId="CommentSubjectChar">
    <w:name w:val="Comment Subject Char"/>
    <w:basedOn w:val="CommentTextChar"/>
    <w:link w:val="CommentSubject"/>
    <w:uiPriority w:val="99"/>
    <w:semiHidden/>
    <w:rsid w:val="00D3483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9" ma:contentTypeDescription="Create a new document." ma:contentTypeScope="" ma:versionID="5dc8a2969a7c85943491a67065f35f57">
  <xsd:schema xmlns:xsd="http://www.w3.org/2001/XMLSchema" xmlns:xs="http://www.w3.org/2001/XMLSchema" xmlns:p="http://schemas.microsoft.com/office/2006/metadata/properties" xmlns:ns3="0b516ab0-04e4-4c88-99cd-523706b96b1a" xmlns:ns4="589fc4a7-9825-4918-b2d3-6237c872ffbf" targetNamespace="http://schemas.microsoft.com/office/2006/metadata/properties" ma:root="true" ma:fieldsID="0ca8a84e0780484c91284757144051e8" ns3:_="" ns4:_="">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3BCAD-B476-497A-B721-45E3A10161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DE7C5-4037-4A4D-935B-1F566354E0A9}">
  <ds:schemaRefs>
    <ds:schemaRef ds:uri="http://schemas.microsoft.com/sharepoint/v3/contenttype/forms"/>
  </ds:schemaRefs>
</ds:datastoreItem>
</file>

<file path=customXml/itemProps3.xml><?xml version="1.0" encoding="utf-8"?>
<ds:datastoreItem xmlns:ds="http://schemas.openxmlformats.org/officeDocument/2006/customXml" ds:itemID="{D35CAB49-3E91-4405-B645-6C536F1D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Ghazarian, Armen (NIH/NCI) [E]</dc:creator>
  <cp:keywords/>
  <dc:description/>
  <cp:lastModifiedBy>Mechanic, Leah (NIH/NCI) [E]</cp:lastModifiedBy>
  <cp:revision>2</cp:revision>
  <dcterms:created xsi:type="dcterms:W3CDTF">2020-12-01T22:52:00Z</dcterms:created>
  <dcterms:modified xsi:type="dcterms:W3CDTF">2020-12-01T22:52:00Z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