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DD" w:rsidRPr="00F85EDD" w:rsidRDefault="0043279A" w:rsidP="00F85EDD">
      <w:pPr>
        <w:rPr>
          <w:rFonts w:ascii="Times New Roman" w:eastAsiaTheme="minorEastAsia" w:hAnsi="Times New Roman" w:cstheme="minorBidi"/>
          <w:color w:val="000000" w:themeColor="text1"/>
          <w:sz w:val="24"/>
        </w:rPr>
      </w:pPr>
      <w:r w:rsidRPr="0043279A">
        <w:rPr>
          <w:rFonts w:ascii="Times New Roman" w:eastAsiaTheme="minorEastAsia" w:hAnsi="Times New Roman" w:cstheme="minorBidi"/>
          <w:color w:val="000000" w:themeColor="text1"/>
          <w:sz w:val="24"/>
        </w:rPr>
        <w:t xml:space="preserve">Supplementary </w:t>
      </w:r>
      <w:r w:rsidR="00F85EDD" w:rsidRPr="00F85EDD">
        <w:rPr>
          <w:rFonts w:ascii="Times New Roman" w:eastAsiaTheme="minorEastAsia" w:hAnsi="Times New Roman" w:cstheme="minorBidi"/>
          <w:color w:val="000000" w:themeColor="text1"/>
          <w:sz w:val="24"/>
        </w:rPr>
        <w:t xml:space="preserve">Table S6. </w:t>
      </w:r>
      <w:bookmarkStart w:id="0" w:name="OLE_LINK9"/>
      <w:bookmarkStart w:id="1" w:name="OLE_LINK10"/>
      <w:r w:rsidR="00F85EDD" w:rsidRPr="00F85EDD">
        <w:rPr>
          <w:rFonts w:ascii="Times New Roman" w:eastAsiaTheme="minorEastAsia" w:hAnsi="Times New Roman" w:cstheme="minorBidi"/>
          <w:color w:val="000000" w:themeColor="text1"/>
          <w:sz w:val="24"/>
        </w:rPr>
        <w:t>Association analyses between promising SNPs and CRC risk in Stage 2 and Combined Stage.</w:t>
      </w:r>
    </w:p>
    <w:bookmarkEnd w:id="0"/>
    <w:bookmarkEnd w:id="1"/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477"/>
        <w:gridCol w:w="1742"/>
        <w:gridCol w:w="1655"/>
        <w:gridCol w:w="1055"/>
        <w:gridCol w:w="243"/>
        <w:gridCol w:w="1477"/>
        <w:gridCol w:w="1742"/>
        <w:gridCol w:w="1655"/>
        <w:gridCol w:w="1055"/>
      </w:tblGrid>
      <w:tr w:rsidR="00F85EDD" w:rsidRPr="00F85EDD" w:rsidTr="004174CD">
        <w:trPr>
          <w:trHeight w:val="285"/>
          <w:jc w:val="center"/>
        </w:trPr>
        <w:tc>
          <w:tcPr>
            <w:tcW w:w="665" w:type="pct"/>
            <w:vMerge w:val="restart"/>
            <w:shd w:val="clear" w:color="auto" w:fill="auto"/>
            <w:noWrap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2124" w:type="pct"/>
            <w:gridSpan w:val="4"/>
            <w:tcBorders>
              <w:bottom w:val="single" w:sz="4" w:space="0" w:color="auto"/>
            </w:tcBorders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2"/>
                <w:szCs w:val="20"/>
              </w:rPr>
              <w:t>Stage 2</w:t>
            </w:r>
          </w:p>
        </w:tc>
        <w:tc>
          <w:tcPr>
            <w:tcW w:w="87" w:type="pct"/>
            <w:vMerge w:val="restart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1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2"/>
                <w:szCs w:val="20"/>
              </w:rPr>
              <w:t>Combined Stage</w:t>
            </w:r>
          </w:p>
        </w:tc>
      </w:tr>
      <w:tr w:rsidR="00F85EDD" w:rsidRPr="00F85EDD" w:rsidTr="004174CD">
        <w:trPr>
          <w:trHeight w:val="285"/>
          <w:jc w:val="center"/>
        </w:trPr>
        <w:tc>
          <w:tcPr>
            <w:tcW w:w="66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  <w:szCs w:val="20"/>
              </w:rPr>
              <w:t>Case No.(%)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  <w:szCs w:val="20"/>
              </w:rPr>
              <w:t>Control No.(%)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  <w:szCs w:val="20"/>
              </w:rPr>
              <w:t>OR(95%CI)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i/>
                <w:color w:val="000000" w:themeColor="text1"/>
                <w:kern w:val="0"/>
                <w:sz w:val="22"/>
                <w:szCs w:val="20"/>
              </w:rPr>
              <w:t>P</w:t>
            </w:r>
          </w:p>
        </w:tc>
        <w:tc>
          <w:tcPr>
            <w:tcW w:w="87" w:type="pct"/>
            <w:vMerge/>
            <w:tcBorders>
              <w:bottom w:val="single" w:sz="4" w:space="0" w:color="auto"/>
            </w:tcBorders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  <w:szCs w:val="20"/>
              </w:rPr>
              <w:t>Case No.(%)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  <w:szCs w:val="20"/>
              </w:rPr>
              <w:t>Control No.(%)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  <w:szCs w:val="20"/>
              </w:rPr>
              <w:t>OR(95%CI)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i/>
                <w:color w:val="000000" w:themeColor="text1"/>
                <w:kern w:val="0"/>
                <w:sz w:val="22"/>
                <w:szCs w:val="20"/>
              </w:rPr>
              <w:t>P</w:t>
            </w:r>
          </w:p>
        </w:tc>
      </w:tr>
      <w:tr w:rsidR="00F85EDD" w:rsidRPr="00F85EDD" w:rsidTr="004174CD">
        <w:trPr>
          <w:trHeight w:val="285"/>
          <w:jc w:val="center"/>
        </w:trPr>
        <w:tc>
          <w:tcPr>
            <w:tcW w:w="665" w:type="pct"/>
            <w:tcBorders>
              <w:top w:val="single" w:sz="4" w:space="0" w:color="auto"/>
            </w:tcBorders>
            <w:noWrap/>
            <w:vAlign w:val="center"/>
          </w:tcPr>
          <w:p w:rsidR="00F85EDD" w:rsidRPr="00F85EDD" w:rsidRDefault="00F85EDD" w:rsidP="00F85EDD">
            <w:pPr>
              <w:jc w:val="left"/>
              <w:rPr>
                <w:rFonts w:ascii="Times New Roman" w:eastAsiaTheme="minorEastAsia" w:hAnsi="Times New Roman" w:cstheme="minorBidi"/>
                <w:b/>
                <w:color w:val="000000" w:themeColor="text1"/>
                <w:kern w:val="0"/>
                <w:sz w:val="22"/>
              </w:rPr>
            </w:pPr>
            <w:r w:rsidRPr="0043279A">
              <w:rPr>
                <w:rFonts w:ascii="Times New Roman" w:eastAsiaTheme="minorEastAsia" w:hAnsi="Times New Roman" w:cstheme="minorBidi"/>
                <w:b/>
                <w:color w:val="000000" w:themeColor="text1"/>
                <w:kern w:val="0"/>
                <w:sz w:val="24"/>
              </w:rPr>
              <w:t>rs11064124</w:t>
            </w: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</w:tcBorders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</w:pPr>
          </w:p>
        </w:tc>
      </w:tr>
      <w:tr w:rsidR="00F85EDD" w:rsidRPr="00F85EDD" w:rsidTr="004174CD">
        <w:trPr>
          <w:trHeight w:val="285"/>
          <w:jc w:val="center"/>
        </w:trPr>
        <w:tc>
          <w:tcPr>
            <w:tcW w:w="665" w:type="pct"/>
            <w:noWrap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  <w:t>GG</w:t>
            </w: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2579 (62.8)</w:t>
            </w: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3734 (60.0)</w:t>
            </w: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1.00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" w:type="pct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3064 (63.0)</w:t>
            </w: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4179 (59.9)</w:t>
            </w: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1.00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85EDD" w:rsidRPr="00F85EDD" w:rsidTr="004174CD">
        <w:trPr>
          <w:trHeight w:val="285"/>
          <w:jc w:val="center"/>
        </w:trPr>
        <w:tc>
          <w:tcPr>
            <w:tcW w:w="665" w:type="pct"/>
            <w:noWrap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  <w:t>GA</w:t>
            </w: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1357 (33.1)</w:t>
            </w: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2124 (34.1)</w:t>
            </w: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0.93 (0.85-1.01)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8.38E-02</w:t>
            </w:r>
          </w:p>
        </w:tc>
        <w:tc>
          <w:tcPr>
            <w:tcW w:w="87" w:type="pct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1594 (32.8)</w:t>
            </w: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2384 (34.1)</w:t>
            </w: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b/>
                <w:color w:val="000000" w:themeColor="text1"/>
                <w:kern w:val="0"/>
                <w:sz w:val="20"/>
                <w:szCs w:val="20"/>
              </w:rPr>
              <w:t>0.92 (0.85-0.99)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2.66E-02</w:t>
            </w:r>
          </w:p>
        </w:tc>
      </w:tr>
      <w:tr w:rsidR="00F85EDD" w:rsidRPr="00F85EDD" w:rsidTr="004174CD">
        <w:trPr>
          <w:trHeight w:val="285"/>
          <w:jc w:val="center"/>
        </w:trPr>
        <w:tc>
          <w:tcPr>
            <w:tcW w:w="665" w:type="pct"/>
            <w:noWrap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  <w:t>AA</w:t>
            </w: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168 (4.1)</w:t>
            </w: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369 (5.9)</w:t>
            </w: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b/>
                <w:color w:val="000000" w:themeColor="text1"/>
                <w:kern w:val="0"/>
                <w:sz w:val="20"/>
                <w:szCs w:val="20"/>
              </w:rPr>
              <w:t>0.66 (0.55-0.80)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1.70E-05</w:t>
            </w:r>
          </w:p>
        </w:tc>
        <w:tc>
          <w:tcPr>
            <w:tcW w:w="87" w:type="pct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203 (4.2)</w:t>
            </w: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419 (6.0)</w:t>
            </w: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b/>
                <w:color w:val="000000" w:themeColor="text1"/>
                <w:kern w:val="0"/>
                <w:sz w:val="20"/>
                <w:szCs w:val="20"/>
              </w:rPr>
              <w:t>0.66 (0.56-0.79)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3.35E-06</w:t>
            </w:r>
          </w:p>
        </w:tc>
      </w:tr>
      <w:tr w:rsidR="00F85EDD" w:rsidRPr="00F85EDD" w:rsidTr="004174CD">
        <w:trPr>
          <w:trHeight w:val="285"/>
          <w:jc w:val="center"/>
        </w:trPr>
        <w:tc>
          <w:tcPr>
            <w:tcW w:w="665" w:type="pct"/>
            <w:noWrap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  <w:t>Dominant model</w:t>
            </w: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0.89 (0.82-0.96)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4.26E-03</w:t>
            </w:r>
          </w:p>
        </w:tc>
        <w:tc>
          <w:tcPr>
            <w:tcW w:w="87" w:type="pct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b/>
                <w:color w:val="000000" w:themeColor="text1"/>
                <w:kern w:val="0"/>
                <w:sz w:val="20"/>
                <w:szCs w:val="20"/>
              </w:rPr>
              <w:t>0.88 (0.81-0.95)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6.41E-04</w:t>
            </w:r>
          </w:p>
        </w:tc>
      </w:tr>
      <w:tr w:rsidR="00F85EDD" w:rsidRPr="00F85EDD" w:rsidTr="004174CD">
        <w:trPr>
          <w:trHeight w:val="285"/>
          <w:jc w:val="center"/>
        </w:trPr>
        <w:tc>
          <w:tcPr>
            <w:tcW w:w="665" w:type="pct"/>
            <w:noWrap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  <w:t>Recessive model</w:t>
            </w: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0.68 (0.56-0.82)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4.60E-05</w:t>
            </w:r>
          </w:p>
        </w:tc>
        <w:tc>
          <w:tcPr>
            <w:tcW w:w="87" w:type="pct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b/>
                <w:color w:val="000000" w:themeColor="text1"/>
                <w:kern w:val="0"/>
                <w:sz w:val="20"/>
                <w:szCs w:val="20"/>
              </w:rPr>
              <w:t>0.68 (0.58-0.81)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1.37E-05</w:t>
            </w:r>
          </w:p>
        </w:tc>
      </w:tr>
      <w:tr w:rsidR="00F85EDD" w:rsidRPr="00F85EDD" w:rsidTr="004174CD">
        <w:trPr>
          <w:trHeight w:val="285"/>
          <w:jc w:val="center"/>
        </w:trPr>
        <w:tc>
          <w:tcPr>
            <w:tcW w:w="665" w:type="pct"/>
            <w:noWrap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  <w:t>Additive model</w:t>
            </w: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0.88 (0.82-0.94)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1.01E-04</w:t>
            </w:r>
          </w:p>
        </w:tc>
        <w:tc>
          <w:tcPr>
            <w:tcW w:w="87" w:type="pct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b/>
                <w:color w:val="000000" w:themeColor="text1"/>
                <w:kern w:val="0"/>
                <w:sz w:val="20"/>
                <w:szCs w:val="20"/>
              </w:rPr>
              <w:t>0.87 (0.82-0.92)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8.67E-06</w:t>
            </w:r>
          </w:p>
        </w:tc>
      </w:tr>
      <w:tr w:rsidR="00F85EDD" w:rsidRPr="00F85EDD" w:rsidTr="004174CD">
        <w:trPr>
          <w:trHeight w:val="285"/>
          <w:jc w:val="center"/>
        </w:trPr>
        <w:tc>
          <w:tcPr>
            <w:tcW w:w="665" w:type="pct"/>
            <w:noWrap/>
            <w:vAlign w:val="center"/>
          </w:tcPr>
          <w:p w:rsidR="00F85EDD" w:rsidRPr="0043279A" w:rsidRDefault="00F85EDD" w:rsidP="00F85EDD">
            <w:pPr>
              <w:jc w:val="left"/>
              <w:rPr>
                <w:rFonts w:ascii="Times New Roman" w:eastAsiaTheme="minorEastAsia" w:hAnsi="Times New Roman" w:cstheme="minorBidi"/>
                <w:b/>
                <w:color w:val="000000" w:themeColor="text1"/>
                <w:kern w:val="0"/>
                <w:sz w:val="24"/>
              </w:rPr>
            </w:pPr>
            <w:r w:rsidRPr="0043279A">
              <w:rPr>
                <w:rFonts w:ascii="Times New Roman" w:eastAsiaTheme="minorEastAsia" w:hAnsi="Times New Roman" w:cstheme="minorBidi"/>
                <w:b/>
                <w:color w:val="000000" w:themeColor="text1"/>
                <w:kern w:val="0"/>
                <w:sz w:val="24"/>
              </w:rPr>
              <w:t>rs9783948</w:t>
            </w: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" w:type="pct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85EDD" w:rsidRPr="00F85EDD" w:rsidTr="004174CD">
        <w:trPr>
          <w:trHeight w:val="285"/>
          <w:jc w:val="center"/>
        </w:trPr>
        <w:tc>
          <w:tcPr>
            <w:tcW w:w="665" w:type="pct"/>
            <w:noWrap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  <w:t>GG</w:t>
            </w: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1700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(4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1.2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2606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(4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2.0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1.00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" w:type="pct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1984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(40.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2934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(4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2.2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1.00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85EDD" w:rsidRPr="00F85EDD" w:rsidTr="004174CD">
        <w:trPr>
          <w:trHeight w:val="285"/>
          <w:jc w:val="center"/>
        </w:trPr>
        <w:tc>
          <w:tcPr>
            <w:tcW w:w="665" w:type="pct"/>
            <w:noWrap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  <w:t>GA</w:t>
            </w: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1848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(4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4.8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2739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(44.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1.0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(0.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95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-1.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13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4.27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E-01</w:t>
            </w:r>
          </w:p>
        </w:tc>
        <w:tc>
          <w:tcPr>
            <w:tcW w:w="87" w:type="pct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2200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(45.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3058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(44.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1.0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(0.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98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-1.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15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1.26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E-01</w:t>
            </w:r>
          </w:p>
        </w:tc>
      </w:tr>
      <w:tr w:rsidR="00F85EDD" w:rsidRPr="00F85EDD" w:rsidTr="004174CD">
        <w:trPr>
          <w:trHeight w:val="285"/>
          <w:jc w:val="center"/>
        </w:trPr>
        <w:tc>
          <w:tcPr>
            <w:tcW w:w="665" w:type="pct"/>
            <w:noWrap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  <w:t>AA</w:t>
            </w: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578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(14.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866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(13.9)</w:t>
            </w: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1.0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(0.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91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-1.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16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  <w:t>7.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sz w:val="20"/>
                <w:szCs w:val="20"/>
              </w:rPr>
              <w:t>12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  <w:t>E-01</w:t>
            </w:r>
          </w:p>
        </w:tc>
        <w:tc>
          <w:tcPr>
            <w:tcW w:w="87" w:type="pct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682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(14.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964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(13.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1.0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(0.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93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-1.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17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sz w:val="20"/>
                <w:szCs w:val="20"/>
              </w:rPr>
              <w:t>4.51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  <w:t>E-01</w:t>
            </w:r>
          </w:p>
        </w:tc>
      </w:tr>
      <w:tr w:rsidR="00F85EDD" w:rsidRPr="00F85EDD" w:rsidTr="004174CD">
        <w:trPr>
          <w:trHeight w:val="285"/>
          <w:jc w:val="center"/>
        </w:trPr>
        <w:tc>
          <w:tcPr>
            <w:tcW w:w="665" w:type="pct"/>
            <w:noWrap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</w:pPr>
            <w:bookmarkStart w:id="2" w:name="_Hlk518508795"/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  <w:t>Dominant model</w:t>
            </w: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1.0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(0.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95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-1.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sz w:val="20"/>
                <w:szCs w:val="20"/>
              </w:rPr>
              <w:t>4.37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  <w:t>E-01</w:t>
            </w:r>
          </w:p>
        </w:tc>
        <w:tc>
          <w:tcPr>
            <w:tcW w:w="87" w:type="pct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1.0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 xml:space="preserve">6 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(0.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98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-1.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14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sz w:val="20"/>
                <w:szCs w:val="20"/>
              </w:rPr>
              <w:t>1.30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  <w:t>E-01</w:t>
            </w:r>
          </w:p>
        </w:tc>
      </w:tr>
      <w:tr w:rsidR="00F85EDD" w:rsidRPr="00F85EDD" w:rsidTr="004174CD">
        <w:trPr>
          <w:trHeight w:val="285"/>
          <w:jc w:val="center"/>
        </w:trPr>
        <w:tc>
          <w:tcPr>
            <w:tcW w:w="665" w:type="pct"/>
            <w:noWrap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  <w:t>Recessive model</w:t>
            </w: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1.0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(0.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90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-1.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13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sz w:val="20"/>
                <w:szCs w:val="20"/>
              </w:rPr>
              <w:t>9.29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  <w:t>E-01</w:t>
            </w:r>
          </w:p>
        </w:tc>
        <w:tc>
          <w:tcPr>
            <w:tcW w:w="87" w:type="pct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1.02 (0.76-1.37)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  <w:t>8.88E-01</w:t>
            </w:r>
          </w:p>
        </w:tc>
      </w:tr>
      <w:tr w:rsidR="00F85EDD" w:rsidRPr="00F85EDD" w:rsidTr="004174CD">
        <w:trPr>
          <w:trHeight w:val="285"/>
          <w:jc w:val="center"/>
        </w:trPr>
        <w:tc>
          <w:tcPr>
            <w:tcW w:w="665" w:type="pct"/>
            <w:noWrap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  <w:t>Additive model</w:t>
            </w: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1.0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(0.9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-1.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08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sz w:val="20"/>
                <w:szCs w:val="20"/>
              </w:rPr>
              <w:t>5.50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  <w:t>E-01</w:t>
            </w:r>
          </w:p>
        </w:tc>
        <w:tc>
          <w:tcPr>
            <w:tcW w:w="87" w:type="pct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1.0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(0.9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-1.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13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sz w:val="20"/>
                <w:szCs w:val="20"/>
              </w:rPr>
              <w:t>8.29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  <w:t>E-01</w:t>
            </w:r>
          </w:p>
        </w:tc>
      </w:tr>
      <w:bookmarkEnd w:id="2"/>
      <w:tr w:rsidR="00F85EDD" w:rsidRPr="00F85EDD" w:rsidTr="004174CD">
        <w:trPr>
          <w:trHeight w:val="285"/>
          <w:jc w:val="center"/>
        </w:trPr>
        <w:tc>
          <w:tcPr>
            <w:tcW w:w="665" w:type="pct"/>
            <w:noWrap/>
            <w:vAlign w:val="center"/>
          </w:tcPr>
          <w:p w:rsidR="00F85EDD" w:rsidRPr="0043279A" w:rsidRDefault="00F85EDD" w:rsidP="00F85EDD">
            <w:pPr>
              <w:jc w:val="left"/>
              <w:rPr>
                <w:rFonts w:ascii="Times New Roman" w:eastAsiaTheme="minorEastAsia" w:hAnsi="Times New Roman" w:cstheme="minorBidi"/>
                <w:b/>
                <w:color w:val="000000" w:themeColor="text1"/>
                <w:kern w:val="0"/>
                <w:sz w:val="24"/>
              </w:rPr>
            </w:pPr>
            <w:r w:rsidRPr="0043279A">
              <w:rPr>
                <w:rFonts w:ascii="Times New Roman" w:eastAsiaTheme="minorEastAsia" w:hAnsi="Times New Roman" w:cstheme="minorBidi"/>
                <w:b/>
                <w:color w:val="000000" w:themeColor="text1"/>
                <w:kern w:val="0"/>
                <w:sz w:val="24"/>
              </w:rPr>
              <w:t>rs659822</w:t>
            </w: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87" w:type="pct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</w:pPr>
          </w:p>
        </w:tc>
      </w:tr>
      <w:tr w:rsidR="00F85EDD" w:rsidRPr="00F85EDD" w:rsidTr="004174CD">
        <w:trPr>
          <w:trHeight w:val="285"/>
          <w:jc w:val="center"/>
        </w:trPr>
        <w:tc>
          <w:tcPr>
            <w:tcW w:w="665" w:type="pct"/>
            <w:noWrap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  <w:t>TT</w:t>
            </w: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3397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(8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.1)</w:t>
            </w: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5218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(83.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1.00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87" w:type="pct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4069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(8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4.8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5827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(83.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1.00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</w:pPr>
          </w:p>
        </w:tc>
      </w:tr>
      <w:tr w:rsidR="00F85EDD" w:rsidRPr="00F85EDD" w:rsidTr="004174CD">
        <w:trPr>
          <w:trHeight w:val="285"/>
          <w:jc w:val="center"/>
        </w:trPr>
        <w:tc>
          <w:tcPr>
            <w:tcW w:w="665" w:type="pct"/>
            <w:noWrap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  <w:t>TC</w:t>
            </w: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602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(14.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963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(15.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0.9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(0.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86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-1.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08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sz w:val="20"/>
                <w:szCs w:val="20"/>
              </w:rPr>
              <w:t>5.19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  <w:t>E-01</w:t>
            </w:r>
          </w:p>
        </w:tc>
        <w:tc>
          <w:tcPr>
            <w:tcW w:w="87" w:type="pct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683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(14.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11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03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(15.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b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b/>
                <w:color w:val="000000" w:themeColor="text1"/>
                <w:kern w:val="0"/>
                <w:sz w:val="20"/>
                <w:szCs w:val="20"/>
              </w:rPr>
              <w:t>0.</w:t>
            </w:r>
            <w:r w:rsidRPr="00F85EDD">
              <w:rPr>
                <w:rFonts w:ascii="Times New Roman" w:eastAsiaTheme="minorEastAsia" w:hAnsi="Times New Roman" w:cstheme="minorBidi" w:hint="eastAsia"/>
                <w:b/>
                <w:color w:val="000000" w:themeColor="text1"/>
                <w:kern w:val="0"/>
                <w:sz w:val="20"/>
                <w:szCs w:val="20"/>
              </w:rPr>
              <w:t>89</w:t>
            </w:r>
            <w:r w:rsidRPr="00F85EDD">
              <w:rPr>
                <w:rFonts w:ascii="Times New Roman" w:eastAsiaTheme="minorEastAsia" w:hAnsi="Times New Roman" w:cstheme="minorBidi"/>
                <w:b/>
                <w:color w:val="000000" w:themeColor="text1"/>
                <w:kern w:val="0"/>
                <w:sz w:val="20"/>
                <w:szCs w:val="20"/>
              </w:rPr>
              <w:t xml:space="preserve"> (0.</w:t>
            </w:r>
            <w:r w:rsidRPr="00F85EDD">
              <w:rPr>
                <w:rFonts w:ascii="Times New Roman" w:eastAsiaTheme="minorEastAsia" w:hAnsi="Times New Roman" w:cstheme="minorBidi" w:hint="eastAsia"/>
                <w:b/>
                <w:color w:val="000000" w:themeColor="text1"/>
                <w:kern w:val="0"/>
                <w:sz w:val="20"/>
                <w:szCs w:val="20"/>
              </w:rPr>
              <w:t>80</w:t>
            </w:r>
            <w:r w:rsidRPr="00F85EDD">
              <w:rPr>
                <w:rFonts w:ascii="Times New Roman" w:eastAsiaTheme="minorEastAsia" w:hAnsi="Times New Roman" w:cstheme="minorBidi"/>
                <w:b/>
                <w:color w:val="000000" w:themeColor="text1"/>
                <w:kern w:val="0"/>
                <w:sz w:val="20"/>
                <w:szCs w:val="20"/>
              </w:rPr>
              <w:t>-</w:t>
            </w:r>
            <w:r w:rsidRPr="00F85EDD">
              <w:rPr>
                <w:rFonts w:ascii="Times New Roman" w:eastAsiaTheme="minorEastAsia" w:hAnsi="Times New Roman" w:cstheme="minorBidi" w:hint="eastAsia"/>
                <w:b/>
                <w:color w:val="000000" w:themeColor="text1"/>
                <w:kern w:val="0"/>
                <w:sz w:val="20"/>
                <w:szCs w:val="20"/>
              </w:rPr>
              <w:t>0.99</w:t>
            </w:r>
            <w:r w:rsidRPr="00F85EDD">
              <w:rPr>
                <w:rFonts w:ascii="Times New Roman" w:eastAsiaTheme="minorEastAsia" w:hAnsi="Times New Roman" w:cstheme="minorBidi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b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b/>
                <w:color w:val="000000" w:themeColor="text1"/>
                <w:sz w:val="20"/>
                <w:szCs w:val="20"/>
              </w:rPr>
              <w:t>2.71</w:t>
            </w:r>
            <w:r w:rsidRPr="00F85EDD">
              <w:rPr>
                <w:rFonts w:ascii="Times New Roman" w:eastAsiaTheme="minorEastAsia" w:hAnsi="Times New Roman" w:cstheme="minorBidi"/>
                <w:b/>
                <w:color w:val="000000" w:themeColor="text1"/>
                <w:sz w:val="20"/>
                <w:szCs w:val="20"/>
              </w:rPr>
              <w:t>E-0</w:t>
            </w:r>
            <w:r w:rsidRPr="00F85EDD">
              <w:rPr>
                <w:rFonts w:ascii="Times New Roman" w:eastAsiaTheme="minorEastAsia" w:hAnsi="Times New Roman" w:cstheme="minorBidi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F85EDD" w:rsidRPr="00F85EDD" w:rsidTr="004174CD">
        <w:trPr>
          <w:trHeight w:val="285"/>
          <w:jc w:val="center"/>
        </w:trPr>
        <w:tc>
          <w:tcPr>
            <w:tcW w:w="665" w:type="pct"/>
            <w:noWrap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  <w:t>CC</w:t>
            </w: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40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1.0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82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(1.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0.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75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(0.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51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-1.10)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sz w:val="20"/>
                <w:szCs w:val="20"/>
              </w:rPr>
              <w:t>1.38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  <w:t>E-0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" w:type="pct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44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(0.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88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(1.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0.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72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(0.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50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-1.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03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sz w:val="20"/>
                <w:szCs w:val="20"/>
              </w:rPr>
              <w:t>7.06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  <w:t>E-02</w:t>
            </w:r>
          </w:p>
        </w:tc>
      </w:tr>
      <w:tr w:rsidR="00F85EDD" w:rsidRPr="00F85EDD" w:rsidTr="004174CD">
        <w:trPr>
          <w:trHeight w:val="285"/>
          <w:jc w:val="center"/>
        </w:trPr>
        <w:tc>
          <w:tcPr>
            <w:tcW w:w="665" w:type="pct"/>
            <w:noWrap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  <w:t>Dominant model</w:t>
            </w: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0.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95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(0.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85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-1.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06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  <w:t>3.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sz w:val="20"/>
                <w:szCs w:val="20"/>
              </w:rPr>
              <w:t>24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  <w:t>E-01</w:t>
            </w:r>
          </w:p>
        </w:tc>
        <w:tc>
          <w:tcPr>
            <w:tcW w:w="87" w:type="pct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b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b/>
                <w:color w:val="000000" w:themeColor="text1"/>
                <w:kern w:val="0"/>
                <w:sz w:val="20"/>
                <w:szCs w:val="20"/>
              </w:rPr>
              <w:t>0.8</w:t>
            </w:r>
            <w:r w:rsidRPr="00F85EDD">
              <w:rPr>
                <w:rFonts w:ascii="Times New Roman" w:eastAsiaTheme="minorEastAsia" w:hAnsi="Times New Roman" w:cstheme="minorBidi" w:hint="eastAsia"/>
                <w:b/>
                <w:color w:val="000000" w:themeColor="text1"/>
                <w:kern w:val="0"/>
                <w:sz w:val="20"/>
                <w:szCs w:val="20"/>
              </w:rPr>
              <w:t>8</w:t>
            </w:r>
            <w:r w:rsidRPr="00F85EDD">
              <w:rPr>
                <w:rFonts w:ascii="Times New Roman" w:eastAsiaTheme="minorEastAsia" w:hAnsi="Times New Roman" w:cstheme="minorBidi"/>
                <w:b/>
                <w:color w:val="000000" w:themeColor="text1"/>
                <w:kern w:val="0"/>
                <w:sz w:val="20"/>
                <w:szCs w:val="20"/>
              </w:rPr>
              <w:t xml:space="preserve"> (0.</w:t>
            </w:r>
            <w:r w:rsidRPr="00F85EDD">
              <w:rPr>
                <w:rFonts w:ascii="Times New Roman" w:eastAsiaTheme="minorEastAsia" w:hAnsi="Times New Roman" w:cstheme="minorBidi" w:hint="eastAsia"/>
                <w:b/>
                <w:color w:val="000000" w:themeColor="text1"/>
                <w:kern w:val="0"/>
                <w:sz w:val="20"/>
                <w:szCs w:val="20"/>
              </w:rPr>
              <w:t>79</w:t>
            </w:r>
            <w:r w:rsidRPr="00F85EDD">
              <w:rPr>
                <w:rFonts w:ascii="Times New Roman" w:eastAsiaTheme="minorEastAsia" w:hAnsi="Times New Roman" w:cstheme="minorBidi"/>
                <w:b/>
                <w:color w:val="000000" w:themeColor="text1"/>
                <w:kern w:val="0"/>
                <w:sz w:val="20"/>
                <w:szCs w:val="20"/>
              </w:rPr>
              <w:t>-</w:t>
            </w:r>
            <w:r w:rsidRPr="00F85EDD">
              <w:rPr>
                <w:rFonts w:ascii="Times New Roman" w:eastAsiaTheme="minorEastAsia" w:hAnsi="Times New Roman" w:cstheme="minorBidi" w:hint="eastAsia"/>
                <w:b/>
                <w:color w:val="000000" w:themeColor="text1"/>
                <w:kern w:val="0"/>
                <w:sz w:val="20"/>
                <w:szCs w:val="20"/>
              </w:rPr>
              <w:t>0.97</w:t>
            </w:r>
            <w:r w:rsidRPr="00F85EDD">
              <w:rPr>
                <w:rFonts w:ascii="Times New Roman" w:eastAsiaTheme="minorEastAsia" w:hAnsi="Times New Roman" w:cstheme="minorBidi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b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b/>
                <w:color w:val="000000" w:themeColor="text1"/>
                <w:sz w:val="20"/>
                <w:szCs w:val="20"/>
              </w:rPr>
              <w:t>1.04</w:t>
            </w:r>
            <w:r w:rsidRPr="00F85EDD">
              <w:rPr>
                <w:rFonts w:ascii="Times New Roman" w:eastAsiaTheme="minorEastAsia" w:hAnsi="Times New Roman" w:cstheme="minorBidi"/>
                <w:b/>
                <w:color w:val="000000" w:themeColor="text1"/>
                <w:sz w:val="20"/>
                <w:szCs w:val="20"/>
              </w:rPr>
              <w:t>E-0</w:t>
            </w:r>
            <w:r w:rsidRPr="00F85EDD">
              <w:rPr>
                <w:rFonts w:ascii="Times New Roman" w:eastAsiaTheme="minorEastAsia" w:hAnsi="Times New Roman" w:cstheme="minorBidi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F85EDD" w:rsidRPr="00F85EDD" w:rsidTr="004174CD">
        <w:trPr>
          <w:trHeight w:val="285"/>
          <w:jc w:val="center"/>
        </w:trPr>
        <w:tc>
          <w:tcPr>
            <w:tcW w:w="665" w:type="pct"/>
            <w:noWrap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  <w:t>Recessive model</w:t>
            </w: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0.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75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(0.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52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-1.1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sz w:val="20"/>
                <w:szCs w:val="20"/>
              </w:rPr>
              <w:t>1.46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  <w:t>E-0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7" w:type="pct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0.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73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(0.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51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-1.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05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sz w:val="20"/>
                <w:szCs w:val="20"/>
              </w:rPr>
              <w:t>8.65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  <w:t>E-02</w:t>
            </w:r>
          </w:p>
        </w:tc>
      </w:tr>
      <w:tr w:rsidR="00F85EDD" w:rsidRPr="00F85EDD" w:rsidTr="004174CD">
        <w:trPr>
          <w:trHeight w:val="285"/>
          <w:jc w:val="center"/>
        </w:trPr>
        <w:tc>
          <w:tcPr>
            <w:tcW w:w="665" w:type="pct"/>
            <w:noWrap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2"/>
              </w:rPr>
              <w:t>Additive model</w:t>
            </w: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0.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94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 xml:space="preserve"> (0.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85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-1.0</w:t>
            </w: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color w:val="000000" w:themeColor="text1"/>
                <w:sz w:val="20"/>
                <w:szCs w:val="20"/>
              </w:rPr>
              <w:t>2.03</w:t>
            </w:r>
            <w:r w:rsidRPr="00F85EDD"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</w:rPr>
              <w:t>E-01</w:t>
            </w:r>
          </w:p>
        </w:tc>
        <w:tc>
          <w:tcPr>
            <w:tcW w:w="87" w:type="pct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F85EDD" w:rsidRPr="00F85EDD" w:rsidRDefault="00F85EDD" w:rsidP="00F85EDD">
            <w:pPr>
              <w:widowControl/>
              <w:jc w:val="center"/>
              <w:rPr>
                <w:rFonts w:ascii="Times New Roman" w:eastAsiaTheme="minorEastAsia" w:hAnsi="Times New Roman" w:cstheme="minorBidi"/>
                <w:b/>
                <w:color w:val="000000" w:themeColor="text1"/>
                <w:kern w:val="0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/>
                <w:b/>
                <w:color w:val="000000" w:themeColor="text1"/>
                <w:kern w:val="0"/>
                <w:sz w:val="20"/>
                <w:szCs w:val="20"/>
              </w:rPr>
              <w:t>0.</w:t>
            </w:r>
            <w:r w:rsidRPr="00F85EDD">
              <w:rPr>
                <w:rFonts w:ascii="Times New Roman" w:eastAsiaTheme="minorEastAsia" w:hAnsi="Times New Roman" w:cstheme="minorBidi" w:hint="eastAsia"/>
                <w:b/>
                <w:color w:val="000000" w:themeColor="text1"/>
                <w:kern w:val="0"/>
                <w:sz w:val="20"/>
                <w:szCs w:val="20"/>
              </w:rPr>
              <w:t>88</w:t>
            </w:r>
            <w:r w:rsidRPr="00F85EDD">
              <w:rPr>
                <w:rFonts w:ascii="Times New Roman" w:eastAsiaTheme="minorEastAsia" w:hAnsi="Times New Roman" w:cstheme="minorBidi"/>
                <w:b/>
                <w:color w:val="000000" w:themeColor="text1"/>
                <w:kern w:val="0"/>
                <w:sz w:val="20"/>
                <w:szCs w:val="20"/>
              </w:rPr>
              <w:t xml:space="preserve"> (0.</w:t>
            </w:r>
            <w:r w:rsidRPr="00F85EDD">
              <w:rPr>
                <w:rFonts w:ascii="Times New Roman" w:eastAsiaTheme="minorEastAsia" w:hAnsi="Times New Roman" w:cstheme="minorBidi" w:hint="eastAsia"/>
                <w:b/>
                <w:color w:val="000000" w:themeColor="text1"/>
                <w:kern w:val="0"/>
                <w:sz w:val="20"/>
                <w:szCs w:val="20"/>
              </w:rPr>
              <w:t>80</w:t>
            </w:r>
            <w:r w:rsidRPr="00F85EDD">
              <w:rPr>
                <w:rFonts w:ascii="Times New Roman" w:eastAsiaTheme="minorEastAsia" w:hAnsi="Times New Roman" w:cstheme="minorBidi"/>
                <w:b/>
                <w:color w:val="000000" w:themeColor="text1"/>
                <w:kern w:val="0"/>
                <w:sz w:val="20"/>
                <w:szCs w:val="20"/>
              </w:rPr>
              <w:t>-</w:t>
            </w:r>
            <w:r w:rsidRPr="00F85EDD">
              <w:rPr>
                <w:rFonts w:ascii="Times New Roman" w:eastAsiaTheme="minorEastAsia" w:hAnsi="Times New Roman" w:cstheme="minorBidi" w:hint="eastAsia"/>
                <w:b/>
                <w:color w:val="000000" w:themeColor="text1"/>
                <w:kern w:val="0"/>
                <w:sz w:val="20"/>
                <w:szCs w:val="20"/>
              </w:rPr>
              <w:t>0.96</w:t>
            </w:r>
            <w:r w:rsidRPr="00F85EDD">
              <w:rPr>
                <w:rFonts w:ascii="Times New Roman" w:eastAsiaTheme="minorEastAsia" w:hAnsi="Times New Roman" w:cstheme="minorBidi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78" w:type="pct"/>
            <w:vAlign w:val="center"/>
          </w:tcPr>
          <w:p w:rsidR="00F85EDD" w:rsidRPr="00F85EDD" w:rsidRDefault="00F85EDD" w:rsidP="00F85EDD">
            <w:pPr>
              <w:jc w:val="center"/>
              <w:rPr>
                <w:rFonts w:ascii="Times New Roman" w:eastAsiaTheme="minorEastAsia" w:hAnsi="Times New Roman" w:cstheme="minorBidi"/>
                <w:b/>
                <w:color w:val="000000" w:themeColor="text1"/>
                <w:sz w:val="20"/>
                <w:szCs w:val="20"/>
              </w:rPr>
            </w:pPr>
            <w:r w:rsidRPr="00F85EDD">
              <w:rPr>
                <w:rFonts w:ascii="Times New Roman" w:eastAsiaTheme="minorEastAsia" w:hAnsi="Times New Roman" w:cstheme="minorBidi" w:hint="eastAsia"/>
                <w:b/>
                <w:color w:val="000000" w:themeColor="text1"/>
                <w:sz w:val="20"/>
                <w:szCs w:val="20"/>
              </w:rPr>
              <w:t>5.73</w:t>
            </w:r>
            <w:r w:rsidRPr="00F85EDD">
              <w:rPr>
                <w:rFonts w:ascii="Times New Roman" w:eastAsiaTheme="minorEastAsia" w:hAnsi="Times New Roman" w:cstheme="minorBidi"/>
                <w:b/>
                <w:color w:val="000000" w:themeColor="text1"/>
                <w:sz w:val="20"/>
                <w:szCs w:val="20"/>
              </w:rPr>
              <w:t>E-0</w:t>
            </w:r>
            <w:r w:rsidRPr="00F85EDD">
              <w:rPr>
                <w:rFonts w:ascii="Times New Roman" w:eastAsiaTheme="minorEastAsia" w:hAnsi="Times New Roman" w:cstheme="minorBidi" w:hint="eastAsia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F85EDD" w:rsidRPr="00F85EDD" w:rsidRDefault="00F85EDD" w:rsidP="00F85EDD">
      <w:pPr>
        <w:rPr>
          <w:rFonts w:ascii="Times New Roman" w:eastAsiaTheme="minorEastAsia" w:hAnsi="Times New Roman" w:cstheme="minorBidi"/>
          <w:color w:val="000000" w:themeColor="text1"/>
          <w:sz w:val="24"/>
        </w:rPr>
      </w:pPr>
      <w:r w:rsidRPr="00F85EDD">
        <w:rPr>
          <w:rFonts w:ascii="Times New Roman" w:eastAsiaTheme="minorEastAsia" w:hAnsi="Times New Roman" w:cstheme="minorBidi"/>
          <w:color w:val="000000" w:themeColor="text1"/>
          <w:sz w:val="24"/>
        </w:rPr>
        <w:t>Abbreviations: OR, odds ratio; 95% CI, 95% confidence interval.</w:t>
      </w:r>
    </w:p>
    <w:p w:rsidR="0063013C" w:rsidRPr="00F85EDD" w:rsidRDefault="00F85EDD" w:rsidP="00F85EDD">
      <w:r w:rsidRPr="00F85EDD">
        <w:rPr>
          <w:rFonts w:ascii="Times New Roman" w:eastAsiaTheme="minorEastAsia" w:hAnsi="Times New Roman" w:cstheme="minorBidi"/>
          <w:color w:val="000000" w:themeColor="text1"/>
          <w:sz w:val="24"/>
        </w:rPr>
        <w:t xml:space="preserve">All the </w:t>
      </w:r>
      <w:r w:rsidRPr="00F85EDD">
        <w:rPr>
          <w:rFonts w:ascii="Times New Roman" w:eastAsiaTheme="minorEastAsia" w:hAnsi="Times New Roman" w:cstheme="minorBidi"/>
          <w:i/>
          <w:color w:val="000000" w:themeColor="text1"/>
          <w:sz w:val="24"/>
        </w:rPr>
        <w:t>P</w:t>
      </w:r>
      <w:r w:rsidRPr="00F85EDD">
        <w:rPr>
          <w:rFonts w:ascii="Times New Roman" w:eastAsiaTheme="minorEastAsia" w:hAnsi="Times New Roman" w:cstheme="minorBidi"/>
          <w:color w:val="000000" w:themeColor="text1"/>
          <w:sz w:val="24"/>
        </w:rPr>
        <w:t xml:space="preserve"> values were adjusted by gender, age group, smoking status and drinking status. The nominal significant results were in bold.</w:t>
      </w:r>
    </w:p>
    <w:sectPr w:rsidR="0063013C" w:rsidRPr="00F85EDD" w:rsidSect="00E27B03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19" w:rsidRDefault="00FC6219" w:rsidP="00EA519F">
      <w:r>
        <w:separator/>
      </w:r>
    </w:p>
  </w:endnote>
  <w:endnote w:type="continuationSeparator" w:id="0">
    <w:p w:rsidR="00FC6219" w:rsidRDefault="00FC6219" w:rsidP="00EA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19" w:rsidRDefault="00FC6219" w:rsidP="00EA519F">
      <w:r>
        <w:separator/>
      </w:r>
    </w:p>
  </w:footnote>
  <w:footnote w:type="continuationSeparator" w:id="0">
    <w:p w:rsidR="00FC6219" w:rsidRDefault="00FC6219" w:rsidP="00EA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9A"/>
    <w:rsid w:val="002D7849"/>
    <w:rsid w:val="00361916"/>
    <w:rsid w:val="0043279A"/>
    <w:rsid w:val="0063013C"/>
    <w:rsid w:val="00A3299A"/>
    <w:rsid w:val="00AD0A95"/>
    <w:rsid w:val="00B37EEC"/>
    <w:rsid w:val="00E27B03"/>
    <w:rsid w:val="00E60A0A"/>
    <w:rsid w:val="00EA519F"/>
    <w:rsid w:val="00F67796"/>
    <w:rsid w:val="00F85EDD"/>
    <w:rsid w:val="00F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395F2-FE64-471B-B58F-7C568523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1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288</Words>
  <Characters>1648</Characters>
  <Application>Microsoft Office Word</Application>
  <DocSecurity>0</DocSecurity>
  <Lines>13</Lines>
  <Paragraphs>3</Paragraphs>
  <ScaleCrop>false</ScaleCrop>
  <Company>kjt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mookjt</dc:creator>
  <cp:keywords/>
  <dc:description/>
  <cp:lastModifiedBy>mookjt</cp:lastModifiedBy>
  <cp:revision>7</cp:revision>
  <dcterms:created xsi:type="dcterms:W3CDTF">2019-03-15T13:47:00Z</dcterms:created>
  <dcterms:modified xsi:type="dcterms:W3CDTF">2019-09-11T16:03:00Z</dcterms:modified>
</cp:coreProperties>
</file>