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CC89F" w14:textId="77777777" w:rsidR="00355C07" w:rsidRDefault="00355C07">
      <w:pPr>
        <w:rPr>
          <w:b/>
        </w:rPr>
      </w:pPr>
      <w:r>
        <w:rPr>
          <w:b/>
        </w:rPr>
        <w:t>Grossly Uninvolved Tissue</w:t>
      </w:r>
    </w:p>
    <w:p w14:paraId="5FF935C1" w14:textId="29A96974" w:rsidR="00355C07" w:rsidRPr="00355C07" w:rsidRDefault="00355C07">
      <w:r w:rsidRPr="00355C07">
        <w:rPr>
          <w:rFonts w:eastAsia="Times New Roman"/>
        </w:rPr>
        <w:t>Grossly uninvolved’ (GU) tissue refers to tissue that is beyond the margins of the tumor and pathologically determined to contain 0% tumor. In the absence of peripheral blood, DNA extracted from GU tissue can be used for germline (inherited) DNA. To establish adequacy of this presumption, we undertook a pilot study to compare high-density SNP genotyping (Illumina 610Q assay that we used for the SGS) from peripheral blood and formalin-fixed paraffin-embedded (FFPE) GU DNA. A</w:t>
      </w:r>
      <w:r w:rsidR="00FC4953">
        <w:rPr>
          <w:rFonts w:eastAsia="Times New Roman"/>
        </w:rPr>
        <w:t>ll</w:t>
      </w:r>
      <w:r w:rsidRPr="00355C07">
        <w:rPr>
          <w:rFonts w:eastAsia="Times New Roman"/>
        </w:rPr>
        <w:t xml:space="preserve"> FFPE GU material </w:t>
      </w:r>
      <w:r w:rsidR="00FC4953">
        <w:rPr>
          <w:rFonts w:eastAsia="Times New Roman"/>
        </w:rPr>
        <w:t>wa</w:t>
      </w:r>
      <w:r w:rsidRPr="00355C07">
        <w:rPr>
          <w:rFonts w:eastAsia="Times New Roman"/>
        </w:rPr>
        <w:t xml:space="preserve">s reviewed by a pathologist. We selected 10 breast cancer cases with both peripheral blood DNA and GU FFPE material available. </w:t>
      </w:r>
      <w:r w:rsidRPr="00355C07">
        <w:rPr>
          <w:rFonts w:eastAsia="Times New Roman"/>
          <w:iCs/>
        </w:rPr>
        <w:t>The FFPE material for these 10 women were fixed between 1975 and 2006, a range that is representative of the blocks in the pedigrees.</w:t>
      </w:r>
      <w:r w:rsidRPr="00355C07">
        <w:rPr>
          <w:rFonts w:eastAsia="Times New Roman"/>
        </w:rPr>
        <w:t xml:space="preserve"> We genotyped 20 samples: 10 paired blood DNA-GU FFPE tissue DNA. The concentration (</w:t>
      </w:r>
      <w:proofErr w:type="spellStart"/>
      <w:r w:rsidRPr="00355C07">
        <w:rPr>
          <w:rFonts w:eastAsia="Times New Roman"/>
        </w:rPr>
        <w:t>PicoGreen</w:t>
      </w:r>
      <w:proofErr w:type="spellEnd"/>
      <w:r w:rsidRPr="00355C07">
        <w:rPr>
          <w:rFonts w:eastAsia="Times New Roman"/>
        </w:rPr>
        <w:t>) and volume of DNA from GU material was very good on average, although the range was wide</w:t>
      </w:r>
      <w:r w:rsidR="00E34B46">
        <w:rPr>
          <w:rFonts w:eastAsia="Times New Roman"/>
        </w:rPr>
        <w:t xml:space="preserve"> (</w:t>
      </w:r>
      <w:proofErr w:type="spellStart"/>
      <w:proofErr w:type="gramStart"/>
      <w:r w:rsidRPr="00355C07">
        <w:rPr>
          <w:rFonts w:eastAsia="Times New Roman"/>
        </w:rPr>
        <w:t>Concentration</w:t>
      </w:r>
      <w:r w:rsidR="00E34B46">
        <w:rPr>
          <w:rFonts w:eastAsia="Times New Roman"/>
        </w:rPr>
        <w:t>:</w:t>
      </w:r>
      <w:r w:rsidRPr="00355C07">
        <w:rPr>
          <w:rFonts w:eastAsia="Times New Roman"/>
        </w:rPr>
        <w:t>average</w:t>
      </w:r>
      <w:proofErr w:type="spellEnd"/>
      <w:proofErr w:type="gramEnd"/>
      <w:r w:rsidRPr="00355C07">
        <w:rPr>
          <w:rFonts w:eastAsia="Times New Roman"/>
        </w:rPr>
        <w:t xml:space="preserve"> 47.8 ng/</w:t>
      </w:r>
      <w:proofErr w:type="spellStart"/>
      <w:r w:rsidRPr="00355C07">
        <w:rPr>
          <w:rFonts w:eastAsia="Times New Roman"/>
        </w:rPr>
        <w:t>μl</w:t>
      </w:r>
      <w:proofErr w:type="spellEnd"/>
      <w:r w:rsidRPr="00355C07">
        <w:rPr>
          <w:rFonts w:eastAsia="Times New Roman"/>
        </w:rPr>
        <w:t>, range 9.3-152.2 ng/</w:t>
      </w:r>
      <w:proofErr w:type="spellStart"/>
      <w:r w:rsidRPr="00355C07">
        <w:rPr>
          <w:rFonts w:eastAsia="Times New Roman"/>
        </w:rPr>
        <w:t>μl</w:t>
      </w:r>
      <w:proofErr w:type="spellEnd"/>
      <w:r w:rsidR="00E34B46">
        <w:rPr>
          <w:rFonts w:eastAsia="Times New Roman"/>
        </w:rPr>
        <w:t xml:space="preserve">; </w:t>
      </w:r>
      <w:r w:rsidRPr="00355C07">
        <w:rPr>
          <w:rFonts w:eastAsia="Times New Roman"/>
        </w:rPr>
        <w:t xml:space="preserve"> Volume</w:t>
      </w:r>
      <w:r w:rsidR="00E34B46">
        <w:rPr>
          <w:rFonts w:eastAsia="Times New Roman"/>
        </w:rPr>
        <w:t xml:space="preserve">: </w:t>
      </w:r>
      <w:r w:rsidRPr="00355C07">
        <w:rPr>
          <w:rFonts w:eastAsia="Times New Roman"/>
        </w:rPr>
        <w:t xml:space="preserve">average 1,818 ng, range 353-5,784 ng). As expected, the quality of the FFPE DNA was lower than for the blood samples, as indicated by wider scatter on the allele calling plots, however, the algorithm was able to call genotypes for the vast majority of SNPs and all samples produced results. Genotype call-rates for the GU DNA samples ranged from 67.0% to 99.2% (average 90.6%; 67.0% was an extreme outlier). Of the called alleles, the genotypes from blood and FFPE GU DNA were extremely concordant (average 99.6%, range 98.3-100.0%) indicating that when a call was made that it was accurate. On average, 498,300 accurate SNP calls were made for GU DNA samples. </w:t>
      </w:r>
      <w:r w:rsidRPr="00355C07">
        <w:rPr>
          <w:rFonts w:eastAsia="Times New Roman"/>
          <w:iCs/>
        </w:rPr>
        <w:t>Similar results have been found in GU FFPE samples from prostate</w:t>
      </w:r>
      <w:r>
        <w:rPr>
          <w:rFonts w:eastAsia="Times New Roman"/>
          <w:iCs/>
        </w:rPr>
        <w:t xml:space="preserve"> tumors using a similar protocol.</w:t>
      </w:r>
      <w:r>
        <w:rPr>
          <w:rFonts w:eastAsia="Times New Roman"/>
          <w:iCs/>
        </w:rPr>
        <w:fldChar w:fldCharType="begin"/>
      </w:r>
      <w:r>
        <w:rPr>
          <w:rFonts w:eastAsia="Times New Roman"/>
          <w:iCs/>
        </w:rPr>
        <w:instrText xml:space="preserve"> ADDIN EN.CITE &lt;EndNote&gt;&lt;Cite&gt;&lt;Author&gt;Cannon-Albright&lt;/Author&gt;&lt;Year&gt;2011&lt;/Year&gt;&lt;RecNum&gt;16&lt;/RecNum&gt;&lt;DisplayText&gt;(1)&lt;/DisplayText&gt;&lt;record&gt;&lt;rec-number&gt;16&lt;/rec-number&gt;&lt;foreign-keys&gt;&lt;key app="EN" db-id="xtvdzxesmp5ps6ewdfqpd9rbzwrr5zs9vzrz" timestamp="1574881707"&gt;16&lt;/key&gt;&lt;/foreign-keys&gt;&lt;ref-type name="Journal Article"&gt;17&lt;/ref-type&gt;&lt;contributors&gt;&lt;authors&gt;&lt;author&gt;Cannon-Albright, L. A.&lt;/author&gt;&lt;author&gt;Cooper, K. G.&lt;/author&gt;&lt;author&gt;Georgelas, A.&lt;/author&gt;&lt;author&gt;Bernard, P. S.&lt;/author&gt;&lt;/authors&gt;&lt;/contributors&gt;&lt;auth-address&gt;Genetic Epidemiology, Department of Internal Medicine, University of Utah School of Medicine, Salt Lake City, UT, USA. lisa.albright@utah.edu.&lt;/auth-address&gt;&lt;titles&gt;&lt;title&gt;High quality and quantity Genome-wide germline genotypes from FFPE normal tissue&lt;/title&gt;&lt;secondary-title&gt;BMC Res Notes&lt;/secondary-title&gt;&lt;alt-title&gt;BMC research notes&lt;/alt-title&gt;&lt;/titles&gt;&lt;periodical&gt;&lt;full-title&gt;BMC Res Notes&lt;/full-title&gt;&lt;abbr-1&gt;BMC research notes&lt;/abbr-1&gt;&lt;/periodical&gt;&lt;alt-periodical&gt;&lt;full-title&gt;BMC Res Notes&lt;/full-title&gt;&lt;abbr-1&gt;BMC research notes&lt;/abbr-1&gt;&lt;/alt-periodical&gt;&lt;pages&gt;159&lt;/pages&gt;&lt;volume&gt;4&lt;/volume&gt;&lt;edition&gt;2011/05/28&lt;/edition&gt;&lt;dates&gt;&lt;year&gt;2011&lt;/year&gt;&lt;pub-dates&gt;&lt;date&gt;May 26&lt;/date&gt;&lt;/pub-dates&gt;&lt;/dates&gt;&lt;isbn&gt;1756-0500&lt;/isbn&gt;&lt;accession-num&gt;21615924&lt;/accession-num&gt;&lt;urls&gt;&lt;/urls&gt;&lt;custom2&gt;PMC3123588&lt;/custom2&gt;&lt;electronic-resource-num&gt;10.1186/1756-0500-4-159&lt;/electronic-resource-num&gt;&lt;remote-database-provider&gt;NLM&lt;/remote-database-provider&gt;&lt;language&gt;eng&lt;/language&gt;&lt;/record&gt;&lt;/Cite&gt;&lt;/EndNote&gt;</w:instrText>
      </w:r>
      <w:r>
        <w:rPr>
          <w:rFonts w:eastAsia="Times New Roman"/>
          <w:iCs/>
        </w:rPr>
        <w:fldChar w:fldCharType="separate"/>
      </w:r>
      <w:r>
        <w:rPr>
          <w:rFonts w:eastAsia="Times New Roman"/>
          <w:iCs/>
          <w:noProof/>
        </w:rPr>
        <w:t>(1)</w:t>
      </w:r>
      <w:r>
        <w:rPr>
          <w:rFonts w:eastAsia="Times New Roman"/>
          <w:iCs/>
        </w:rPr>
        <w:fldChar w:fldCharType="end"/>
      </w:r>
      <w:r w:rsidRPr="00355C07">
        <w:rPr>
          <w:rFonts w:eastAsia="Times New Roman"/>
        </w:rPr>
        <w:br/>
      </w:r>
    </w:p>
    <w:p w14:paraId="76901D94" w14:textId="77777777" w:rsidR="00882C9C" w:rsidRDefault="00882C9C">
      <w:r>
        <w:rPr>
          <w:b/>
        </w:rPr>
        <w:t>Calculating Standardized Incidence Risk (SIR) Ratios</w:t>
      </w:r>
    </w:p>
    <w:p w14:paraId="11CBA942" w14:textId="77777777" w:rsidR="00882C9C" w:rsidRDefault="00882C9C" w:rsidP="00882C9C">
      <w:pPr>
        <w:spacing w:after="0"/>
      </w:pPr>
      <w:r>
        <w:rPr>
          <w:u w:val="single"/>
        </w:rPr>
        <w:t>For each index family:</w:t>
      </w:r>
    </w:p>
    <w:p w14:paraId="4D29116F" w14:textId="77777777" w:rsidR="00882C9C" w:rsidRPr="00DA1497" w:rsidRDefault="00882C9C" w:rsidP="00882C9C">
      <w:pPr>
        <w:spacing w:after="0"/>
      </w:pPr>
    </w:p>
    <w:p w14:paraId="3B8E9B9A" w14:textId="77777777" w:rsidR="00882C9C" w:rsidRDefault="00882C9C" w:rsidP="00882C9C">
      <w:pPr>
        <w:spacing w:after="0"/>
      </w:pPr>
      <w:r>
        <w:t>The standardized incidence ratio (SIR) for a cancer group D is estimated by the ratio of observed O and expected cases E. E is calculated as:</w:t>
      </w:r>
    </w:p>
    <w:p w14:paraId="68F43956" w14:textId="77777777" w:rsidR="00882C9C" w:rsidRDefault="00882C9C" w:rsidP="00882C9C">
      <w:pPr>
        <w:spacing w:after="0"/>
      </w:pPr>
    </w:p>
    <w:p w14:paraId="7C4882A3" w14:textId="77777777" w:rsidR="00882C9C" w:rsidRDefault="00882C9C" w:rsidP="00882C9C">
      <w:pPr>
        <w:spacing w:after="0"/>
      </w:pPr>
      <m:oMathPara>
        <m:oMath>
          <m:r>
            <w:rPr>
              <w:rFonts w:ascii="Cambria Math" w:hAnsi="Cambria Math"/>
            </w:rPr>
            <m:t xml:space="preserve">E= </m:t>
          </m:r>
          <m:nary>
            <m:naryPr>
              <m:chr m:val="∑"/>
              <m:limLoc m:val="undOvr"/>
              <m:supHide m:val="1"/>
              <m:ctrlPr>
                <w:rPr>
                  <w:rFonts w:ascii="Cambria Math" w:hAnsi="Cambria Math"/>
                  <w:i/>
                </w:rPr>
              </m:ctrlPr>
            </m:naryPr>
            <m:sub>
              <m:r>
                <w:rPr>
                  <w:rFonts w:ascii="Cambria Math" w:hAnsi="Cambria Math"/>
                </w:rPr>
                <m:t>ij</m:t>
              </m:r>
            </m:sub>
            <m:sup/>
            <m:e>
              <m:sSub>
                <m:sSubPr>
                  <m:ctrlPr>
                    <w:rPr>
                      <w:rFonts w:ascii="Cambria Math" w:hAnsi="Cambria Math"/>
                      <w:i/>
                    </w:rPr>
                  </m:ctrlPr>
                </m:sSubPr>
                <m:e>
                  <m:r>
                    <w:rPr>
                      <w:rFonts w:ascii="Cambria Math" w:hAnsi="Cambria Math"/>
                    </w:rPr>
                    <m:t>py</m:t>
                  </m:r>
                </m:e>
                <m:sub>
                  <m:r>
                    <w:rPr>
                      <w:rFonts w:ascii="Cambria Math" w:hAnsi="Cambria Math"/>
                    </w:rPr>
                    <m:t>ij</m:t>
                  </m:r>
                </m:sub>
              </m:sSub>
              <m:r>
                <w:rPr>
                  <w:rFonts w:ascii="Cambria Math" w:hAnsi="Cambria Math"/>
                </w:rPr>
                <m:t>*</m:t>
              </m:r>
            </m:e>
          </m:nary>
          <m:sSub>
            <m:sSubPr>
              <m:ctrlPr>
                <w:rPr>
                  <w:rFonts w:ascii="Cambria Math" w:hAnsi="Cambria Math"/>
                  <w:i/>
                </w:rPr>
              </m:ctrlPr>
            </m:sSubPr>
            <m:e>
              <m:r>
                <w:rPr>
                  <w:rFonts w:ascii="Cambria Math" w:hAnsi="Cambria Math"/>
                </w:rPr>
                <m:t>λ</m:t>
              </m:r>
            </m:e>
            <m:sub>
              <m:r>
                <w:rPr>
                  <w:rFonts w:ascii="Cambria Math" w:hAnsi="Cambria Math"/>
                </w:rPr>
                <m:t>ij</m:t>
              </m:r>
            </m:sub>
          </m:sSub>
        </m:oMath>
      </m:oMathPara>
    </w:p>
    <w:p w14:paraId="04C8A4B9" w14:textId="77777777" w:rsidR="00882C9C" w:rsidRDefault="00882C9C" w:rsidP="00882C9C">
      <w:pPr>
        <w:spacing w:after="0"/>
        <w:rPr>
          <w:u w:val="single"/>
        </w:rPr>
      </w:pPr>
    </w:p>
    <w:p w14:paraId="20640A47" w14:textId="77777777" w:rsidR="00882C9C" w:rsidRDefault="00882C9C" w:rsidP="00882C9C">
      <w:pPr>
        <w:spacing w:after="0"/>
        <w:rPr>
          <w:rFonts w:eastAsiaTheme="minorEastAsia"/>
        </w:rPr>
      </w:pPr>
      <w:r>
        <w:t xml:space="preserve">where </w:t>
      </w:r>
      <m:oMath>
        <m:sSub>
          <m:sSubPr>
            <m:ctrlPr>
              <w:rPr>
                <w:rFonts w:ascii="Cambria Math" w:hAnsi="Cambria Math"/>
                <w:i/>
              </w:rPr>
            </m:ctrlPr>
          </m:sSubPr>
          <m:e>
            <m:r>
              <w:rPr>
                <w:rFonts w:ascii="Cambria Math" w:hAnsi="Cambria Math"/>
              </w:rPr>
              <m:t>py</m:t>
            </m:r>
          </m:e>
          <m:sub>
            <m:r>
              <w:rPr>
                <w:rFonts w:ascii="Cambria Math" w:hAnsi="Cambria Math"/>
              </w:rPr>
              <m:t>ij</m:t>
            </m:r>
          </m:sub>
        </m:sSub>
      </m:oMath>
      <w:r>
        <w:rPr>
          <w:rFonts w:eastAsiaTheme="minorEastAsia"/>
        </w:rPr>
        <w:t xml:space="preserve"> are the observed person-years in the index family for age group </w:t>
      </w:r>
      <m:oMath>
        <m:r>
          <w:rPr>
            <w:rFonts w:ascii="Cambria Math" w:hAnsi="Cambria Math"/>
          </w:rPr>
          <m:t>i</m:t>
        </m:r>
      </m:oMath>
      <w:r>
        <w:rPr>
          <w:rFonts w:eastAsiaTheme="minorEastAsia"/>
        </w:rPr>
        <w:t xml:space="preserve"> and calendar period </w:t>
      </w:r>
      <m:oMath>
        <m:r>
          <w:rPr>
            <w:rFonts w:ascii="Cambria Math" w:eastAsiaTheme="minorEastAsia" w:hAnsi="Cambria Math"/>
          </w:rPr>
          <m:t>j</m:t>
        </m:r>
      </m:oMath>
      <w:r>
        <w:rPr>
          <w:rFonts w:eastAsiaTheme="minorEastAsia"/>
        </w:rPr>
        <w:t xml:space="preserve">, and </w:t>
      </w:r>
      <m:oMath>
        <m:sSub>
          <m:sSubPr>
            <m:ctrlPr>
              <w:rPr>
                <w:rFonts w:ascii="Cambria Math" w:hAnsi="Cambria Math"/>
                <w:i/>
              </w:rPr>
            </m:ctrlPr>
          </m:sSubPr>
          <m:e>
            <m:r>
              <w:rPr>
                <w:rFonts w:ascii="Cambria Math" w:hAnsi="Cambria Math"/>
              </w:rPr>
              <m:t>λ</m:t>
            </m:r>
          </m:e>
          <m:sub>
            <m:r>
              <w:rPr>
                <w:rFonts w:ascii="Cambria Math" w:hAnsi="Cambria Math"/>
              </w:rPr>
              <m:t>ij</m:t>
            </m:r>
          </m:sub>
        </m:sSub>
      </m:oMath>
      <w:r>
        <w:rPr>
          <w:rFonts w:eastAsiaTheme="minorEastAsia"/>
        </w:rPr>
        <w:t xml:space="preserve"> the corresponding incidence rates for cancer group D in the reference population cohort. In the reference population cohort, the incidence rate </w:t>
      </w:r>
      <m:oMath>
        <m:r>
          <w:rPr>
            <w:rFonts w:ascii="Cambria Math" w:hAnsi="Cambria Math"/>
          </w:rPr>
          <m:t>λ</m:t>
        </m:r>
      </m:oMath>
      <w:r>
        <w:rPr>
          <w:rFonts w:eastAsiaTheme="minorEastAsia"/>
        </w:rPr>
        <w:t xml:space="preserve"> for the cancer group D is calculated as:</w:t>
      </w:r>
    </w:p>
    <w:p w14:paraId="38EAFAB1" w14:textId="77777777" w:rsidR="00882C9C" w:rsidRPr="00B7792F" w:rsidRDefault="00D21440" w:rsidP="00882C9C">
      <w:pPr>
        <w:spacing w:after="0"/>
        <w:rPr>
          <w:rFonts w:eastAsiaTheme="minorEastAsia"/>
        </w:rPr>
      </w:pPr>
      <m:oMathPara>
        <m:oMath>
          <m:sSub>
            <m:sSubPr>
              <m:ctrlPr>
                <w:rPr>
                  <w:rFonts w:ascii="Cambria Math" w:hAnsi="Cambria Math"/>
                  <w:i/>
                </w:rPr>
              </m:ctrlPr>
            </m:sSubPr>
            <m:e>
              <m:r>
                <w:rPr>
                  <w:rFonts w:ascii="Cambria Math" w:hAnsi="Cambria Math"/>
                </w:rPr>
                <m:t>λ</m:t>
              </m:r>
            </m:e>
            <m:sub>
              <m:r>
                <w:rPr>
                  <w:rFonts w:ascii="Cambria Math" w:hAnsi="Cambria Math"/>
                </w:rPr>
                <m:t>ij</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ij</m:t>
                  </m:r>
                </m:sub>
              </m:sSub>
            </m:num>
            <m:den>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ij</m:t>
                  </m:r>
                </m:sub>
              </m:sSub>
            </m:den>
          </m:f>
        </m:oMath>
      </m:oMathPara>
    </w:p>
    <w:p w14:paraId="29A03B48" w14:textId="77777777" w:rsidR="00882C9C" w:rsidRDefault="00882C9C" w:rsidP="00882C9C">
      <w:pPr>
        <w:spacing w:after="0"/>
        <w:rPr>
          <w:b/>
          <w:u w:val="single"/>
        </w:rPr>
      </w:pPr>
    </w:p>
    <w:p w14:paraId="030F10FA" w14:textId="77777777" w:rsidR="00882C9C" w:rsidRDefault="00882C9C" w:rsidP="00882C9C">
      <w:pPr>
        <w:spacing w:after="0"/>
        <w:rPr>
          <w:rFonts w:eastAsiaTheme="minorEastAsia"/>
        </w:rPr>
      </w:pPr>
      <w:r>
        <w:t xml:space="preserve">where </w:t>
      </w: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ij</m:t>
            </m:r>
          </m:sub>
        </m:sSub>
      </m:oMath>
      <w:r>
        <w:rPr>
          <w:rFonts w:eastAsiaTheme="minorEastAsia"/>
        </w:rPr>
        <w:t xml:space="preserve"> is the observed cases and </w:t>
      </w: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ij</m:t>
            </m:r>
          </m:sub>
        </m:sSub>
      </m:oMath>
      <w:r>
        <w:rPr>
          <w:rFonts w:eastAsiaTheme="minorEastAsia"/>
        </w:rPr>
        <w:t xml:space="preserve"> is the observed person-years in the reference population cohort for age group </w:t>
      </w:r>
      <m:oMath>
        <m:r>
          <w:rPr>
            <w:rFonts w:ascii="Cambria Math" w:hAnsi="Cambria Math"/>
          </w:rPr>
          <m:t>i</m:t>
        </m:r>
      </m:oMath>
      <w:r>
        <w:rPr>
          <w:rFonts w:eastAsiaTheme="minorEastAsia"/>
        </w:rPr>
        <w:t xml:space="preserve"> and calendar period </w:t>
      </w:r>
      <m:oMath>
        <m:r>
          <w:rPr>
            <w:rFonts w:ascii="Cambria Math" w:eastAsiaTheme="minorEastAsia" w:hAnsi="Cambria Math"/>
          </w:rPr>
          <m:t>j</m:t>
        </m:r>
      </m:oMath>
      <w:r>
        <w:rPr>
          <w:rFonts w:eastAsiaTheme="minorEastAsia"/>
        </w:rPr>
        <w:t>.</w:t>
      </w:r>
    </w:p>
    <w:p w14:paraId="740AF5CC" w14:textId="77777777" w:rsidR="00882C9C" w:rsidRPr="00882C9C" w:rsidRDefault="00882C9C"/>
    <w:p w14:paraId="63848F0B" w14:textId="77777777" w:rsidR="00CC6682" w:rsidRDefault="00CC6682" w:rsidP="00CC6682">
      <w:pPr>
        <w:rPr>
          <w:b/>
        </w:rPr>
      </w:pPr>
      <w:r>
        <w:rPr>
          <w:b/>
        </w:rPr>
        <w:t>Calculating Gower Distance</w:t>
      </w:r>
    </w:p>
    <w:p w14:paraId="6F70742E" w14:textId="77777777" w:rsidR="00CC6682" w:rsidRPr="008A691D" w:rsidRDefault="00CC6682" w:rsidP="00CC6682">
      <w:pPr>
        <w:rPr>
          <w:rFonts w:cstheme="minorHAnsi"/>
        </w:rPr>
      </w:pPr>
      <w:r w:rsidRPr="008A691D">
        <w:rPr>
          <w:rFonts w:cstheme="minorHAnsi"/>
        </w:rPr>
        <w:t xml:space="preserve">The Gower distance is a general similarity coefficient for defining distance between families.  Similarity between families </w:t>
      </w:r>
      <w:proofErr w:type="spellStart"/>
      <w:r w:rsidRPr="008A691D">
        <w:rPr>
          <w:rFonts w:cstheme="minorHAnsi"/>
          <w:i/>
        </w:rPr>
        <w:t>i</w:t>
      </w:r>
      <w:proofErr w:type="spellEnd"/>
      <w:r w:rsidRPr="008A691D">
        <w:rPr>
          <w:rFonts w:cstheme="minorHAnsi"/>
        </w:rPr>
        <w:t xml:space="preserve"> and </w:t>
      </w:r>
      <w:r w:rsidRPr="008A691D">
        <w:rPr>
          <w:rFonts w:cstheme="minorHAnsi"/>
          <w:i/>
        </w:rPr>
        <w:t>j</w:t>
      </w:r>
      <w:r w:rsidRPr="008A691D">
        <w:rPr>
          <w:rFonts w:cstheme="minorHAnsi"/>
        </w:rPr>
        <w:t xml:space="preserve"> with values </w:t>
      </w:r>
      <w:r w:rsidRPr="008A691D">
        <w:rPr>
          <w:rFonts w:cstheme="minorHAnsi"/>
          <w:i/>
        </w:rPr>
        <w:t>x</w:t>
      </w:r>
      <w:r w:rsidRPr="008A691D">
        <w:rPr>
          <w:rFonts w:cstheme="minorHAnsi"/>
          <w:i/>
          <w:vertAlign w:val="subscript"/>
        </w:rPr>
        <w:t>i</w:t>
      </w:r>
      <w:r w:rsidRPr="008A691D">
        <w:rPr>
          <w:rFonts w:cstheme="minorHAnsi"/>
        </w:rPr>
        <w:t xml:space="preserve"> and </w:t>
      </w:r>
      <w:proofErr w:type="spellStart"/>
      <w:r w:rsidRPr="008A691D">
        <w:rPr>
          <w:rFonts w:cstheme="minorHAnsi"/>
          <w:i/>
        </w:rPr>
        <w:t>x</w:t>
      </w:r>
      <w:r w:rsidRPr="008A691D">
        <w:rPr>
          <w:rFonts w:cstheme="minorHAnsi"/>
          <w:i/>
          <w:vertAlign w:val="subscript"/>
        </w:rPr>
        <w:t>j</w:t>
      </w:r>
      <w:proofErr w:type="spellEnd"/>
      <w:r w:rsidRPr="008A691D">
        <w:rPr>
          <w:rFonts w:cstheme="minorHAnsi"/>
        </w:rPr>
        <w:t xml:space="preserve">, </w:t>
      </w:r>
      <w:proofErr w:type="spellStart"/>
      <w:r w:rsidRPr="008A691D">
        <w:rPr>
          <w:rFonts w:cstheme="minorHAnsi"/>
          <w:i/>
        </w:rPr>
        <w:t>i</w:t>
      </w:r>
      <w:proofErr w:type="spellEnd"/>
      <w:r w:rsidRPr="008A691D">
        <w:rPr>
          <w:rFonts w:cstheme="minorHAnsi"/>
          <w:i/>
        </w:rPr>
        <w:t>, j</w:t>
      </w:r>
      <w:r w:rsidRPr="008A691D">
        <w:rPr>
          <w:rFonts w:cstheme="minorHAnsi"/>
        </w:rPr>
        <w:t xml:space="preserve"> = </w:t>
      </w:r>
      <w:proofErr w:type="gramStart"/>
      <w:r w:rsidRPr="008A691D">
        <w:rPr>
          <w:rFonts w:cstheme="minorHAnsi"/>
        </w:rPr>
        <w:t>1,…</w:t>
      </w:r>
      <w:proofErr w:type="gramEnd"/>
      <w:r w:rsidRPr="008A691D">
        <w:rPr>
          <w:rFonts w:cstheme="minorHAnsi"/>
        </w:rPr>
        <w:t>.,</w:t>
      </w:r>
      <w:r w:rsidRPr="008A691D">
        <w:rPr>
          <w:rFonts w:cstheme="minorHAnsi"/>
          <w:i/>
        </w:rPr>
        <w:t>n</w:t>
      </w:r>
      <w:r w:rsidRPr="008A691D">
        <w:rPr>
          <w:rFonts w:cstheme="minorHAnsi"/>
        </w:rPr>
        <w:t xml:space="preserve">, based on </w:t>
      </w:r>
      <w:r w:rsidRPr="008A691D">
        <w:rPr>
          <w:rFonts w:cstheme="minorHAnsi"/>
          <w:i/>
        </w:rPr>
        <w:t>p</w:t>
      </w:r>
      <w:r w:rsidRPr="008A691D">
        <w:rPr>
          <w:rFonts w:cstheme="minorHAnsi"/>
        </w:rPr>
        <w:t xml:space="preserve"> variables, is defined as</w:t>
      </w:r>
    </w:p>
    <w:p w14:paraId="48260B16" w14:textId="77777777" w:rsidR="00CC6682" w:rsidRPr="00C33CEC" w:rsidRDefault="00CC6682" w:rsidP="00CC6682">
      <m:oMathPara>
        <m:oMath>
          <m:r>
            <w:rPr>
              <w:rFonts w:ascii="Cambria Math" w:hAnsi="Cambria Math"/>
            </w:rPr>
            <w:lastRenderedPageBreak/>
            <m:t>s</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j</m:t>
                  </m:r>
                </m:sub>
              </m:sSub>
            </m:e>
          </m:d>
          <m:r>
            <w:rPr>
              <w:rFonts w:ascii="Cambria Math" w:hAnsi="Cambria Math"/>
            </w:rPr>
            <m:t xml:space="preserve">= </m:t>
          </m:r>
          <m:nary>
            <m:naryPr>
              <m:chr m:val="∑"/>
              <m:limLoc m:val="undOvr"/>
              <m:ctrlPr>
                <w:rPr>
                  <w:rFonts w:ascii="Cambria Math" w:hAnsi="Cambria Math"/>
                  <w:i/>
                </w:rPr>
              </m:ctrlPr>
            </m:naryPr>
            <m:sub>
              <m:r>
                <w:rPr>
                  <w:rFonts w:ascii="Cambria Math" w:hAnsi="Cambria Math"/>
                </w:rPr>
                <m:t>k=1</m:t>
              </m:r>
            </m:sub>
            <m:sup>
              <m:r>
                <w:rPr>
                  <w:rFonts w:ascii="Cambria Math" w:hAnsi="Cambria Math"/>
                </w:rPr>
                <m:t>p</m:t>
              </m:r>
            </m:sup>
            <m:e>
              <m:sSub>
                <m:sSubPr>
                  <m:ctrlPr>
                    <w:rPr>
                      <w:rFonts w:ascii="Cambria Math" w:hAnsi="Cambria Math"/>
                      <w:i/>
                    </w:rPr>
                  </m:ctrlPr>
                </m:sSubPr>
                <m:e>
                  <m:r>
                    <w:rPr>
                      <w:rFonts w:ascii="Cambria Math" w:hAnsi="Cambria Math"/>
                    </w:rPr>
                    <m:t>s</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jk</m:t>
                      </m:r>
                    </m:sub>
                  </m:sSub>
                </m:e>
              </m:d>
              <m:sSub>
                <m:sSubPr>
                  <m:ctrlPr>
                    <w:rPr>
                      <w:rFonts w:ascii="Cambria Math" w:hAnsi="Cambria Math"/>
                      <w:i/>
                    </w:rPr>
                  </m:ctrlPr>
                </m:sSubPr>
                <m:e>
                  <m:r>
                    <w:rPr>
                      <w:rFonts w:ascii="Cambria Math" w:hAnsi="Cambria Math"/>
                    </w:rPr>
                    <m:t>δ</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jk</m:t>
                      </m:r>
                    </m:sub>
                  </m:sSub>
                </m:e>
              </m:d>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 xml:space="preserve"> / </m:t>
              </m:r>
              <m:nary>
                <m:naryPr>
                  <m:chr m:val="∑"/>
                  <m:limLoc m:val="undOvr"/>
                  <m:ctrlPr>
                    <w:rPr>
                      <w:rFonts w:ascii="Cambria Math" w:hAnsi="Cambria Math"/>
                      <w:i/>
                    </w:rPr>
                  </m:ctrlPr>
                </m:naryPr>
                <m:sub>
                  <m:r>
                    <w:rPr>
                      <w:rFonts w:ascii="Cambria Math" w:hAnsi="Cambria Math"/>
                    </w:rPr>
                    <m:t>k=1</m:t>
                  </m:r>
                </m:sub>
                <m:sup>
                  <m:r>
                    <w:rPr>
                      <w:rFonts w:ascii="Cambria Math" w:hAnsi="Cambria Math"/>
                    </w:rPr>
                    <m:t>p</m:t>
                  </m:r>
                </m:sup>
                <m:e>
                  <m:sSub>
                    <m:sSubPr>
                      <m:ctrlPr>
                        <w:rPr>
                          <w:rFonts w:ascii="Cambria Math" w:hAnsi="Cambria Math"/>
                          <w:i/>
                        </w:rPr>
                      </m:ctrlPr>
                    </m:sSubPr>
                    <m:e>
                      <m:r>
                        <w:rPr>
                          <w:rFonts w:ascii="Cambria Math" w:hAnsi="Cambria Math"/>
                        </w:rPr>
                        <m:t>δ</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jk</m:t>
                          </m:r>
                        </m:sub>
                      </m:sSub>
                    </m:e>
                  </m:d>
                  <m:sSub>
                    <m:sSubPr>
                      <m:ctrlPr>
                        <w:rPr>
                          <w:rFonts w:ascii="Cambria Math" w:hAnsi="Cambria Math"/>
                          <w:i/>
                        </w:rPr>
                      </m:ctrlPr>
                    </m:sSubPr>
                    <m:e>
                      <m:r>
                        <w:rPr>
                          <w:rFonts w:ascii="Cambria Math" w:hAnsi="Cambria Math"/>
                        </w:rPr>
                        <m:t>w</m:t>
                      </m:r>
                    </m:e>
                    <m:sub>
                      <m:r>
                        <w:rPr>
                          <w:rFonts w:ascii="Cambria Math" w:hAnsi="Cambria Math"/>
                        </w:rPr>
                        <m:t>k</m:t>
                      </m:r>
                    </m:sub>
                  </m:sSub>
                </m:e>
              </m:nary>
            </m:e>
          </m:nary>
        </m:oMath>
      </m:oMathPara>
    </w:p>
    <w:p w14:paraId="768426ED" w14:textId="77777777" w:rsidR="00CC6682" w:rsidRDefault="00CC6682" w:rsidP="00CC6682">
      <w:pPr>
        <w:rPr>
          <w:rFonts w:eastAsiaTheme="minorEastAsia"/>
        </w:rPr>
      </w:pPr>
      <w:r w:rsidRPr="008A691D">
        <w:t xml:space="preserve">Where </w:t>
      </w:r>
      <m:oMath>
        <m:sSub>
          <m:sSubPr>
            <m:ctrlPr>
              <w:rPr>
                <w:rFonts w:ascii="Cambria Math" w:hAnsi="Cambria Math"/>
                <w:i/>
              </w:rPr>
            </m:ctrlPr>
          </m:sSubPr>
          <m:e>
            <m:r>
              <w:rPr>
                <w:rFonts w:ascii="Cambria Math" w:hAnsi="Cambria Math"/>
              </w:rPr>
              <m:t>δ</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ik</m:t>
                </m:r>
              </m:sub>
            </m:sSub>
          </m:e>
        </m:d>
      </m:oMath>
      <w:r w:rsidRPr="008A691D">
        <w:rPr>
          <w:rFonts w:eastAsiaTheme="minorEastAsia"/>
        </w:rPr>
        <w:t xml:space="preserve"> = 1 when </w:t>
      </w:r>
      <w:proofErr w:type="spellStart"/>
      <w:r w:rsidRPr="008A691D">
        <w:rPr>
          <w:rFonts w:eastAsiaTheme="minorEastAsia"/>
          <w:i/>
        </w:rPr>
        <w:t>i</w:t>
      </w:r>
      <w:proofErr w:type="spellEnd"/>
      <w:r w:rsidRPr="008A691D">
        <w:rPr>
          <w:rFonts w:eastAsiaTheme="minorEastAsia"/>
          <w:i/>
        </w:rPr>
        <w:t xml:space="preserve"> </w:t>
      </w:r>
      <w:r w:rsidRPr="008A691D">
        <w:rPr>
          <w:rFonts w:eastAsiaTheme="minorEastAsia"/>
        </w:rPr>
        <w:t xml:space="preserve">and </w:t>
      </w:r>
      <w:r w:rsidRPr="008A691D">
        <w:rPr>
          <w:rFonts w:eastAsiaTheme="minorEastAsia"/>
          <w:i/>
        </w:rPr>
        <w:t xml:space="preserve">j </w:t>
      </w:r>
      <w:r w:rsidRPr="008A691D">
        <w:rPr>
          <w:rFonts w:eastAsiaTheme="minorEastAsia"/>
        </w:rPr>
        <w:t xml:space="preserve">are both non-missing and 0 otherwise.  Optional weights </w:t>
      </w:r>
      <w:proofErr w:type="spellStart"/>
      <w:r w:rsidRPr="008A691D">
        <w:rPr>
          <w:rFonts w:eastAsiaTheme="minorEastAsia"/>
          <w:i/>
        </w:rPr>
        <w:t>w</w:t>
      </w:r>
      <w:r w:rsidRPr="008A691D">
        <w:rPr>
          <w:rFonts w:eastAsiaTheme="minorEastAsia"/>
          <w:i/>
          <w:vertAlign w:val="subscript"/>
        </w:rPr>
        <w:t>k</w:t>
      </w:r>
      <w:proofErr w:type="spellEnd"/>
      <w:r w:rsidRPr="008A691D">
        <w:rPr>
          <w:rFonts w:eastAsiaTheme="minorEastAsia"/>
          <w:i/>
        </w:rPr>
        <w:t xml:space="preserve"> </w:t>
      </w:r>
      <w:r w:rsidRPr="008A691D">
        <w:rPr>
          <w:rFonts w:eastAsiaTheme="minorEastAsia"/>
        </w:rPr>
        <w:t xml:space="preserve">can be included to raise the importance of certain variables at are </w:t>
      </w:r>
      <w:r w:rsidRPr="008A691D">
        <w:rPr>
          <w:rFonts w:eastAsiaTheme="minorEastAsia"/>
          <w:i/>
        </w:rPr>
        <w:t>a priori</w:t>
      </w:r>
      <w:r w:rsidRPr="008A691D">
        <w:rPr>
          <w:rFonts w:eastAsiaTheme="minorEastAsia"/>
        </w:rPr>
        <w:t xml:space="preserve"> considered more relevant.  </w:t>
      </w:r>
      <w:r w:rsidR="003948E8">
        <w:rPr>
          <w:rFonts w:eastAsiaTheme="minorEastAsia"/>
        </w:rPr>
        <w:t xml:space="preserve">Cancers known to be associated with BRCA1 and BRCA2 received the highest weights (Figure 1).  The other cancers were weighted using a weight inversely proportional to the </w:t>
      </w:r>
      <w:r>
        <w:rPr>
          <w:rFonts w:eastAsiaTheme="minorEastAsia"/>
        </w:rPr>
        <w:t xml:space="preserve">population incidence of each cancer category, with rare cancers receiving higher weight and common cancers receiving lower weights.  </w:t>
      </w:r>
      <w:r w:rsidRPr="00BE17AB">
        <w:t>We constructed a 5,</w:t>
      </w:r>
      <w:r>
        <w:t>045</w:t>
      </w:r>
      <w:r w:rsidRPr="00BE17AB">
        <w:t xml:space="preserve"> x 52 matrix </w:t>
      </w:r>
      <w:r>
        <w:t xml:space="preserve">(families x 2 risk metrics per cancer type, including breast) </w:t>
      </w:r>
      <w:r w:rsidRPr="00BE17AB">
        <w:t xml:space="preserve">and calculated the Gower general coefficient (ade4 R package) </w:t>
      </w:r>
      <w:r>
        <w:t>for</w:t>
      </w:r>
      <w:r w:rsidRPr="00BE17AB">
        <w:t xml:space="preserve"> distance metric to allow for </w:t>
      </w:r>
      <w:r>
        <w:t>the</w:t>
      </w:r>
      <w:r w:rsidRPr="00BE17AB">
        <w:t xml:space="preserve"> mixture of </w:t>
      </w:r>
      <w:r>
        <w:t xml:space="preserve">both </w:t>
      </w:r>
      <w:r w:rsidRPr="00BE17AB">
        <w:t>variable types.</w:t>
      </w:r>
    </w:p>
    <w:p w14:paraId="46D64D6E" w14:textId="77777777" w:rsidR="00CC6682" w:rsidRDefault="00CC6682" w:rsidP="00CC6682">
      <w:r>
        <w:rPr>
          <w:rFonts w:eastAsiaTheme="minorEastAsia"/>
        </w:rPr>
        <w:t xml:space="preserve">Sensitivity analyses without weights and rank ordered weights were also conducted.  The results varied based on the weighting scheme, however the models were more stable with the weights assigned and we chose to present the weighted results here.  The score </w:t>
      </w:r>
      <m:oMath>
        <m:sSub>
          <m:sSubPr>
            <m:ctrlPr>
              <w:rPr>
                <w:rFonts w:ascii="Cambria Math" w:hAnsi="Cambria Math"/>
                <w:i/>
              </w:rPr>
            </m:ctrlPr>
          </m:sSubPr>
          <m:e>
            <m:r>
              <w:rPr>
                <w:rFonts w:ascii="Cambria Math" w:hAnsi="Cambria Math"/>
              </w:rPr>
              <m:t>s</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jk</m:t>
                </m:r>
              </m:sub>
            </m:sSub>
          </m:e>
        </m:d>
      </m:oMath>
      <w:r>
        <w:rPr>
          <w:rFonts w:eastAsiaTheme="minorEastAsia"/>
        </w:rPr>
        <w:t xml:space="preserve"> captures the similarity between samples </w:t>
      </w:r>
      <w:proofErr w:type="spellStart"/>
      <w:r>
        <w:rPr>
          <w:rFonts w:eastAsiaTheme="minorEastAsia"/>
          <w:i/>
        </w:rPr>
        <w:t>i</w:t>
      </w:r>
      <w:proofErr w:type="spellEnd"/>
      <w:r>
        <w:t xml:space="preserve"> and </w:t>
      </w:r>
      <w:r>
        <w:rPr>
          <w:i/>
        </w:rPr>
        <w:t xml:space="preserve">j </w:t>
      </w:r>
      <w:proofErr w:type="spellStart"/>
      <w:r>
        <w:t>w.r.t.</w:t>
      </w:r>
      <w:proofErr w:type="spellEnd"/>
      <w:r>
        <w:t xml:space="preserve"> variable </w:t>
      </w:r>
      <w:r>
        <w:rPr>
          <w:i/>
        </w:rPr>
        <w:t>k</w:t>
      </w:r>
      <w:r>
        <w:t>.  The score is defined as:</w:t>
      </w:r>
    </w:p>
    <w:p w14:paraId="26654E34" w14:textId="77777777" w:rsidR="00CC6682" w:rsidRPr="001367CB" w:rsidRDefault="00CC6682" w:rsidP="00CC6682">
      <w:pPr>
        <w:pStyle w:val="ListParagraph"/>
        <w:numPr>
          <w:ilvl w:val="0"/>
          <w:numId w:val="1"/>
        </w:numPr>
      </w:pPr>
      <w:r>
        <w:t xml:space="preserve">Qualitative variables: </w:t>
      </w:r>
      <m:oMath>
        <m:sSub>
          <m:sSubPr>
            <m:ctrlPr>
              <w:rPr>
                <w:rFonts w:ascii="Cambria Math" w:hAnsi="Cambria Math"/>
                <w:i/>
              </w:rPr>
            </m:ctrlPr>
          </m:sSubPr>
          <m:e>
            <m:r>
              <w:rPr>
                <w:rFonts w:ascii="Cambria Math" w:hAnsi="Cambria Math"/>
              </w:rPr>
              <m:t>s</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jk</m:t>
                </m:r>
              </m:sub>
            </m:sSub>
          </m:e>
        </m:d>
        <m:r>
          <w:rPr>
            <w:rFonts w:ascii="Cambria Math" w:hAnsi="Cambria Math"/>
          </w:rPr>
          <m:t xml:space="preserve">= </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 xml:space="preserve">1, i </m:t>
                  </m:r>
                  <m:r>
                    <m:rPr>
                      <m:sty m:val="p"/>
                    </m:rPr>
                    <w:rPr>
                      <w:rFonts w:ascii="Cambria Math" w:hAnsi="Cambria Math"/>
                    </w:rPr>
                    <m:t xml:space="preserve">and </m:t>
                  </m:r>
                  <m:r>
                    <w:rPr>
                      <w:rFonts w:ascii="Cambria Math" w:hAnsi="Cambria Math"/>
                    </w:rPr>
                    <m:t xml:space="preserve">j </m:t>
                  </m:r>
                  <m:r>
                    <m:rPr>
                      <m:sty m:val="p"/>
                    </m:rPr>
                    <w:rPr>
                      <w:rFonts w:ascii="Cambria Math" w:hAnsi="Cambria Math"/>
                    </w:rPr>
                    <m:t xml:space="preserve">agree in </m:t>
                  </m:r>
                  <m:r>
                    <w:rPr>
                      <w:rFonts w:ascii="Cambria Math" w:hAnsi="Cambria Math"/>
                    </w:rPr>
                    <m:t>k</m:t>
                  </m:r>
                </m:e>
              </m:mr>
              <m:mr>
                <m:e>
                  <m:r>
                    <w:rPr>
                      <w:rFonts w:ascii="Cambria Math" w:hAnsi="Cambria Math"/>
                    </w:rPr>
                    <m:t>0, i</m:t>
                  </m:r>
                  <m:r>
                    <m:rPr>
                      <m:sty m:val="p"/>
                    </m:rPr>
                    <w:rPr>
                      <w:rFonts w:ascii="Cambria Math" w:hAnsi="Cambria Math"/>
                    </w:rPr>
                    <m:t xml:space="preserve"> and </m:t>
                  </m:r>
                  <m:r>
                    <w:rPr>
                      <w:rFonts w:ascii="Cambria Math" w:hAnsi="Cambria Math"/>
                    </w:rPr>
                    <m:t>j</m:t>
                  </m:r>
                  <m:r>
                    <m:rPr>
                      <m:sty m:val="p"/>
                    </m:rPr>
                    <w:rPr>
                      <w:rFonts w:ascii="Cambria Math" w:hAnsi="Cambria Math"/>
                    </w:rPr>
                    <m:t xml:space="preserve"> differ in </m:t>
                  </m:r>
                  <m:r>
                    <w:rPr>
                      <w:rFonts w:ascii="Cambria Math" w:hAnsi="Cambria Math"/>
                    </w:rPr>
                    <m:t>k</m:t>
                  </m:r>
                </m:e>
              </m:mr>
            </m:m>
          </m:e>
        </m:d>
      </m:oMath>
    </w:p>
    <w:p w14:paraId="1775E12F" w14:textId="77777777" w:rsidR="00CC6682" w:rsidRPr="006C614F" w:rsidRDefault="00CC6682" w:rsidP="00CC6682">
      <w:pPr>
        <w:pStyle w:val="ListParagraph"/>
        <w:numPr>
          <w:ilvl w:val="0"/>
          <w:numId w:val="1"/>
        </w:numPr>
      </w:pPr>
      <w:r>
        <w:rPr>
          <w:rFonts w:eastAsiaTheme="minorEastAsia"/>
        </w:rPr>
        <w:t xml:space="preserve">Quantitative variables: </w:t>
      </w:r>
      <m:oMath>
        <m:sSub>
          <m:sSubPr>
            <m:ctrlPr>
              <w:rPr>
                <w:rFonts w:ascii="Cambria Math" w:hAnsi="Cambria Math"/>
                <w:i/>
              </w:rPr>
            </m:ctrlPr>
          </m:sSubPr>
          <m:e>
            <m:r>
              <w:rPr>
                <w:rFonts w:ascii="Cambria Math" w:hAnsi="Cambria Math"/>
              </w:rPr>
              <m:t>s</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jk</m:t>
                </m:r>
              </m:sub>
            </m:sSub>
          </m:e>
        </m:d>
        <m:r>
          <w:rPr>
            <w:rFonts w:ascii="Cambria Math" w:hAnsi="Cambria Math"/>
          </w:rPr>
          <m:t>=1-</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jk</m:t>
                </m:r>
              </m:sub>
            </m:sSub>
          </m:e>
        </m:d>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k</m:t>
            </m:r>
          </m:sub>
        </m:sSub>
      </m:oMath>
    </w:p>
    <w:p w14:paraId="204C75B5" w14:textId="77777777" w:rsidR="00CC6682" w:rsidRDefault="00CC6682" w:rsidP="00CC6682">
      <w:pPr>
        <w:ind w:left="720"/>
        <w:rPr>
          <w:sz w:val="24"/>
        </w:rPr>
      </w:pPr>
      <w:r>
        <w:rPr>
          <w:sz w:val="24"/>
        </w:rPr>
        <w:t xml:space="preserve">where </w:t>
      </w:r>
      <w:proofErr w:type="spellStart"/>
      <w:r>
        <w:rPr>
          <w:sz w:val="24"/>
        </w:rPr>
        <w:t>R</w:t>
      </w:r>
      <w:r>
        <w:rPr>
          <w:sz w:val="24"/>
          <w:vertAlign w:val="subscript"/>
        </w:rPr>
        <w:t>k</w:t>
      </w:r>
      <w:proofErr w:type="spellEnd"/>
      <w:r>
        <w:rPr>
          <w:sz w:val="24"/>
        </w:rPr>
        <w:t xml:space="preserve"> is the observed range of variable </w:t>
      </w:r>
      <w:r>
        <w:rPr>
          <w:i/>
          <w:sz w:val="24"/>
        </w:rPr>
        <w:t>k</w:t>
      </w:r>
    </w:p>
    <w:p w14:paraId="304C6BFC" w14:textId="77777777" w:rsidR="00CC6682" w:rsidRDefault="00CC6682" w:rsidP="00CC6682">
      <w:pPr>
        <w:rPr>
          <w:rFonts w:eastAsiaTheme="minorEastAsia"/>
        </w:rPr>
      </w:pPr>
      <w:r>
        <w:rPr>
          <w:sz w:val="24"/>
        </w:rPr>
        <w:t xml:space="preserve">The distances are derived from the similarity values </w:t>
      </w:r>
      <m:oMath>
        <m:sSub>
          <m:sSubPr>
            <m:ctrlPr>
              <w:rPr>
                <w:rFonts w:ascii="Cambria Math" w:hAnsi="Cambria Math"/>
                <w:i/>
              </w:rPr>
            </m:ctrlPr>
          </m:sSubPr>
          <m:e>
            <m:r>
              <w:rPr>
                <w:rFonts w:ascii="Cambria Math" w:hAnsi="Cambria Math"/>
              </w:rPr>
              <m:t>d</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jk</m:t>
                </m:r>
              </m:sub>
            </m:sSub>
          </m:e>
        </m:d>
        <m:r>
          <w:rPr>
            <w:rFonts w:ascii="Cambria Math" w:hAnsi="Cambria Math"/>
          </w:rPr>
          <m:t>=1-</m:t>
        </m:r>
        <m:sSub>
          <m:sSubPr>
            <m:ctrlPr>
              <w:rPr>
                <w:rFonts w:ascii="Cambria Math" w:hAnsi="Cambria Math"/>
                <w:i/>
              </w:rPr>
            </m:ctrlPr>
          </m:sSubPr>
          <m:e>
            <m:r>
              <w:rPr>
                <w:rFonts w:ascii="Cambria Math" w:hAnsi="Cambria Math"/>
              </w:rPr>
              <m:t>s</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ik</m:t>
                </m:r>
              </m:sub>
            </m:sSub>
            <m:r>
              <w:rPr>
                <w:rFonts w:ascii="Cambria Math" w:hAnsi="Cambria Math"/>
              </w:rPr>
              <m:t xml:space="preserve"> , </m:t>
            </m:r>
            <m:sSub>
              <m:sSubPr>
                <m:ctrlPr>
                  <w:rPr>
                    <w:rFonts w:ascii="Cambria Math" w:hAnsi="Cambria Math"/>
                    <w:i/>
                  </w:rPr>
                </m:ctrlPr>
              </m:sSubPr>
              <m:e>
                <m:r>
                  <w:rPr>
                    <w:rFonts w:ascii="Cambria Math" w:hAnsi="Cambria Math"/>
                  </w:rPr>
                  <m:t>x</m:t>
                </m:r>
              </m:e>
              <m:sub>
                <m:r>
                  <w:rPr>
                    <w:rFonts w:ascii="Cambria Math" w:hAnsi="Cambria Math"/>
                  </w:rPr>
                  <m:t>jk</m:t>
                </m:r>
              </m:sub>
            </m:sSub>
          </m:e>
        </m:d>
      </m:oMath>
      <w:r>
        <w:rPr>
          <w:rFonts w:eastAsiaTheme="minorEastAsia"/>
        </w:rPr>
        <w:t xml:space="preserve">. </w:t>
      </w:r>
    </w:p>
    <w:p w14:paraId="7ED7641B" w14:textId="77777777" w:rsidR="00CC6682" w:rsidRPr="00E51041" w:rsidRDefault="00CC6682" w:rsidP="00CC6682">
      <w:pPr>
        <w:rPr>
          <w:sz w:val="24"/>
        </w:rPr>
      </w:pPr>
    </w:p>
    <w:p w14:paraId="28285D8A" w14:textId="77777777" w:rsidR="00882C9C" w:rsidRDefault="00882C9C">
      <w:r>
        <w:br w:type="page"/>
      </w:r>
    </w:p>
    <w:p w14:paraId="2F99492E" w14:textId="77777777" w:rsidR="00882C9C" w:rsidRDefault="00882C9C"/>
    <w:p w14:paraId="26993F95" w14:textId="7428165C" w:rsidR="00D369CC" w:rsidRPr="00882C9C" w:rsidRDefault="00A40E42">
      <w:pPr>
        <w:rPr>
          <w:b/>
        </w:rPr>
      </w:pPr>
      <w:r w:rsidRPr="00882C9C">
        <w:rPr>
          <w:b/>
        </w:rPr>
        <w:t>Supplementary Table 1</w:t>
      </w:r>
      <w:r w:rsidR="00D11828">
        <w:rPr>
          <w:b/>
        </w:rPr>
        <w:t xml:space="preserve">. Description of cancer classification for cancer groups 1 – 26 used in the familial multi-cancer configuration (FMC) clustering by Surveillance, Epidemiology, and End-Result (SEER) Code.  </w:t>
      </w:r>
    </w:p>
    <w:tbl>
      <w:tblPr>
        <w:tblW w:w="5900" w:type="dxa"/>
        <w:tblLook w:val="04A0" w:firstRow="1" w:lastRow="0" w:firstColumn="1" w:lastColumn="0" w:noHBand="0" w:noVBand="1"/>
      </w:tblPr>
      <w:tblGrid>
        <w:gridCol w:w="1110"/>
        <w:gridCol w:w="3680"/>
        <w:gridCol w:w="1200"/>
      </w:tblGrid>
      <w:tr w:rsidR="00A40E42" w:rsidRPr="00A40E42" w14:paraId="5E759941" w14:textId="77777777" w:rsidTr="00A40E42">
        <w:trPr>
          <w:trHeight w:val="300"/>
        </w:trPr>
        <w:tc>
          <w:tcPr>
            <w:tcW w:w="1020" w:type="dxa"/>
            <w:tcBorders>
              <w:top w:val="nil"/>
              <w:left w:val="nil"/>
              <w:bottom w:val="nil"/>
              <w:right w:val="nil"/>
            </w:tcBorders>
            <w:shd w:val="clear" w:color="auto" w:fill="auto"/>
            <w:noWrap/>
            <w:vAlign w:val="bottom"/>
            <w:hideMark/>
          </w:tcPr>
          <w:p w14:paraId="6028F0BF" w14:textId="77777777" w:rsidR="00A40E42" w:rsidRPr="00A40E42" w:rsidRDefault="00A40E42" w:rsidP="00A40E42">
            <w:pPr>
              <w:spacing w:after="0" w:line="240" w:lineRule="auto"/>
              <w:rPr>
                <w:rFonts w:ascii="Calibri" w:eastAsia="Times New Roman" w:hAnsi="Calibri" w:cs="Times New Roman"/>
                <w:color w:val="000000"/>
              </w:rPr>
            </w:pPr>
            <w:proofErr w:type="spellStart"/>
            <w:r w:rsidRPr="00A40E42">
              <w:rPr>
                <w:rFonts w:ascii="Calibri" w:eastAsia="Times New Roman" w:hAnsi="Calibri" w:cs="Times New Roman"/>
                <w:color w:val="000000"/>
              </w:rPr>
              <w:t>SEERCode</w:t>
            </w:r>
            <w:proofErr w:type="spellEnd"/>
          </w:p>
        </w:tc>
        <w:tc>
          <w:tcPr>
            <w:tcW w:w="3680" w:type="dxa"/>
            <w:tcBorders>
              <w:top w:val="nil"/>
              <w:left w:val="nil"/>
              <w:bottom w:val="nil"/>
              <w:right w:val="nil"/>
            </w:tcBorders>
            <w:shd w:val="clear" w:color="auto" w:fill="auto"/>
            <w:noWrap/>
            <w:vAlign w:val="bottom"/>
            <w:hideMark/>
          </w:tcPr>
          <w:p w14:paraId="1DA8C361"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Definition</w:t>
            </w:r>
          </w:p>
        </w:tc>
        <w:tc>
          <w:tcPr>
            <w:tcW w:w="1200" w:type="dxa"/>
            <w:tcBorders>
              <w:top w:val="nil"/>
              <w:left w:val="nil"/>
              <w:bottom w:val="nil"/>
              <w:right w:val="nil"/>
            </w:tcBorders>
            <w:shd w:val="clear" w:color="auto" w:fill="auto"/>
            <w:noWrap/>
            <w:vAlign w:val="bottom"/>
            <w:hideMark/>
          </w:tcPr>
          <w:p w14:paraId="6E5C1A9B"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Category</w:t>
            </w:r>
          </w:p>
        </w:tc>
      </w:tr>
      <w:tr w:rsidR="00A40E42" w:rsidRPr="00A40E42" w14:paraId="0FCF454D" w14:textId="77777777" w:rsidTr="00A40E42">
        <w:trPr>
          <w:trHeight w:val="300"/>
        </w:trPr>
        <w:tc>
          <w:tcPr>
            <w:tcW w:w="1020" w:type="dxa"/>
            <w:tcBorders>
              <w:top w:val="single" w:sz="4" w:space="0" w:color="auto"/>
              <w:left w:val="single" w:sz="4" w:space="0" w:color="auto"/>
              <w:bottom w:val="nil"/>
              <w:right w:val="nil"/>
            </w:tcBorders>
            <w:shd w:val="clear" w:color="auto" w:fill="auto"/>
            <w:noWrap/>
            <w:vAlign w:val="bottom"/>
            <w:hideMark/>
          </w:tcPr>
          <w:p w14:paraId="608530A6"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20010</w:t>
            </w:r>
          </w:p>
        </w:tc>
        <w:tc>
          <w:tcPr>
            <w:tcW w:w="3680" w:type="dxa"/>
            <w:tcBorders>
              <w:top w:val="single" w:sz="4" w:space="0" w:color="auto"/>
              <w:left w:val="nil"/>
              <w:bottom w:val="nil"/>
              <w:right w:val="nil"/>
            </w:tcBorders>
            <w:shd w:val="clear" w:color="auto" w:fill="auto"/>
            <w:noWrap/>
            <w:vAlign w:val="bottom"/>
            <w:hideMark/>
          </w:tcPr>
          <w:p w14:paraId="70A82891"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Lip</w:t>
            </w:r>
          </w:p>
        </w:tc>
        <w:tc>
          <w:tcPr>
            <w:tcW w:w="1200" w:type="dxa"/>
            <w:vMerge w:val="restart"/>
            <w:tcBorders>
              <w:top w:val="single" w:sz="4" w:space="0" w:color="auto"/>
              <w:left w:val="nil"/>
              <w:bottom w:val="single" w:sz="4" w:space="0" w:color="000000"/>
              <w:right w:val="single" w:sz="4" w:space="0" w:color="auto"/>
            </w:tcBorders>
            <w:shd w:val="clear" w:color="auto" w:fill="auto"/>
            <w:noWrap/>
            <w:vAlign w:val="center"/>
            <w:hideMark/>
          </w:tcPr>
          <w:p w14:paraId="7E2941D3"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w:t>
            </w:r>
          </w:p>
        </w:tc>
      </w:tr>
      <w:tr w:rsidR="00A40E42" w:rsidRPr="00A40E42" w14:paraId="20EF9A44"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1DA24203"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20020</w:t>
            </w:r>
          </w:p>
        </w:tc>
        <w:tc>
          <w:tcPr>
            <w:tcW w:w="3680" w:type="dxa"/>
            <w:tcBorders>
              <w:top w:val="nil"/>
              <w:left w:val="nil"/>
              <w:bottom w:val="nil"/>
              <w:right w:val="nil"/>
            </w:tcBorders>
            <w:shd w:val="clear" w:color="auto" w:fill="auto"/>
            <w:noWrap/>
            <w:vAlign w:val="bottom"/>
            <w:hideMark/>
          </w:tcPr>
          <w:p w14:paraId="74CB38EA"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Tongue</w:t>
            </w:r>
          </w:p>
        </w:tc>
        <w:tc>
          <w:tcPr>
            <w:tcW w:w="1200" w:type="dxa"/>
            <w:vMerge/>
            <w:tcBorders>
              <w:top w:val="single" w:sz="4" w:space="0" w:color="auto"/>
              <w:left w:val="nil"/>
              <w:bottom w:val="single" w:sz="4" w:space="0" w:color="000000"/>
              <w:right w:val="single" w:sz="4" w:space="0" w:color="auto"/>
            </w:tcBorders>
            <w:vAlign w:val="center"/>
            <w:hideMark/>
          </w:tcPr>
          <w:p w14:paraId="33536251"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5D6CCFF9"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22FDD834"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20030</w:t>
            </w:r>
          </w:p>
        </w:tc>
        <w:tc>
          <w:tcPr>
            <w:tcW w:w="3680" w:type="dxa"/>
            <w:tcBorders>
              <w:top w:val="nil"/>
              <w:left w:val="nil"/>
              <w:bottom w:val="nil"/>
              <w:right w:val="nil"/>
            </w:tcBorders>
            <w:shd w:val="clear" w:color="auto" w:fill="auto"/>
            <w:noWrap/>
            <w:vAlign w:val="bottom"/>
            <w:hideMark/>
          </w:tcPr>
          <w:p w14:paraId="7F5C10E3"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Salivary Gland</w:t>
            </w:r>
          </w:p>
        </w:tc>
        <w:tc>
          <w:tcPr>
            <w:tcW w:w="1200" w:type="dxa"/>
            <w:vMerge/>
            <w:tcBorders>
              <w:top w:val="single" w:sz="4" w:space="0" w:color="auto"/>
              <w:left w:val="nil"/>
              <w:bottom w:val="single" w:sz="4" w:space="0" w:color="000000"/>
              <w:right w:val="single" w:sz="4" w:space="0" w:color="auto"/>
            </w:tcBorders>
            <w:vAlign w:val="center"/>
            <w:hideMark/>
          </w:tcPr>
          <w:p w14:paraId="0A00D80B"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6D822E1A"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32736337"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20040</w:t>
            </w:r>
          </w:p>
        </w:tc>
        <w:tc>
          <w:tcPr>
            <w:tcW w:w="3680" w:type="dxa"/>
            <w:tcBorders>
              <w:top w:val="nil"/>
              <w:left w:val="nil"/>
              <w:bottom w:val="nil"/>
              <w:right w:val="nil"/>
            </w:tcBorders>
            <w:shd w:val="clear" w:color="auto" w:fill="auto"/>
            <w:noWrap/>
            <w:vAlign w:val="bottom"/>
            <w:hideMark/>
          </w:tcPr>
          <w:p w14:paraId="0FB21411"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Floor of Mouth</w:t>
            </w:r>
          </w:p>
        </w:tc>
        <w:tc>
          <w:tcPr>
            <w:tcW w:w="1200" w:type="dxa"/>
            <w:vMerge/>
            <w:tcBorders>
              <w:top w:val="single" w:sz="4" w:space="0" w:color="auto"/>
              <w:left w:val="nil"/>
              <w:bottom w:val="single" w:sz="4" w:space="0" w:color="000000"/>
              <w:right w:val="single" w:sz="4" w:space="0" w:color="auto"/>
            </w:tcBorders>
            <w:vAlign w:val="center"/>
            <w:hideMark/>
          </w:tcPr>
          <w:p w14:paraId="3DB896E9"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6F947958"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362F83E5"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20050</w:t>
            </w:r>
          </w:p>
        </w:tc>
        <w:tc>
          <w:tcPr>
            <w:tcW w:w="3680" w:type="dxa"/>
            <w:tcBorders>
              <w:top w:val="nil"/>
              <w:left w:val="nil"/>
              <w:bottom w:val="nil"/>
              <w:right w:val="nil"/>
            </w:tcBorders>
            <w:shd w:val="clear" w:color="auto" w:fill="auto"/>
            <w:noWrap/>
            <w:vAlign w:val="bottom"/>
            <w:hideMark/>
          </w:tcPr>
          <w:p w14:paraId="57E3CA1F"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Gum and Other Mouth</w:t>
            </w:r>
          </w:p>
        </w:tc>
        <w:tc>
          <w:tcPr>
            <w:tcW w:w="1200" w:type="dxa"/>
            <w:vMerge/>
            <w:tcBorders>
              <w:top w:val="single" w:sz="4" w:space="0" w:color="auto"/>
              <w:left w:val="nil"/>
              <w:bottom w:val="single" w:sz="4" w:space="0" w:color="000000"/>
              <w:right w:val="single" w:sz="4" w:space="0" w:color="auto"/>
            </w:tcBorders>
            <w:vAlign w:val="center"/>
            <w:hideMark/>
          </w:tcPr>
          <w:p w14:paraId="58CDF09C"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69A08BB5"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2E001BA8"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20060</w:t>
            </w:r>
          </w:p>
        </w:tc>
        <w:tc>
          <w:tcPr>
            <w:tcW w:w="3680" w:type="dxa"/>
            <w:tcBorders>
              <w:top w:val="nil"/>
              <w:left w:val="nil"/>
              <w:bottom w:val="nil"/>
              <w:right w:val="nil"/>
            </w:tcBorders>
            <w:shd w:val="clear" w:color="auto" w:fill="auto"/>
            <w:noWrap/>
            <w:vAlign w:val="bottom"/>
            <w:hideMark/>
          </w:tcPr>
          <w:p w14:paraId="5531CB14"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Nasopharynx</w:t>
            </w:r>
          </w:p>
        </w:tc>
        <w:tc>
          <w:tcPr>
            <w:tcW w:w="1200" w:type="dxa"/>
            <w:vMerge/>
            <w:tcBorders>
              <w:top w:val="single" w:sz="4" w:space="0" w:color="auto"/>
              <w:left w:val="nil"/>
              <w:bottom w:val="single" w:sz="4" w:space="0" w:color="000000"/>
              <w:right w:val="single" w:sz="4" w:space="0" w:color="auto"/>
            </w:tcBorders>
            <w:vAlign w:val="center"/>
            <w:hideMark/>
          </w:tcPr>
          <w:p w14:paraId="7248B04E"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13F154FD"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4F1C83D5"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20070</w:t>
            </w:r>
          </w:p>
        </w:tc>
        <w:tc>
          <w:tcPr>
            <w:tcW w:w="3680" w:type="dxa"/>
            <w:tcBorders>
              <w:top w:val="nil"/>
              <w:left w:val="nil"/>
              <w:bottom w:val="nil"/>
              <w:right w:val="nil"/>
            </w:tcBorders>
            <w:shd w:val="clear" w:color="auto" w:fill="auto"/>
            <w:noWrap/>
            <w:vAlign w:val="bottom"/>
            <w:hideMark/>
          </w:tcPr>
          <w:p w14:paraId="13FA5D7F"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Tonsil</w:t>
            </w:r>
          </w:p>
        </w:tc>
        <w:tc>
          <w:tcPr>
            <w:tcW w:w="1200" w:type="dxa"/>
            <w:vMerge/>
            <w:tcBorders>
              <w:top w:val="single" w:sz="4" w:space="0" w:color="auto"/>
              <w:left w:val="nil"/>
              <w:bottom w:val="single" w:sz="4" w:space="0" w:color="000000"/>
              <w:right w:val="single" w:sz="4" w:space="0" w:color="auto"/>
            </w:tcBorders>
            <w:vAlign w:val="center"/>
            <w:hideMark/>
          </w:tcPr>
          <w:p w14:paraId="06E17FD2"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3FAC4C6A"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2C561C24"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20080</w:t>
            </w:r>
          </w:p>
        </w:tc>
        <w:tc>
          <w:tcPr>
            <w:tcW w:w="3680" w:type="dxa"/>
            <w:tcBorders>
              <w:top w:val="nil"/>
              <w:left w:val="nil"/>
              <w:bottom w:val="nil"/>
              <w:right w:val="nil"/>
            </w:tcBorders>
            <w:shd w:val="clear" w:color="auto" w:fill="auto"/>
            <w:noWrap/>
            <w:vAlign w:val="bottom"/>
            <w:hideMark/>
          </w:tcPr>
          <w:p w14:paraId="7E826DB0"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Oropharynx</w:t>
            </w:r>
          </w:p>
        </w:tc>
        <w:tc>
          <w:tcPr>
            <w:tcW w:w="1200" w:type="dxa"/>
            <w:vMerge/>
            <w:tcBorders>
              <w:top w:val="single" w:sz="4" w:space="0" w:color="auto"/>
              <w:left w:val="nil"/>
              <w:bottom w:val="single" w:sz="4" w:space="0" w:color="000000"/>
              <w:right w:val="single" w:sz="4" w:space="0" w:color="auto"/>
            </w:tcBorders>
            <w:vAlign w:val="center"/>
            <w:hideMark/>
          </w:tcPr>
          <w:p w14:paraId="6CB6E641"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2172567C"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4FFC61A3"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20090</w:t>
            </w:r>
          </w:p>
        </w:tc>
        <w:tc>
          <w:tcPr>
            <w:tcW w:w="3680" w:type="dxa"/>
            <w:tcBorders>
              <w:top w:val="nil"/>
              <w:left w:val="nil"/>
              <w:bottom w:val="nil"/>
              <w:right w:val="nil"/>
            </w:tcBorders>
            <w:shd w:val="clear" w:color="auto" w:fill="auto"/>
            <w:noWrap/>
            <w:vAlign w:val="bottom"/>
            <w:hideMark/>
          </w:tcPr>
          <w:p w14:paraId="203A8FF8"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Hypopharynx</w:t>
            </w:r>
          </w:p>
        </w:tc>
        <w:tc>
          <w:tcPr>
            <w:tcW w:w="1200" w:type="dxa"/>
            <w:vMerge/>
            <w:tcBorders>
              <w:top w:val="single" w:sz="4" w:space="0" w:color="auto"/>
              <w:left w:val="nil"/>
              <w:bottom w:val="single" w:sz="4" w:space="0" w:color="000000"/>
              <w:right w:val="single" w:sz="4" w:space="0" w:color="auto"/>
            </w:tcBorders>
            <w:vAlign w:val="center"/>
            <w:hideMark/>
          </w:tcPr>
          <w:p w14:paraId="01B1EA33"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506FA29B"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3A6C901E"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20100</w:t>
            </w:r>
          </w:p>
        </w:tc>
        <w:tc>
          <w:tcPr>
            <w:tcW w:w="3680" w:type="dxa"/>
            <w:tcBorders>
              <w:top w:val="nil"/>
              <w:left w:val="nil"/>
              <w:bottom w:val="nil"/>
              <w:right w:val="nil"/>
            </w:tcBorders>
            <w:shd w:val="clear" w:color="auto" w:fill="auto"/>
            <w:noWrap/>
            <w:vAlign w:val="bottom"/>
            <w:hideMark/>
          </w:tcPr>
          <w:p w14:paraId="71E19ACC"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Other Oral Cavity and Pharynx</w:t>
            </w:r>
          </w:p>
        </w:tc>
        <w:tc>
          <w:tcPr>
            <w:tcW w:w="1200" w:type="dxa"/>
            <w:vMerge/>
            <w:tcBorders>
              <w:top w:val="single" w:sz="4" w:space="0" w:color="auto"/>
              <w:left w:val="nil"/>
              <w:bottom w:val="single" w:sz="4" w:space="0" w:color="000000"/>
              <w:right w:val="single" w:sz="4" w:space="0" w:color="auto"/>
            </w:tcBorders>
            <w:vAlign w:val="center"/>
            <w:hideMark/>
          </w:tcPr>
          <w:p w14:paraId="76FC8462"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005FC62E"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65BDE9A6"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22020</w:t>
            </w:r>
          </w:p>
        </w:tc>
        <w:tc>
          <w:tcPr>
            <w:tcW w:w="3680" w:type="dxa"/>
            <w:tcBorders>
              <w:top w:val="nil"/>
              <w:left w:val="nil"/>
              <w:bottom w:val="nil"/>
              <w:right w:val="nil"/>
            </w:tcBorders>
            <w:shd w:val="clear" w:color="auto" w:fill="auto"/>
            <w:noWrap/>
            <w:vAlign w:val="bottom"/>
            <w:hideMark/>
          </w:tcPr>
          <w:p w14:paraId="41B9813C"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Larynx</w:t>
            </w:r>
          </w:p>
        </w:tc>
        <w:tc>
          <w:tcPr>
            <w:tcW w:w="1200" w:type="dxa"/>
            <w:vMerge/>
            <w:tcBorders>
              <w:top w:val="single" w:sz="4" w:space="0" w:color="auto"/>
              <w:left w:val="nil"/>
              <w:bottom w:val="single" w:sz="4" w:space="0" w:color="000000"/>
              <w:right w:val="single" w:sz="4" w:space="0" w:color="auto"/>
            </w:tcBorders>
            <w:vAlign w:val="center"/>
            <w:hideMark/>
          </w:tcPr>
          <w:p w14:paraId="049FC546"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627DD04E"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75428B94"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22010</w:t>
            </w:r>
          </w:p>
        </w:tc>
        <w:tc>
          <w:tcPr>
            <w:tcW w:w="3680" w:type="dxa"/>
            <w:tcBorders>
              <w:top w:val="nil"/>
              <w:left w:val="nil"/>
              <w:bottom w:val="single" w:sz="4" w:space="0" w:color="auto"/>
              <w:right w:val="nil"/>
            </w:tcBorders>
            <w:shd w:val="clear" w:color="auto" w:fill="auto"/>
            <w:noWrap/>
            <w:vAlign w:val="bottom"/>
            <w:hideMark/>
          </w:tcPr>
          <w:p w14:paraId="14F1A7CD"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Nose, Nasal Cavity and Middle Ear</w:t>
            </w:r>
          </w:p>
        </w:tc>
        <w:tc>
          <w:tcPr>
            <w:tcW w:w="1200" w:type="dxa"/>
            <w:vMerge/>
            <w:tcBorders>
              <w:top w:val="single" w:sz="4" w:space="0" w:color="auto"/>
              <w:left w:val="nil"/>
              <w:bottom w:val="single" w:sz="4" w:space="0" w:color="000000"/>
              <w:right w:val="single" w:sz="4" w:space="0" w:color="auto"/>
            </w:tcBorders>
            <w:vAlign w:val="center"/>
            <w:hideMark/>
          </w:tcPr>
          <w:p w14:paraId="15BF2F14"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30E8CFD9"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0FAD2977"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21020</w:t>
            </w:r>
          </w:p>
        </w:tc>
        <w:tc>
          <w:tcPr>
            <w:tcW w:w="3680" w:type="dxa"/>
            <w:tcBorders>
              <w:top w:val="nil"/>
              <w:left w:val="nil"/>
              <w:bottom w:val="single" w:sz="4" w:space="0" w:color="auto"/>
              <w:right w:val="nil"/>
            </w:tcBorders>
            <w:shd w:val="clear" w:color="auto" w:fill="auto"/>
            <w:noWrap/>
            <w:vAlign w:val="bottom"/>
            <w:hideMark/>
          </w:tcPr>
          <w:p w14:paraId="011C67A4"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Stomach</w:t>
            </w:r>
          </w:p>
        </w:tc>
        <w:tc>
          <w:tcPr>
            <w:tcW w:w="1200" w:type="dxa"/>
            <w:tcBorders>
              <w:top w:val="nil"/>
              <w:left w:val="nil"/>
              <w:bottom w:val="single" w:sz="4" w:space="0" w:color="auto"/>
              <w:right w:val="single" w:sz="4" w:space="0" w:color="auto"/>
            </w:tcBorders>
            <w:shd w:val="clear" w:color="auto" w:fill="auto"/>
            <w:noWrap/>
            <w:vAlign w:val="center"/>
            <w:hideMark/>
          </w:tcPr>
          <w:p w14:paraId="39C0B4E7"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2</w:t>
            </w:r>
          </w:p>
        </w:tc>
      </w:tr>
      <w:tr w:rsidR="00A40E42" w:rsidRPr="00A40E42" w14:paraId="22D3D14E"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6E7A732C"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21030</w:t>
            </w:r>
          </w:p>
        </w:tc>
        <w:tc>
          <w:tcPr>
            <w:tcW w:w="3680" w:type="dxa"/>
            <w:tcBorders>
              <w:top w:val="nil"/>
              <w:left w:val="nil"/>
              <w:bottom w:val="single" w:sz="4" w:space="0" w:color="auto"/>
              <w:right w:val="nil"/>
            </w:tcBorders>
            <w:shd w:val="clear" w:color="auto" w:fill="auto"/>
            <w:noWrap/>
            <w:vAlign w:val="bottom"/>
            <w:hideMark/>
          </w:tcPr>
          <w:p w14:paraId="6AA159CA"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Small Intestine</w:t>
            </w:r>
          </w:p>
        </w:tc>
        <w:tc>
          <w:tcPr>
            <w:tcW w:w="1200" w:type="dxa"/>
            <w:tcBorders>
              <w:top w:val="nil"/>
              <w:left w:val="nil"/>
              <w:bottom w:val="single" w:sz="4" w:space="0" w:color="auto"/>
              <w:right w:val="single" w:sz="4" w:space="0" w:color="auto"/>
            </w:tcBorders>
            <w:shd w:val="clear" w:color="auto" w:fill="auto"/>
            <w:noWrap/>
            <w:vAlign w:val="center"/>
            <w:hideMark/>
          </w:tcPr>
          <w:p w14:paraId="4AFE8F7F"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3</w:t>
            </w:r>
          </w:p>
        </w:tc>
      </w:tr>
      <w:tr w:rsidR="00A40E42" w:rsidRPr="00A40E42" w14:paraId="116C8BB9"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331172D5"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21041</w:t>
            </w:r>
          </w:p>
        </w:tc>
        <w:tc>
          <w:tcPr>
            <w:tcW w:w="3680" w:type="dxa"/>
            <w:tcBorders>
              <w:top w:val="nil"/>
              <w:left w:val="nil"/>
              <w:bottom w:val="nil"/>
              <w:right w:val="nil"/>
            </w:tcBorders>
            <w:shd w:val="clear" w:color="auto" w:fill="auto"/>
            <w:noWrap/>
            <w:vAlign w:val="bottom"/>
            <w:hideMark/>
          </w:tcPr>
          <w:p w14:paraId="3F6F1285"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Cecum</w:t>
            </w:r>
          </w:p>
        </w:tc>
        <w:tc>
          <w:tcPr>
            <w:tcW w:w="1200" w:type="dxa"/>
            <w:vMerge w:val="restart"/>
            <w:tcBorders>
              <w:top w:val="nil"/>
              <w:left w:val="nil"/>
              <w:bottom w:val="single" w:sz="4" w:space="0" w:color="000000"/>
              <w:right w:val="single" w:sz="4" w:space="0" w:color="auto"/>
            </w:tcBorders>
            <w:shd w:val="clear" w:color="auto" w:fill="auto"/>
            <w:noWrap/>
            <w:vAlign w:val="center"/>
            <w:hideMark/>
          </w:tcPr>
          <w:p w14:paraId="23265A8D"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4</w:t>
            </w:r>
          </w:p>
        </w:tc>
      </w:tr>
      <w:tr w:rsidR="00A40E42" w:rsidRPr="00A40E42" w14:paraId="3818A9A2"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0C38EA0A"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21043</w:t>
            </w:r>
          </w:p>
        </w:tc>
        <w:tc>
          <w:tcPr>
            <w:tcW w:w="3680" w:type="dxa"/>
            <w:tcBorders>
              <w:top w:val="nil"/>
              <w:left w:val="nil"/>
              <w:bottom w:val="nil"/>
              <w:right w:val="nil"/>
            </w:tcBorders>
            <w:shd w:val="clear" w:color="auto" w:fill="auto"/>
            <w:noWrap/>
            <w:vAlign w:val="bottom"/>
            <w:hideMark/>
          </w:tcPr>
          <w:p w14:paraId="7E772D16"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Ascending Colon</w:t>
            </w:r>
          </w:p>
        </w:tc>
        <w:tc>
          <w:tcPr>
            <w:tcW w:w="1200" w:type="dxa"/>
            <w:vMerge/>
            <w:tcBorders>
              <w:top w:val="nil"/>
              <w:left w:val="nil"/>
              <w:bottom w:val="single" w:sz="4" w:space="0" w:color="000000"/>
              <w:right w:val="single" w:sz="4" w:space="0" w:color="auto"/>
            </w:tcBorders>
            <w:vAlign w:val="center"/>
            <w:hideMark/>
          </w:tcPr>
          <w:p w14:paraId="3D09B2AF"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5D1E7ED2"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25307F53"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21045</w:t>
            </w:r>
          </w:p>
        </w:tc>
        <w:tc>
          <w:tcPr>
            <w:tcW w:w="3680" w:type="dxa"/>
            <w:tcBorders>
              <w:top w:val="nil"/>
              <w:left w:val="nil"/>
              <w:bottom w:val="nil"/>
              <w:right w:val="nil"/>
            </w:tcBorders>
            <w:shd w:val="clear" w:color="auto" w:fill="auto"/>
            <w:noWrap/>
            <w:vAlign w:val="bottom"/>
            <w:hideMark/>
          </w:tcPr>
          <w:p w14:paraId="509153F7"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Transverse Colon</w:t>
            </w:r>
          </w:p>
        </w:tc>
        <w:tc>
          <w:tcPr>
            <w:tcW w:w="1200" w:type="dxa"/>
            <w:vMerge/>
            <w:tcBorders>
              <w:top w:val="nil"/>
              <w:left w:val="nil"/>
              <w:bottom w:val="single" w:sz="4" w:space="0" w:color="000000"/>
              <w:right w:val="single" w:sz="4" w:space="0" w:color="auto"/>
            </w:tcBorders>
            <w:vAlign w:val="center"/>
            <w:hideMark/>
          </w:tcPr>
          <w:p w14:paraId="724F0923"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28CA6968"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75F428E9"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21047</w:t>
            </w:r>
          </w:p>
        </w:tc>
        <w:tc>
          <w:tcPr>
            <w:tcW w:w="3680" w:type="dxa"/>
            <w:tcBorders>
              <w:top w:val="nil"/>
              <w:left w:val="nil"/>
              <w:bottom w:val="nil"/>
              <w:right w:val="nil"/>
            </w:tcBorders>
            <w:shd w:val="clear" w:color="auto" w:fill="auto"/>
            <w:noWrap/>
            <w:vAlign w:val="bottom"/>
            <w:hideMark/>
          </w:tcPr>
          <w:p w14:paraId="32D25EB1"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Descending Colon</w:t>
            </w:r>
          </w:p>
        </w:tc>
        <w:tc>
          <w:tcPr>
            <w:tcW w:w="1200" w:type="dxa"/>
            <w:vMerge/>
            <w:tcBorders>
              <w:top w:val="nil"/>
              <w:left w:val="nil"/>
              <w:bottom w:val="single" w:sz="4" w:space="0" w:color="000000"/>
              <w:right w:val="single" w:sz="4" w:space="0" w:color="auto"/>
            </w:tcBorders>
            <w:vAlign w:val="center"/>
            <w:hideMark/>
          </w:tcPr>
          <w:p w14:paraId="4B878371"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726C2BC6"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783A8F13"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21048</w:t>
            </w:r>
          </w:p>
        </w:tc>
        <w:tc>
          <w:tcPr>
            <w:tcW w:w="3680" w:type="dxa"/>
            <w:tcBorders>
              <w:top w:val="nil"/>
              <w:left w:val="nil"/>
              <w:bottom w:val="nil"/>
              <w:right w:val="nil"/>
            </w:tcBorders>
            <w:shd w:val="clear" w:color="auto" w:fill="auto"/>
            <w:noWrap/>
            <w:vAlign w:val="bottom"/>
            <w:hideMark/>
          </w:tcPr>
          <w:p w14:paraId="798FB300"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Sigmoid Colon</w:t>
            </w:r>
          </w:p>
        </w:tc>
        <w:tc>
          <w:tcPr>
            <w:tcW w:w="1200" w:type="dxa"/>
            <w:vMerge/>
            <w:tcBorders>
              <w:top w:val="nil"/>
              <w:left w:val="nil"/>
              <w:bottom w:val="single" w:sz="4" w:space="0" w:color="000000"/>
              <w:right w:val="single" w:sz="4" w:space="0" w:color="auto"/>
            </w:tcBorders>
            <w:vAlign w:val="center"/>
            <w:hideMark/>
          </w:tcPr>
          <w:p w14:paraId="18D304CF"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41C11E4A"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3AD83C12"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21049</w:t>
            </w:r>
          </w:p>
        </w:tc>
        <w:tc>
          <w:tcPr>
            <w:tcW w:w="3680" w:type="dxa"/>
            <w:tcBorders>
              <w:top w:val="nil"/>
              <w:left w:val="nil"/>
              <w:bottom w:val="nil"/>
              <w:right w:val="nil"/>
            </w:tcBorders>
            <w:shd w:val="clear" w:color="auto" w:fill="auto"/>
            <w:noWrap/>
            <w:vAlign w:val="bottom"/>
            <w:hideMark/>
          </w:tcPr>
          <w:p w14:paraId="1485632C"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Large Intestine, NOS</w:t>
            </w:r>
          </w:p>
        </w:tc>
        <w:tc>
          <w:tcPr>
            <w:tcW w:w="1200" w:type="dxa"/>
            <w:vMerge/>
            <w:tcBorders>
              <w:top w:val="nil"/>
              <w:left w:val="nil"/>
              <w:bottom w:val="single" w:sz="4" w:space="0" w:color="000000"/>
              <w:right w:val="single" w:sz="4" w:space="0" w:color="auto"/>
            </w:tcBorders>
            <w:vAlign w:val="center"/>
            <w:hideMark/>
          </w:tcPr>
          <w:p w14:paraId="5C3A4049"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76B88FF5"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28B3DAB2"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21051</w:t>
            </w:r>
          </w:p>
        </w:tc>
        <w:tc>
          <w:tcPr>
            <w:tcW w:w="3680" w:type="dxa"/>
            <w:tcBorders>
              <w:top w:val="nil"/>
              <w:left w:val="nil"/>
              <w:bottom w:val="nil"/>
              <w:right w:val="nil"/>
            </w:tcBorders>
            <w:shd w:val="clear" w:color="auto" w:fill="auto"/>
            <w:noWrap/>
            <w:vAlign w:val="bottom"/>
            <w:hideMark/>
          </w:tcPr>
          <w:p w14:paraId="16D9A207"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Rectosigmoid Junction</w:t>
            </w:r>
          </w:p>
        </w:tc>
        <w:tc>
          <w:tcPr>
            <w:tcW w:w="1200" w:type="dxa"/>
            <w:vMerge/>
            <w:tcBorders>
              <w:top w:val="nil"/>
              <w:left w:val="nil"/>
              <w:bottom w:val="single" w:sz="4" w:space="0" w:color="000000"/>
              <w:right w:val="single" w:sz="4" w:space="0" w:color="auto"/>
            </w:tcBorders>
            <w:vAlign w:val="center"/>
            <w:hideMark/>
          </w:tcPr>
          <w:p w14:paraId="3629A555"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37B2AE82"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2177A14B"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21052</w:t>
            </w:r>
          </w:p>
        </w:tc>
        <w:tc>
          <w:tcPr>
            <w:tcW w:w="3680" w:type="dxa"/>
            <w:tcBorders>
              <w:top w:val="nil"/>
              <w:left w:val="nil"/>
              <w:bottom w:val="nil"/>
              <w:right w:val="nil"/>
            </w:tcBorders>
            <w:shd w:val="clear" w:color="auto" w:fill="auto"/>
            <w:noWrap/>
            <w:vAlign w:val="bottom"/>
            <w:hideMark/>
          </w:tcPr>
          <w:p w14:paraId="05737452"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Rectum</w:t>
            </w:r>
          </w:p>
        </w:tc>
        <w:tc>
          <w:tcPr>
            <w:tcW w:w="1200" w:type="dxa"/>
            <w:vMerge/>
            <w:tcBorders>
              <w:top w:val="nil"/>
              <w:left w:val="nil"/>
              <w:bottom w:val="single" w:sz="4" w:space="0" w:color="000000"/>
              <w:right w:val="single" w:sz="4" w:space="0" w:color="auto"/>
            </w:tcBorders>
            <w:vAlign w:val="center"/>
            <w:hideMark/>
          </w:tcPr>
          <w:p w14:paraId="39421880"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397E1CE8"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5CDD7A0E"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21060</w:t>
            </w:r>
          </w:p>
        </w:tc>
        <w:tc>
          <w:tcPr>
            <w:tcW w:w="3680" w:type="dxa"/>
            <w:tcBorders>
              <w:top w:val="nil"/>
              <w:left w:val="nil"/>
              <w:bottom w:val="nil"/>
              <w:right w:val="nil"/>
            </w:tcBorders>
            <w:shd w:val="clear" w:color="auto" w:fill="auto"/>
            <w:noWrap/>
            <w:vAlign w:val="bottom"/>
            <w:hideMark/>
          </w:tcPr>
          <w:p w14:paraId="37A05A35"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Anus, Anal Canal and Anorectum</w:t>
            </w:r>
          </w:p>
        </w:tc>
        <w:tc>
          <w:tcPr>
            <w:tcW w:w="1200" w:type="dxa"/>
            <w:vMerge/>
            <w:tcBorders>
              <w:top w:val="nil"/>
              <w:left w:val="nil"/>
              <w:bottom w:val="single" w:sz="4" w:space="0" w:color="000000"/>
              <w:right w:val="single" w:sz="4" w:space="0" w:color="auto"/>
            </w:tcBorders>
            <w:vAlign w:val="center"/>
            <w:hideMark/>
          </w:tcPr>
          <w:p w14:paraId="1DB1650B"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08A07F42"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3627B5D1"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21044</w:t>
            </w:r>
          </w:p>
        </w:tc>
        <w:tc>
          <w:tcPr>
            <w:tcW w:w="3680" w:type="dxa"/>
            <w:tcBorders>
              <w:top w:val="nil"/>
              <w:left w:val="nil"/>
              <w:bottom w:val="nil"/>
              <w:right w:val="nil"/>
            </w:tcBorders>
            <w:shd w:val="clear" w:color="auto" w:fill="auto"/>
            <w:noWrap/>
            <w:vAlign w:val="bottom"/>
            <w:hideMark/>
          </w:tcPr>
          <w:p w14:paraId="2C76DBFB"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Hepatic Flexure</w:t>
            </w:r>
          </w:p>
        </w:tc>
        <w:tc>
          <w:tcPr>
            <w:tcW w:w="1200" w:type="dxa"/>
            <w:vMerge/>
            <w:tcBorders>
              <w:top w:val="nil"/>
              <w:left w:val="nil"/>
              <w:bottom w:val="single" w:sz="4" w:space="0" w:color="000000"/>
              <w:right w:val="single" w:sz="4" w:space="0" w:color="auto"/>
            </w:tcBorders>
            <w:vAlign w:val="center"/>
            <w:hideMark/>
          </w:tcPr>
          <w:p w14:paraId="66E209D8"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237B44CA"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103ECE03"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21046</w:t>
            </w:r>
          </w:p>
        </w:tc>
        <w:tc>
          <w:tcPr>
            <w:tcW w:w="3680" w:type="dxa"/>
            <w:tcBorders>
              <w:top w:val="nil"/>
              <w:left w:val="nil"/>
              <w:bottom w:val="single" w:sz="4" w:space="0" w:color="auto"/>
              <w:right w:val="nil"/>
            </w:tcBorders>
            <w:shd w:val="clear" w:color="auto" w:fill="auto"/>
            <w:noWrap/>
            <w:vAlign w:val="bottom"/>
            <w:hideMark/>
          </w:tcPr>
          <w:p w14:paraId="5472040F"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Splenic Flexure</w:t>
            </w:r>
          </w:p>
        </w:tc>
        <w:tc>
          <w:tcPr>
            <w:tcW w:w="1200" w:type="dxa"/>
            <w:vMerge/>
            <w:tcBorders>
              <w:top w:val="nil"/>
              <w:left w:val="nil"/>
              <w:bottom w:val="single" w:sz="4" w:space="0" w:color="000000"/>
              <w:right w:val="single" w:sz="4" w:space="0" w:color="auto"/>
            </w:tcBorders>
            <w:vAlign w:val="center"/>
            <w:hideMark/>
          </w:tcPr>
          <w:p w14:paraId="35128B6B"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5F9A9200"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4B0AC6B5"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21100</w:t>
            </w:r>
          </w:p>
        </w:tc>
        <w:tc>
          <w:tcPr>
            <w:tcW w:w="3680" w:type="dxa"/>
            <w:tcBorders>
              <w:top w:val="nil"/>
              <w:left w:val="nil"/>
              <w:bottom w:val="single" w:sz="4" w:space="0" w:color="auto"/>
              <w:right w:val="nil"/>
            </w:tcBorders>
            <w:shd w:val="clear" w:color="auto" w:fill="auto"/>
            <w:noWrap/>
            <w:vAlign w:val="bottom"/>
            <w:hideMark/>
          </w:tcPr>
          <w:p w14:paraId="7775F8F9"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Pancreas</w:t>
            </w:r>
          </w:p>
        </w:tc>
        <w:tc>
          <w:tcPr>
            <w:tcW w:w="1200" w:type="dxa"/>
            <w:tcBorders>
              <w:top w:val="nil"/>
              <w:left w:val="nil"/>
              <w:bottom w:val="single" w:sz="4" w:space="0" w:color="auto"/>
              <w:right w:val="single" w:sz="4" w:space="0" w:color="auto"/>
            </w:tcBorders>
            <w:shd w:val="clear" w:color="auto" w:fill="auto"/>
            <w:noWrap/>
            <w:vAlign w:val="center"/>
            <w:hideMark/>
          </w:tcPr>
          <w:p w14:paraId="03DD65E4"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5</w:t>
            </w:r>
          </w:p>
        </w:tc>
      </w:tr>
      <w:tr w:rsidR="00A40E42" w:rsidRPr="00A40E42" w14:paraId="2C89F8AA"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47DFF05A"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21010</w:t>
            </w:r>
          </w:p>
        </w:tc>
        <w:tc>
          <w:tcPr>
            <w:tcW w:w="3680" w:type="dxa"/>
            <w:tcBorders>
              <w:top w:val="nil"/>
              <w:left w:val="nil"/>
              <w:bottom w:val="single" w:sz="4" w:space="0" w:color="auto"/>
              <w:right w:val="nil"/>
            </w:tcBorders>
            <w:shd w:val="clear" w:color="auto" w:fill="auto"/>
            <w:noWrap/>
            <w:vAlign w:val="bottom"/>
            <w:hideMark/>
          </w:tcPr>
          <w:p w14:paraId="75148B2D"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Esophagus</w:t>
            </w:r>
          </w:p>
        </w:tc>
        <w:tc>
          <w:tcPr>
            <w:tcW w:w="1200" w:type="dxa"/>
            <w:tcBorders>
              <w:top w:val="nil"/>
              <w:left w:val="nil"/>
              <w:bottom w:val="single" w:sz="4" w:space="0" w:color="auto"/>
              <w:right w:val="single" w:sz="4" w:space="0" w:color="auto"/>
            </w:tcBorders>
            <w:shd w:val="clear" w:color="auto" w:fill="auto"/>
            <w:noWrap/>
            <w:vAlign w:val="center"/>
            <w:hideMark/>
          </w:tcPr>
          <w:p w14:paraId="302C3F6D"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6</w:t>
            </w:r>
          </w:p>
        </w:tc>
      </w:tr>
      <w:tr w:rsidR="00A40E42" w:rsidRPr="00A40E42" w14:paraId="28570534"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441550D9"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22030</w:t>
            </w:r>
          </w:p>
        </w:tc>
        <w:tc>
          <w:tcPr>
            <w:tcW w:w="3680" w:type="dxa"/>
            <w:tcBorders>
              <w:top w:val="nil"/>
              <w:left w:val="nil"/>
              <w:bottom w:val="single" w:sz="4" w:space="0" w:color="auto"/>
              <w:right w:val="nil"/>
            </w:tcBorders>
            <w:shd w:val="clear" w:color="auto" w:fill="auto"/>
            <w:noWrap/>
            <w:vAlign w:val="bottom"/>
            <w:hideMark/>
          </w:tcPr>
          <w:p w14:paraId="00CB6C6D"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Lung and Bronchus</w:t>
            </w:r>
          </w:p>
        </w:tc>
        <w:tc>
          <w:tcPr>
            <w:tcW w:w="1200" w:type="dxa"/>
            <w:tcBorders>
              <w:top w:val="nil"/>
              <w:left w:val="nil"/>
              <w:bottom w:val="single" w:sz="4" w:space="0" w:color="auto"/>
              <w:right w:val="single" w:sz="4" w:space="0" w:color="auto"/>
            </w:tcBorders>
            <w:shd w:val="clear" w:color="auto" w:fill="auto"/>
            <w:noWrap/>
            <w:vAlign w:val="center"/>
            <w:hideMark/>
          </w:tcPr>
          <w:p w14:paraId="170B520A"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7</w:t>
            </w:r>
          </w:p>
        </w:tc>
      </w:tr>
      <w:tr w:rsidR="00A40E42" w:rsidRPr="00A40E42" w14:paraId="66CC2988"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2D6F6A61"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24000</w:t>
            </w:r>
          </w:p>
        </w:tc>
        <w:tc>
          <w:tcPr>
            <w:tcW w:w="3680" w:type="dxa"/>
            <w:tcBorders>
              <w:top w:val="nil"/>
              <w:left w:val="nil"/>
              <w:bottom w:val="single" w:sz="4" w:space="0" w:color="auto"/>
              <w:right w:val="nil"/>
            </w:tcBorders>
            <w:shd w:val="clear" w:color="auto" w:fill="auto"/>
            <w:noWrap/>
            <w:vAlign w:val="bottom"/>
            <w:hideMark/>
          </w:tcPr>
          <w:p w14:paraId="2650DC33"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Soft Tissue including Heart</w:t>
            </w:r>
          </w:p>
        </w:tc>
        <w:tc>
          <w:tcPr>
            <w:tcW w:w="1200" w:type="dxa"/>
            <w:tcBorders>
              <w:top w:val="nil"/>
              <w:left w:val="nil"/>
              <w:bottom w:val="single" w:sz="4" w:space="0" w:color="auto"/>
              <w:right w:val="single" w:sz="4" w:space="0" w:color="auto"/>
            </w:tcBorders>
            <w:shd w:val="clear" w:color="auto" w:fill="auto"/>
            <w:noWrap/>
            <w:vAlign w:val="center"/>
            <w:hideMark/>
          </w:tcPr>
          <w:p w14:paraId="071C6144"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8</w:t>
            </w:r>
          </w:p>
        </w:tc>
      </w:tr>
      <w:tr w:rsidR="00A40E42" w:rsidRPr="00A40E42" w14:paraId="66FF8006"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416234F7"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25010</w:t>
            </w:r>
          </w:p>
        </w:tc>
        <w:tc>
          <w:tcPr>
            <w:tcW w:w="3680" w:type="dxa"/>
            <w:tcBorders>
              <w:top w:val="nil"/>
              <w:left w:val="nil"/>
              <w:bottom w:val="single" w:sz="4" w:space="0" w:color="auto"/>
              <w:right w:val="nil"/>
            </w:tcBorders>
            <w:shd w:val="clear" w:color="auto" w:fill="auto"/>
            <w:noWrap/>
            <w:vAlign w:val="bottom"/>
            <w:hideMark/>
          </w:tcPr>
          <w:p w14:paraId="6F96AEC3"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Melanoma of the Skin</w:t>
            </w:r>
          </w:p>
        </w:tc>
        <w:tc>
          <w:tcPr>
            <w:tcW w:w="1200" w:type="dxa"/>
            <w:tcBorders>
              <w:top w:val="nil"/>
              <w:left w:val="nil"/>
              <w:bottom w:val="single" w:sz="4" w:space="0" w:color="auto"/>
              <w:right w:val="single" w:sz="4" w:space="0" w:color="auto"/>
            </w:tcBorders>
            <w:shd w:val="clear" w:color="auto" w:fill="auto"/>
            <w:noWrap/>
            <w:vAlign w:val="center"/>
            <w:hideMark/>
          </w:tcPr>
          <w:p w14:paraId="02BB502D"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9</w:t>
            </w:r>
          </w:p>
        </w:tc>
      </w:tr>
      <w:tr w:rsidR="00A40E42" w:rsidRPr="00A40E42" w14:paraId="0F65FC9E"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72DF506D"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26000</w:t>
            </w:r>
          </w:p>
        </w:tc>
        <w:tc>
          <w:tcPr>
            <w:tcW w:w="3680" w:type="dxa"/>
            <w:tcBorders>
              <w:top w:val="nil"/>
              <w:left w:val="nil"/>
              <w:bottom w:val="single" w:sz="4" w:space="0" w:color="auto"/>
              <w:right w:val="nil"/>
            </w:tcBorders>
            <w:shd w:val="clear" w:color="auto" w:fill="auto"/>
            <w:noWrap/>
            <w:vAlign w:val="bottom"/>
            <w:hideMark/>
          </w:tcPr>
          <w:p w14:paraId="7C1D6C2A"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Breast</w:t>
            </w:r>
          </w:p>
        </w:tc>
        <w:tc>
          <w:tcPr>
            <w:tcW w:w="1200" w:type="dxa"/>
            <w:tcBorders>
              <w:top w:val="nil"/>
              <w:left w:val="nil"/>
              <w:bottom w:val="single" w:sz="4" w:space="0" w:color="auto"/>
              <w:right w:val="single" w:sz="4" w:space="0" w:color="auto"/>
            </w:tcBorders>
            <w:shd w:val="clear" w:color="auto" w:fill="auto"/>
            <w:noWrap/>
            <w:vAlign w:val="center"/>
            <w:hideMark/>
          </w:tcPr>
          <w:p w14:paraId="0FCB9028"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10</w:t>
            </w:r>
          </w:p>
        </w:tc>
      </w:tr>
      <w:tr w:rsidR="00A40E42" w:rsidRPr="00A40E42" w14:paraId="516E2DC3"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5698E1B5"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27010</w:t>
            </w:r>
          </w:p>
        </w:tc>
        <w:tc>
          <w:tcPr>
            <w:tcW w:w="3680" w:type="dxa"/>
            <w:tcBorders>
              <w:top w:val="nil"/>
              <w:left w:val="nil"/>
              <w:bottom w:val="single" w:sz="4" w:space="0" w:color="auto"/>
              <w:right w:val="nil"/>
            </w:tcBorders>
            <w:shd w:val="clear" w:color="auto" w:fill="auto"/>
            <w:noWrap/>
            <w:vAlign w:val="bottom"/>
            <w:hideMark/>
          </w:tcPr>
          <w:p w14:paraId="4217D251"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Cervix Uteri</w:t>
            </w:r>
          </w:p>
        </w:tc>
        <w:tc>
          <w:tcPr>
            <w:tcW w:w="1200" w:type="dxa"/>
            <w:tcBorders>
              <w:top w:val="nil"/>
              <w:left w:val="nil"/>
              <w:bottom w:val="single" w:sz="4" w:space="0" w:color="auto"/>
              <w:right w:val="single" w:sz="4" w:space="0" w:color="auto"/>
            </w:tcBorders>
            <w:shd w:val="clear" w:color="auto" w:fill="auto"/>
            <w:noWrap/>
            <w:vAlign w:val="center"/>
            <w:hideMark/>
          </w:tcPr>
          <w:p w14:paraId="26EC470B"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11</w:t>
            </w:r>
          </w:p>
        </w:tc>
      </w:tr>
      <w:tr w:rsidR="00A40E42" w:rsidRPr="00A40E42" w14:paraId="4575163D"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0ADE7799"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27020</w:t>
            </w:r>
          </w:p>
        </w:tc>
        <w:tc>
          <w:tcPr>
            <w:tcW w:w="3680" w:type="dxa"/>
            <w:tcBorders>
              <w:top w:val="nil"/>
              <w:left w:val="nil"/>
              <w:bottom w:val="nil"/>
              <w:right w:val="nil"/>
            </w:tcBorders>
            <w:shd w:val="clear" w:color="auto" w:fill="auto"/>
            <w:noWrap/>
            <w:vAlign w:val="bottom"/>
            <w:hideMark/>
          </w:tcPr>
          <w:p w14:paraId="139ECF53"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Corpus Uteri</w:t>
            </w:r>
          </w:p>
        </w:tc>
        <w:tc>
          <w:tcPr>
            <w:tcW w:w="1200" w:type="dxa"/>
            <w:vMerge w:val="restart"/>
            <w:tcBorders>
              <w:top w:val="nil"/>
              <w:left w:val="nil"/>
              <w:bottom w:val="single" w:sz="4" w:space="0" w:color="000000"/>
              <w:right w:val="single" w:sz="4" w:space="0" w:color="auto"/>
            </w:tcBorders>
            <w:shd w:val="clear" w:color="auto" w:fill="auto"/>
            <w:noWrap/>
            <w:vAlign w:val="center"/>
            <w:hideMark/>
          </w:tcPr>
          <w:p w14:paraId="4E84531B"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12</w:t>
            </w:r>
          </w:p>
        </w:tc>
      </w:tr>
      <w:tr w:rsidR="00A40E42" w:rsidRPr="00A40E42" w14:paraId="35261B74"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37E2FD6C"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27030</w:t>
            </w:r>
          </w:p>
        </w:tc>
        <w:tc>
          <w:tcPr>
            <w:tcW w:w="3680" w:type="dxa"/>
            <w:tcBorders>
              <w:top w:val="nil"/>
              <w:left w:val="nil"/>
              <w:bottom w:val="single" w:sz="4" w:space="0" w:color="auto"/>
              <w:right w:val="nil"/>
            </w:tcBorders>
            <w:shd w:val="clear" w:color="auto" w:fill="auto"/>
            <w:noWrap/>
            <w:vAlign w:val="bottom"/>
            <w:hideMark/>
          </w:tcPr>
          <w:p w14:paraId="1A20FB38"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Uterus, NOS</w:t>
            </w:r>
          </w:p>
        </w:tc>
        <w:tc>
          <w:tcPr>
            <w:tcW w:w="1200" w:type="dxa"/>
            <w:vMerge/>
            <w:tcBorders>
              <w:top w:val="nil"/>
              <w:left w:val="nil"/>
              <w:bottom w:val="single" w:sz="4" w:space="0" w:color="000000"/>
              <w:right w:val="single" w:sz="4" w:space="0" w:color="auto"/>
            </w:tcBorders>
            <w:vAlign w:val="center"/>
            <w:hideMark/>
          </w:tcPr>
          <w:p w14:paraId="7E5244CB"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10C8FF3A"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11F806C9"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27040</w:t>
            </w:r>
          </w:p>
        </w:tc>
        <w:tc>
          <w:tcPr>
            <w:tcW w:w="3680" w:type="dxa"/>
            <w:tcBorders>
              <w:top w:val="nil"/>
              <w:left w:val="nil"/>
              <w:bottom w:val="single" w:sz="4" w:space="0" w:color="auto"/>
              <w:right w:val="nil"/>
            </w:tcBorders>
            <w:shd w:val="clear" w:color="auto" w:fill="auto"/>
            <w:noWrap/>
            <w:vAlign w:val="bottom"/>
            <w:hideMark/>
          </w:tcPr>
          <w:p w14:paraId="73291818"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Ovary</w:t>
            </w:r>
          </w:p>
        </w:tc>
        <w:tc>
          <w:tcPr>
            <w:tcW w:w="1200" w:type="dxa"/>
            <w:tcBorders>
              <w:top w:val="nil"/>
              <w:left w:val="nil"/>
              <w:bottom w:val="single" w:sz="4" w:space="0" w:color="auto"/>
              <w:right w:val="single" w:sz="4" w:space="0" w:color="auto"/>
            </w:tcBorders>
            <w:shd w:val="clear" w:color="auto" w:fill="auto"/>
            <w:noWrap/>
            <w:vAlign w:val="center"/>
            <w:hideMark/>
          </w:tcPr>
          <w:p w14:paraId="0A8E5113"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13</w:t>
            </w:r>
          </w:p>
        </w:tc>
      </w:tr>
      <w:tr w:rsidR="00A40E42" w:rsidRPr="00A40E42" w14:paraId="2A5F8CD3"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09F405D4"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28010</w:t>
            </w:r>
          </w:p>
        </w:tc>
        <w:tc>
          <w:tcPr>
            <w:tcW w:w="3680" w:type="dxa"/>
            <w:tcBorders>
              <w:top w:val="nil"/>
              <w:left w:val="nil"/>
              <w:bottom w:val="single" w:sz="4" w:space="0" w:color="auto"/>
              <w:right w:val="nil"/>
            </w:tcBorders>
            <w:shd w:val="clear" w:color="auto" w:fill="auto"/>
            <w:noWrap/>
            <w:vAlign w:val="bottom"/>
            <w:hideMark/>
          </w:tcPr>
          <w:p w14:paraId="71903A81"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Prostate</w:t>
            </w:r>
          </w:p>
        </w:tc>
        <w:tc>
          <w:tcPr>
            <w:tcW w:w="1200" w:type="dxa"/>
            <w:tcBorders>
              <w:top w:val="nil"/>
              <w:left w:val="nil"/>
              <w:bottom w:val="single" w:sz="4" w:space="0" w:color="auto"/>
              <w:right w:val="single" w:sz="4" w:space="0" w:color="auto"/>
            </w:tcBorders>
            <w:shd w:val="clear" w:color="auto" w:fill="auto"/>
            <w:noWrap/>
            <w:vAlign w:val="center"/>
            <w:hideMark/>
          </w:tcPr>
          <w:p w14:paraId="4521524F"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14</w:t>
            </w:r>
          </w:p>
        </w:tc>
      </w:tr>
      <w:tr w:rsidR="00A40E42" w:rsidRPr="00A40E42" w14:paraId="7A222565"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2EAA3240"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lastRenderedPageBreak/>
              <w:t>28020</w:t>
            </w:r>
          </w:p>
        </w:tc>
        <w:tc>
          <w:tcPr>
            <w:tcW w:w="3680" w:type="dxa"/>
            <w:tcBorders>
              <w:top w:val="nil"/>
              <w:left w:val="nil"/>
              <w:bottom w:val="single" w:sz="4" w:space="0" w:color="auto"/>
              <w:right w:val="nil"/>
            </w:tcBorders>
            <w:shd w:val="clear" w:color="auto" w:fill="auto"/>
            <w:noWrap/>
            <w:vAlign w:val="bottom"/>
            <w:hideMark/>
          </w:tcPr>
          <w:p w14:paraId="5256928C"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Testis</w:t>
            </w:r>
          </w:p>
        </w:tc>
        <w:tc>
          <w:tcPr>
            <w:tcW w:w="1200" w:type="dxa"/>
            <w:tcBorders>
              <w:top w:val="nil"/>
              <w:left w:val="nil"/>
              <w:bottom w:val="single" w:sz="4" w:space="0" w:color="auto"/>
              <w:right w:val="single" w:sz="4" w:space="0" w:color="auto"/>
            </w:tcBorders>
            <w:shd w:val="clear" w:color="auto" w:fill="auto"/>
            <w:noWrap/>
            <w:vAlign w:val="center"/>
            <w:hideMark/>
          </w:tcPr>
          <w:p w14:paraId="5E40E1C5"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15</w:t>
            </w:r>
          </w:p>
        </w:tc>
      </w:tr>
      <w:tr w:rsidR="00A40E42" w:rsidRPr="00A40E42" w14:paraId="088D1FAB"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0B0183F0"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29010</w:t>
            </w:r>
          </w:p>
        </w:tc>
        <w:tc>
          <w:tcPr>
            <w:tcW w:w="3680" w:type="dxa"/>
            <w:tcBorders>
              <w:top w:val="nil"/>
              <w:left w:val="nil"/>
              <w:bottom w:val="nil"/>
              <w:right w:val="nil"/>
            </w:tcBorders>
            <w:shd w:val="clear" w:color="auto" w:fill="auto"/>
            <w:noWrap/>
            <w:vAlign w:val="bottom"/>
            <w:hideMark/>
          </w:tcPr>
          <w:p w14:paraId="542F458F"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Urinary Bladder</w:t>
            </w:r>
          </w:p>
        </w:tc>
        <w:tc>
          <w:tcPr>
            <w:tcW w:w="1200" w:type="dxa"/>
            <w:vMerge w:val="restart"/>
            <w:tcBorders>
              <w:top w:val="nil"/>
              <w:left w:val="nil"/>
              <w:bottom w:val="single" w:sz="4" w:space="0" w:color="000000"/>
              <w:right w:val="single" w:sz="4" w:space="0" w:color="auto"/>
            </w:tcBorders>
            <w:shd w:val="clear" w:color="auto" w:fill="auto"/>
            <w:noWrap/>
            <w:vAlign w:val="center"/>
            <w:hideMark/>
          </w:tcPr>
          <w:p w14:paraId="348C61B5"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16</w:t>
            </w:r>
          </w:p>
        </w:tc>
      </w:tr>
      <w:tr w:rsidR="00A40E42" w:rsidRPr="00A40E42" w14:paraId="5F5399E1"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29049E77" w14:textId="77777777" w:rsidR="00A40E42" w:rsidRPr="00A40E42" w:rsidRDefault="00A40E42" w:rsidP="00A40E42">
            <w:pPr>
              <w:spacing w:after="0" w:line="240" w:lineRule="auto"/>
              <w:jc w:val="right"/>
              <w:rPr>
                <w:rFonts w:ascii="Calibri" w:eastAsia="Times New Roman" w:hAnsi="Calibri" w:cs="Times New Roman"/>
              </w:rPr>
            </w:pPr>
            <w:r w:rsidRPr="00A40E42">
              <w:rPr>
                <w:rFonts w:ascii="Calibri" w:eastAsia="Times New Roman" w:hAnsi="Calibri" w:cs="Times New Roman"/>
              </w:rPr>
              <w:t>29030</w:t>
            </w:r>
          </w:p>
        </w:tc>
        <w:tc>
          <w:tcPr>
            <w:tcW w:w="3680" w:type="dxa"/>
            <w:tcBorders>
              <w:top w:val="nil"/>
              <w:left w:val="nil"/>
              <w:bottom w:val="nil"/>
              <w:right w:val="nil"/>
            </w:tcBorders>
            <w:shd w:val="clear" w:color="auto" w:fill="auto"/>
            <w:noWrap/>
            <w:vAlign w:val="bottom"/>
            <w:hideMark/>
          </w:tcPr>
          <w:p w14:paraId="31400FAD" w14:textId="77777777" w:rsidR="00A40E42" w:rsidRPr="00A40E42" w:rsidRDefault="00A40E42" w:rsidP="00A40E42">
            <w:pPr>
              <w:spacing w:after="0" w:line="240" w:lineRule="auto"/>
              <w:rPr>
                <w:rFonts w:ascii="Calibri" w:eastAsia="Times New Roman" w:hAnsi="Calibri" w:cs="Times New Roman"/>
              </w:rPr>
            </w:pPr>
            <w:r w:rsidRPr="00A40E42">
              <w:rPr>
                <w:rFonts w:ascii="Calibri" w:eastAsia="Times New Roman" w:hAnsi="Calibri" w:cs="Times New Roman"/>
              </w:rPr>
              <w:t>Ureter</w:t>
            </w:r>
          </w:p>
        </w:tc>
        <w:tc>
          <w:tcPr>
            <w:tcW w:w="1200" w:type="dxa"/>
            <w:vMerge/>
            <w:tcBorders>
              <w:top w:val="nil"/>
              <w:left w:val="nil"/>
              <w:bottom w:val="single" w:sz="4" w:space="0" w:color="000000"/>
              <w:right w:val="single" w:sz="4" w:space="0" w:color="auto"/>
            </w:tcBorders>
            <w:vAlign w:val="center"/>
            <w:hideMark/>
          </w:tcPr>
          <w:p w14:paraId="01A62E87"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20CCF528"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2543265B" w14:textId="77777777" w:rsidR="00A40E42" w:rsidRPr="00A40E42" w:rsidRDefault="00A40E42" w:rsidP="00A40E42">
            <w:pPr>
              <w:spacing w:after="0" w:line="240" w:lineRule="auto"/>
              <w:jc w:val="right"/>
              <w:rPr>
                <w:rFonts w:ascii="Calibri" w:eastAsia="Times New Roman" w:hAnsi="Calibri" w:cs="Times New Roman"/>
              </w:rPr>
            </w:pPr>
            <w:r w:rsidRPr="00A40E42">
              <w:rPr>
                <w:rFonts w:ascii="Calibri" w:eastAsia="Times New Roman" w:hAnsi="Calibri" w:cs="Times New Roman"/>
              </w:rPr>
              <w:t>29040</w:t>
            </w:r>
          </w:p>
        </w:tc>
        <w:tc>
          <w:tcPr>
            <w:tcW w:w="3680" w:type="dxa"/>
            <w:tcBorders>
              <w:top w:val="nil"/>
              <w:left w:val="nil"/>
              <w:bottom w:val="single" w:sz="4" w:space="0" w:color="auto"/>
              <w:right w:val="nil"/>
            </w:tcBorders>
            <w:shd w:val="clear" w:color="auto" w:fill="auto"/>
            <w:noWrap/>
            <w:vAlign w:val="bottom"/>
            <w:hideMark/>
          </w:tcPr>
          <w:p w14:paraId="1C23394B" w14:textId="77777777" w:rsidR="00A40E42" w:rsidRPr="00A40E42" w:rsidRDefault="00A40E42" w:rsidP="00A40E42">
            <w:pPr>
              <w:spacing w:after="0" w:line="240" w:lineRule="auto"/>
              <w:rPr>
                <w:rFonts w:ascii="Calibri" w:eastAsia="Times New Roman" w:hAnsi="Calibri" w:cs="Times New Roman"/>
              </w:rPr>
            </w:pPr>
            <w:r w:rsidRPr="00A40E42">
              <w:rPr>
                <w:rFonts w:ascii="Calibri" w:eastAsia="Times New Roman" w:hAnsi="Calibri" w:cs="Times New Roman"/>
              </w:rPr>
              <w:t>Other Urinary Organs</w:t>
            </w:r>
          </w:p>
        </w:tc>
        <w:tc>
          <w:tcPr>
            <w:tcW w:w="1200" w:type="dxa"/>
            <w:vMerge/>
            <w:tcBorders>
              <w:top w:val="nil"/>
              <w:left w:val="nil"/>
              <w:bottom w:val="single" w:sz="4" w:space="0" w:color="000000"/>
              <w:right w:val="single" w:sz="4" w:space="0" w:color="auto"/>
            </w:tcBorders>
            <w:vAlign w:val="center"/>
            <w:hideMark/>
          </w:tcPr>
          <w:p w14:paraId="0E59A99F"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4D91D469"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71E5C271"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29020</w:t>
            </w:r>
          </w:p>
        </w:tc>
        <w:tc>
          <w:tcPr>
            <w:tcW w:w="3680" w:type="dxa"/>
            <w:tcBorders>
              <w:top w:val="nil"/>
              <w:left w:val="nil"/>
              <w:bottom w:val="single" w:sz="4" w:space="0" w:color="auto"/>
              <w:right w:val="nil"/>
            </w:tcBorders>
            <w:shd w:val="clear" w:color="auto" w:fill="auto"/>
            <w:noWrap/>
            <w:vAlign w:val="bottom"/>
            <w:hideMark/>
          </w:tcPr>
          <w:p w14:paraId="16614AC3"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Kidney and Renal Pelvis</w:t>
            </w:r>
          </w:p>
        </w:tc>
        <w:tc>
          <w:tcPr>
            <w:tcW w:w="1200" w:type="dxa"/>
            <w:tcBorders>
              <w:top w:val="nil"/>
              <w:left w:val="nil"/>
              <w:bottom w:val="single" w:sz="4" w:space="0" w:color="auto"/>
              <w:right w:val="single" w:sz="4" w:space="0" w:color="auto"/>
            </w:tcBorders>
            <w:shd w:val="clear" w:color="auto" w:fill="auto"/>
            <w:noWrap/>
            <w:vAlign w:val="center"/>
            <w:hideMark/>
          </w:tcPr>
          <w:p w14:paraId="2D7DC8EC"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17</w:t>
            </w:r>
          </w:p>
        </w:tc>
      </w:tr>
      <w:tr w:rsidR="00A40E42" w:rsidRPr="00A40E42" w14:paraId="4DA2A0CE"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6E8E8F57"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31010</w:t>
            </w:r>
          </w:p>
        </w:tc>
        <w:tc>
          <w:tcPr>
            <w:tcW w:w="3680" w:type="dxa"/>
            <w:tcBorders>
              <w:top w:val="nil"/>
              <w:left w:val="nil"/>
              <w:bottom w:val="single" w:sz="4" w:space="0" w:color="auto"/>
              <w:right w:val="nil"/>
            </w:tcBorders>
            <w:shd w:val="clear" w:color="auto" w:fill="auto"/>
            <w:noWrap/>
            <w:vAlign w:val="bottom"/>
            <w:hideMark/>
          </w:tcPr>
          <w:p w14:paraId="6E1DFC95"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Brain</w:t>
            </w:r>
          </w:p>
        </w:tc>
        <w:tc>
          <w:tcPr>
            <w:tcW w:w="1200" w:type="dxa"/>
            <w:tcBorders>
              <w:top w:val="nil"/>
              <w:left w:val="nil"/>
              <w:bottom w:val="single" w:sz="4" w:space="0" w:color="auto"/>
              <w:right w:val="single" w:sz="4" w:space="0" w:color="auto"/>
            </w:tcBorders>
            <w:shd w:val="clear" w:color="auto" w:fill="auto"/>
            <w:noWrap/>
            <w:vAlign w:val="center"/>
            <w:hideMark/>
          </w:tcPr>
          <w:p w14:paraId="0F6FC343"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18</w:t>
            </w:r>
          </w:p>
        </w:tc>
      </w:tr>
      <w:tr w:rsidR="00A40E42" w:rsidRPr="00A40E42" w14:paraId="2B195F3D"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72FFD2E7"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31040</w:t>
            </w:r>
          </w:p>
        </w:tc>
        <w:tc>
          <w:tcPr>
            <w:tcW w:w="3680" w:type="dxa"/>
            <w:tcBorders>
              <w:top w:val="nil"/>
              <w:left w:val="nil"/>
              <w:bottom w:val="single" w:sz="4" w:space="0" w:color="auto"/>
              <w:right w:val="nil"/>
            </w:tcBorders>
            <w:shd w:val="clear" w:color="auto" w:fill="auto"/>
            <w:noWrap/>
            <w:vAlign w:val="bottom"/>
            <w:hideMark/>
          </w:tcPr>
          <w:p w14:paraId="5B4AE07A"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Cranial Nerves Other Nervous System</w:t>
            </w:r>
          </w:p>
        </w:tc>
        <w:tc>
          <w:tcPr>
            <w:tcW w:w="1200" w:type="dxa"/>
            <w:tcBorders>
              <w:top w:val="nil"/>
              <w:left w:val="nil"/>
              <w:bottom w:val="single" w:sz="4" w:space="0" w:color="auto"/>
              <w:right w:val="single" w:sz="4" w:space="0" w:color="auto"/>
            </w:tcBorders>
            <w:shd w:val="clear" w:color="auto" w:fill="auto"/>
            <w:noWrap/>
            <w:vAlign w:val="center"/>
            <w:hideMark/>
          </w:tcPr>
          <w:p w14:paraId="62928C33"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19</w:t>
            </w:r>
          </w:p>
        </w:tc>
      </w:tr>
      <w:tr w:rsidR="00A40E42" w:rsidRPr="00A40E42" w14:paraId="7CF9966C"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0767716B"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32010</w:t>
            </w:r>
          </w:p>
        </w:tc>
        <w:tc>
          <w:tcPr>
            <w:tcW w:w="3680" w:type="dxa"/>
            <w:tcBorders>
              <w:top w:val="nil"/>
              <w:left w:val="nil"/>
              <w:bottom w:val="nil"/>
              <w:right w:val="nil"/>
            </w:tcBorders>
            <w:shd w:val="clear" w:color="auto" w:fill="auto"/>
            <w:noWrap/>
            <w:vAlign w:val="bottom"/>
            <w:hideMark/>
          </w:tcPr>
          <w:p w14:paraId="2676C993"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Thyroid</w:t>
            </w:r>
          </w:p>
        </w:tc>
        <w:tc>
          <w:tcPr>
            <w:tcW w:w="1200" w:type="dxa"/>
            <w:vMerge w:val="restart"/>
            <w:tcBorders>
              <w:top w:val="nil"/>
              <w:left w:val="nil"/>
              <w:bottom w:val="single" w:sz="4" w:space="0" w:color="000000"/>
              <w:right w:val="single" w:sz="4" w:space="0" w:color="auto"/>
            </w:tcBorders>
            <w:shd w:val="clear" w:color="auto" w:fill="auto"/>
            <w:noWrap/>
            <w:vAlign w:val="center"/>
            <w:hideMark/>
          </w:tcPr>
          <w:p w14:paraId="361FCC9E"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20</w:t>
            </w:r>
          </w:p>
        </w:tc>
      </w:tr>
      <w:tr w:rsidR="00A40E42" w:rsidRPr="00A40E42" w14:paraId="57C6AC4A"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0E0CA2F3"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32020</w:t>
            </w:r>
          </w:p>
        </w:tc>
        <w:tc>
          <w:tcPr>
            <w:tcW w:w="3680" w:type="dxa"/>
            <w:tcBorders>
              <w:top w:val="nil"/>
              <w:left w:val="nil"/>
              <w:bottom w:val="single" w:sz="4" w:space="0" w:color="auto"/>
              <w:right w:val="nil"/>
            </w:tcBorders>
            <w:shd w:val="clear" w:color="auto" w:fill="auto"/>
            <w:noWrap/>
            <w:vAlign w:val="bottom"/>
            <w:hideMark/>
          </w:tcPr>
          <w:p w14:paraId="15D4058B"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Other Endocrine including Thymus</w:t>
            </w:r>
          </w:p>
        </w:tc>
        <w:tc>
          <w:tcPr>
            <w:tcW w:w="1200" w:type="dxa"/>
            <w:vMerge/>
            <w:tcBorders>
              <w:top w:val="nil"/>
              <w:left w:val="nil"/>
              <w:bottom w:val="single" w:sz="4" w:space="0" w:color="000000"/>
              <w:right w:val="single" w:sz="4" w:space="0" w:color="auto"/>
            </w:tcBorders>
            <w:vAlign w:val="center"/>
            <w:hideMark/>
          </w:tcPr>
          <w:p w14:paraId="01E560FE"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3F78E2C3"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7BCC7FAD"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33011</w:t>
            </w:r>
          </w:p>
        </w:tc>
        <w:tc>
          <w:tcPr>
            <w:tcW w:w="3680" w:type="dxa"/>
            <w:tcBorders>
              <w:top w:val="nil"/>
              <w:left w:val="nil"/>
              <w:bottom w:val="nil"/>
              <w:right w:val="nil"/>
            </w:tcBorders>
            <w:shd w:val="clear" w:color="auto" w:fill="auto"/>
            <w:noWrap/>
            <w:vAlign w:val="bottom"/>
            <w:hideMark/>
          </w:tcPr>
          <w:p w14:paraId="6F4B1D29"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Hodgkin - Nodal</w:t>
            </w:r>
          </w:p>
        </w:tc>
        <w:tc>
          <w:tcPr>
            <w:tcW w:w="1200" w:type="dxa"/>
            <w:vMerge w:val="restart"/>
            <w:tcBorders>
              <w:top w:val="nil"/>
              <w:left w:val="nil"/>
              <w:bottom w:val="single" w:sz="4" w:space="0" w:color="000000"/>
              <w:right w:val="single" w:sz="4" w:space="0" w:color="auto"/>
            </w:tcBorders>
            <w:shd w:val="clear" w:color="auto" w:fill="auto"/>
            <w:noWrap/>
            <w:vAlign w:val="center"/>
            <w:hideMark/>
          </w:tcPr>
          <w:p w14:paraId="2FAA9DEA"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21</w:t>
            </w:r>
          </w:p>
        </w:tc>
      </w:tr>
      <w:tr w:rsidR="00A40E42" w:rsidRPr="00A40E42" w14:paraId="748FE1B9"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1BA03AFE"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33012</w:t>
            </w:r>
          </w:p>
        </w:tc>
        <w:tc>
          <w:tcPr>
            <w:tcW w:w="3680" w:type="dxa"/>
            <w:tcBorders>
              <w:top w:val="nil"/>
              <w:left w:val="nil"/>
              <w:bottom w:val="single" w:sz="4" w:space="0" w:color="auto"/>
              <w:right w:val="nil"/>
            </w:tcBorders>
            <w:shd w:val="clear" w:color="auto" w:fill="auto"/>
            <w:noWrap/>
            <w:vAlign w:val="bottom"/>
            <w:hideMark/>
          </w:tcPr>
          <w:p w14:paraId="6D03E82E"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 xml:space="preserve">Hodgkin - </w:t>
            </w:r>
            <w:proofErr w:type="spellStart"/>
            <w:r w:rsidRPr="00A40E42">
              <w:rPr>
                <w:rFonts w:ascii="Calibri" w:eastAsia="Times New Roman" w:hAnsi="Calibri" w:cs="Times New Roman"/>
                <w:color w:val="000000"/>
              </w:rPr>
              <w:t>Extranodal</w:t>
            </w:r>
            <w:proofErr w:type="spellEnd"/>
          </w:p>
        </w:tc>
        <w:tc>
          <w:tcPr>
            <w:tcW w:w="1200" w:type="dxa"/>
            <w:vMerge/>
            <w:tcBorders>
              <w:top w:val="nil"/>
              <w:left w:val="nil"/>
              <w:bottom w:val="single" w:sz="4" w:space="0" w:color="000000"/>
              <w:right w:val="single" w:sz="4" w:space="0" w:color="auto"/>
            </w:tcBorders>
            <w:vAlign w:val="center"/>
            <w:hideMark/>
          </w:tcPr>
          <w:p w14:paraId="49EF189B"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1E1C61C7"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4ED37A3B"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33041</w:t>
            </w:r>
          </w:p>
        </w:tc>
        <w:tc>
          <w:tcPr>
            <w:tcW w:w="3680" w:type="dxa"/>
            <w:tcBorders>
              <w:top w:val="nil"/>
              <w:left w:val="nil"/>
              <w:bottom w:val="nil"/>
              <w:right w:val="nil"/>
            </w:tcBorders>
            <w:shd w:val="clear" w:color="auto" w:fill="auto"/>
            <w:noWrap/>
            <w:vAlign w:val="bottom"/>
            <w:hideMark/>
          </w:tcPr>
          <w:p w14:paraId="2205055F"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NHL - Nodal</w:t>
            </w:r>
          </w:p>
        </w:tc>
        <w:tc>
          <w:tcPr>
            <w:tcW w:w="1200" w:type="dxa"/>
            <w:vMerge w:val="restart"/>
            <w:tcBorders>
              <w:top w:val="nil"/>
              <w:left w:val="nil"/>
              <w:bottom w:val="single" w:sz="4" w:space="0" w:color="000000"/>
              <w:right w:val="single" w:sz="4" w:space="0" w:color="auto"/>
            </w:tcBorders>
            <w:shd w:val="clear" w:color="auto" w:fill="auto"/>
            <w:noWrap/>
            <w:vAlign w:val="center"/>
            <w:hideMark/>
          </w:tcPr>
          <w:p w14:paraId="35ABE27B"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22</w:t>
            </w:r>
          </w:p>
        </w:tc>
      </w:tr>
      <w:tr w:rsidR="00A40E42" w:rsidRPr="00A40E42" w14:paraId="029C3E69"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41DFC1A5"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33042</w:t>
            </w:r>
          </w:p>
        </w:tc>
        <w:tc>
          <w:tcPr>
            <w:tcW w:w="3680" w:type="dxa"/>
            <w:tcBorders>
              <w:top w:val="nil"/>
              <w:left w:val="nil"/>
              <w:bottom w:val="single" w:sz="4" w:space="0" w:color="auto"/>
              <w:right w:val="nil"/>
            </w:tcBorders>
            <w:shd w:val="clear" w:color="auto" w:fill="auto"/>
            <w:noWrap/>
            <w:vAlign w:val="bottom"/>
            <w:hideMark/>
          </w:tcPr>
          <w:p w14:paraId="4014B32E"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 xml:space="preserve">NHL - </w:t>
            </w:r>
            <w:proofErr w:type="spellStart"/>
            <w:r w:rsidRPr="00A40E42">
              <w:rPr>
                <w:rFonts w:ascii="Calibri" w:eastAsia="Times New Roman" w:hAnsi="Calibri" w:cs="Times New Roman"/>
                <w:color w:val="000000"/>
              </w:rPr>
              <w:t>Extranodal</w:t>
            </w:r>
            <w:proofErr w:type="spellEnd"/>
          </w:p>
        </w:tc>
        <w:tc>
          <w:tcPr>
            <w:tcW w:w="1200" w:type="dxa"/>
            <w:vMerge/>
            <w:tcBorders>
              <w:top w:val="nil"/>
              <w:left w:val="nil"/>
              <w:bottom w:val="single" w:sz="4" w:space="0" w:color="000000"/>
              <w:right w:val="single" w:sz="4" w:space="0" w:color="auto"/>
            </w:tcBorders>
            <w:vAlign w:val="center"/>
            <w:hideMark/>
          </w:tcPr>
          <w:p w14:paraId="752AB630"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5EB99938"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3F12F612"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34000</w:t>
            </w:r>
          </w:p>
        </w:tc>
        <w:tc>
          <w:tcPr>
            <w:tcW w:w="3680" w:type="dxa"/>
            <w:tcBorders>
              <w:top w:val="nil"/>
              <w:left w:val="nil"/>
              <w:bottom w:val="single" w:sz="4" w:space="0" w:color="auto"/>
              <w:right w:val="nil"/>
            </w:tcBorders>
            <w:shd w:val="clear" w:color="auto" w:fill="auto"/>
            <w:noWrap/>
            <w:vAlign w:val="bottom"/>
            <w:hideMark/>
          </w:tcPr>
          <w:p w14:paraId="5576E5A9"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Myeloma</w:t>
            </w:r>
          </w:p>
        </w:tc>
        <w:tc>
          <w:tcPr>
            <w:tcW w:w="1200" w:type="dxa"/>
            <w:tcBorders>
              <w:top w:val="nil"/>
              <w:left w:val="nil"/>
              <w:bottom w:val="single" w:sz="4" w:space="0" w:color="auto"/>
              <w:right w:val="single" w:sz="4" w:space="0" w:color="auto"/>
            </w:tcBorders>
            <w:shd w:val="clear" w:color="auto" w:fill="auto"/>
            <w:noWrap/>
            <w:vAlign w:val="center"/>
            <w:hideMark/>
          </w:tcPr>
          <w:p w14:paraId="4D555C0F"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23</w:t>
            </w:r>
          </w:p>
        </w:tc>
      </w:tr>
      <w:tr w:rsidR="00A40E42" w:rsidRPr="00A40E42" w14:paraId="3BCAAE44"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1137D728"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35011</w:t>
            </w:r>
          </w:p>
        </w:tc>
        <w:tc>
          <w:tcPr>
            <w:tcW w:w="3680" w:type="dxa"/>
            <w:tcBorders>
              <w:top w:val="nil"/>
              <w:left w:val="nil"/>
              <w:bottom w:val="nil"/>
              <w:right w:val="nil"/>
            </w:tcBorders>
            <w:shd w:val="clear" w:color="auto" w:fill="auto"/>
            <w:noWrap/>
            <w:vAlign w:val="bottom"/>
            <w:hideMark/>
          </w:tcPr>
          <w:p w14:paraId="2645DCE5"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Acute Lymphocytic Leukemia</w:t>
            </w:r>
          </w:p>
        </w:tc>
        <w:tc>
          <w:tcPr>
            <w:tcW w:w="1200" w:type="dxa"/>
            <w:vMerge w:val="restart"/>
            <w:tcBorders>
              <w:top w:val="nil"/>
              <w:left w:val="nil"/>
              <w:bottom w:val="single" w:sz="4" w:space="0" w:color="000000"/>
              <w:right w:val="single" w:sz="4" w:space="0" w:color="auto"/>
            </w:tcBorders>
            <w:shd w:val="clear" w:color="auto" w:fill="auto"/>
            <w:noWrap/>
            <w:vAlign w:val="center"/>
            <w:hideMark/>
          </w:tcPr>
          <w:p w14:paraId="6137FBFB"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24</w:t>
            </w:r>
          </w:p>
        </w:tc>
      </w:tr>
      <w:tr w:rsidR="00A40E42" w:rsidRPr="00A40E42" w14:paraId="266ECE30"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698C37A0"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35012</w:t>
            </w:r>
          </w:p>
        </w:tc>
        <w:tc>
          <w:tcPr>
            <w:tcW w:w="3680" w:type="dxa"/>
            <w:tcBorders>
              <w:top w:val="nil"/>
              <w:left w:val="nil"/>
              <w:bottom w:val="nil"/>
              <w:right w:val="nil"/>
            </w:tcBorders>
            <w:shd w:val="clear" w:color="auto" w:fill="auto"/>
            <w:noWrap/>
            <w:vAlign w:val="bottom"/>
            <w:hideMark/>
          </w:tcPr>
          <w:p w14:paraId="433ED58F"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Chronic Lymphocytic Leukemia</w:t>
            </w:r>
          </w:p>
        </w:tc>
        <w:tc>
          <w:tcPr>
            <w:tcW w:w="1200" w:type="dxa"/>
            <w:vMerge/>
            <w:tcBorders>
              <w:top w:val="nil"/>
              <w:left w:val="nil"/>
              <w:bottom w:val="single" w:sz="4" w:space="0" w:color="000000"/>
              <w:right w:val="single" w:sz="4" w:space="0" w:color="auto"/>
            </w:tcBorders>
            <w:vAlign w:val="center"/>
            <w:hideMark/>
          </w:tcPr>
          <w:p w14:paraId="5C93A005"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6E92FBF5"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03E8D046"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35013</w:t>
            </w:r>
          </w:p>
        </w:tc>
        <w:tc>
          <w:tcPr>
            <w:tcW w:w="3680" w:type="dxa"/>
            <w:tcBorders>
              <w:top w:val="nil"/>
              <w:left w:val="nil"/>
              <w:bottom w:val="single" w:sz="4" w:space="0" w:color="auto"/>
              <w:right w:val="nil"/>
            </w:tcBorders>
            <w:shd w:val="clear" w:color="auto" w:fill="auto"/>
            <w:noWrap/>
            <w:vAlign w:val="bottom"/>
            <w:hideMark/>
          </w:tcPr>
          <w:p w14:paraId="158AAFD3"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Other Lymphocytic Leukemia</w:t>
            </w:r>
          </w:p>
        </w:tc>
        <w:tc>
          <w:tcPr>
            <w:tcW w:w="1200" w:type="dxa"/>
            <w:vMerge/>
            <w:tcBorders>
              <w:top w:val="nil"/>
              <w:left w:val="nil"/>
              <w:bottom w:val="single" w:sz="4" w:space="0" w:color="000000"/>
              <w:right w:val="single" w:sz="4" w:space="0" w:color="auto"/>
            </w:tcBorders>
            <w:vAlign w:val="center"/>
            <w:hideMark/>
          </w:tcPr>
          <w:p w14:paraId="0487F371"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7D293BD5"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17D8D1E7"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35021</w:t>
            </w:r>
          </w:p>
        </w:tc>
        <w:tc>
          <w:tcPr>
            <w:tcW w:w="3680" w:type="dxa"/>
            <w:tcBorders>
              <w:top w:val="nil"/>
              <w:left w:val="nil"/>
              <w:bottom w:val="nil"/>
              <w:right w:val="nil"/>
            </w:tcBorders>
            <w:shd w:val="clear" w:color="auto" w:fill="auto"/>
            <w:noWrap/>
            <w:vAlign w:val="bottom"/>
            <w:hideMark/>
          </w:tcPr>
          <w:p w14:paraId="73F953F8"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Acute Myeloid Leukemia</w:t>
            </w:r>
          </w:p>
        </w:tc>
        <w:tc>
          <w:tcPr>
            <w:tcW w:w="1200" w:type="dxa"/>
            <w:vMerge w:val="restart"/>
            <w:tcBorders>
              <w:top w:val="nil"/>
              <w:left w:val="nil"/>
              <w:bottom w:val="single" w:sz="4" w:space="0" w:color="000000"/>
              <w:right w:val="single" w:sz="4" w:space="0" w:color="auto"/>
            </w:tcBorders>
            <w:shd w:val="clear" w:color="auto" w:fill="auto"/>
            <w:noWrap/>
            <w:vAlign w:val="center"/>
            <w:hideMark/>
          </w:tcPr>
          <w:p w14:paraId="3F17551E"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25</w:t>
            </w:r>
          </w:p>
        </w:tc>
      </w:tr>
      <w:tr w:rsidR="00A40E42" w:rsidRPr="00A40E42" w14:paraId="497BDF1D" w14:textId="77777777" w:rsidTr="00A40E42">
        <w:trPr>
          <w:trHeight w:val="300"/>
        </w:trPr>
        <w:tc>
          <w:tcPr>
            <w:tcW w:w="1020" w:type="dxa"/>
            <w:tcBorders>
              <w:top w:val="nil"/>
              <w:left w:val="single" w:sz="4" w:space="0" w:color="auto"/>
              <w:bottom w:val="nil"/>
              <w:right w:val="nil"/>
            </w:tcBorders>
            <w:shd w:val="clear" w:color="auto" w:fill="auto"/>
            <w:noWrap/>
            <w:vAlign w:val="bottom"/>
            <w:hideMark/>
          </w:tcPr>
          <w:p w14:paraId="31E955B6"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35022</w:t>
            </w:r>
          </w:p>
        </w:tc>
        <w:tc>
          <w:tcPr>
            <w:tcW w:w="3680" w:type="dxa"/>
            <w:tcBorders>
              <w:top w:val="nil"/>
              <w:left w:val="nil"/>
              <w:bottom w:val="nil"/>
              <w:right w:val="nil"/>
            </w:tcBorders>
            <w:shd w:val="clear" w:color="auto" w:fill="auto"/>
            <w:noWrap/>
            <w:vAlign w:val="bottom"/>
            <w:hideMark/>
          </w:tcPr>
          <w:p w14:paraId="5F8A005B"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Chronic Myeloid Leukemia</w:t>
            </w:r>
          </w:p>
        </w:tc>
        <w:tc>
          <w:tcPr>
            <w:tcW w:w="1200" w:type="dxa"/>
            <w:vMerge/>
            <w:tcBorders>
              <w:top w:val="nil"/>
              <w:left w:val="nil"/>
              <w:bottom w:val="single" w:sz="4" w:space="0" w:color="000000"/>
              <w:right w:val="single" w:sz="4" w:space="0" w:color="auto"/>
            </w:tcBorders>
            <w:vAlign w:val="center"/>
            <w:hideMark/>
          </w:tcPr>
          <w:p w14:paraId="4C3C89B6"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03B72EF1"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302B26C4"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35023</w:t>
            </w:r>
          </w:p>
        </w:tc>
        <w:tc>
          <w:tcPr>
            <w:tcW w:w="3680" w:type="dxa"/>
            <w:tcBorders>
              <w:top w:val="nil"/>
              <w:left w:val="nil"/>
              <w:bottom w:val="single" w:sz="4" w:space="0" w:color="auto"/>
              <w:right w:val="nil"/>
            </w:tcBorders>
            <w:shd w:val="clear" w:color="auto" w:fill="auto"/>
            <w:noWrap/>
            <w:vAlign w:val="bottom"/>
            <w:hideMark/>
          </w:tcPr>
          <w:p w14:paraId="027AEEC5"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Other Myeloid/Monocytic Leukemia</w:t>
            </w:r>
          </w:p>
        </w:tc>
        <w:tc>
          <w:tcPr>
            <w:tcW w:w="1200" w:type="dxa"/>
            <w:vMerge/>
            <w:tcBorders>
              <w:top w:val="nil"/>
              <w:left w:val="nil"/>
              <w:bottom w:val="single" w:sz="4" w:space="0" w:color="000000"/>
              <w:right w:val="single" w:sz="4" w:space="0" w:color="auto"/>
            </w:tcBorders>
            <w:vAlign w:val="center"/>
            <w:hideMark/>
          </w:tcPr>
          <w:p w14:paraId="4126AC92" w14:textId="77777777" w:rsidR="00A40E42" w:rsidRPr="00A40E42" w:rsidRDefault="00A40E42" w:rsidP="00A40E42">
            <w:pPr>
              <w:spacing w:after="0" w:line="240" w:lineRule="auto"/>
              <w:rPr>
                <w:rFonts w:ascii="Calibri" w:eastAsia="Times New Roman" w:hAnsi="Calibri" w:cs="Times New Roman"/>
                <w:color w:val="000000"/>
              </w:rPr>
            </w:pPr>
          </w:p>
        </w:tc>
      </w:tr>
      <w:tr w:rsidR="00A40E42" w:rsidRPr="00A40E42" w14:paraId="7A87A486" w14:textId="77777777" w:rsidTr="00A40E42">
        <w:trPr>
          <w:trHeight w:val="300"/>
        </w:trPr>
        <w:tc>
          <w:tcPr>
            <w:tcW w:w="1020" w:type="dxa"/>
            <w:tcBorders>
              <w:top w:val="nil"/>
              <w:left w:val="single" w:sz="4" w:space="0" w:color="auto"/>
              <w:bottom w:val="single" w:sz="4" w:space="0" w:color="auto"/>
              <w:right w:val="nil"/>
            </w:tcBorders>
            <w:shd w:val="clear" w:color="auto" w:fill="auto"/>
            <w:noWrap/>
            <w:vAlign w:val="bottom"/>
            <w:hideMark/>
          </w:tcPr>
          <w:p w14:paraId="25908C20" w14:textId="77777777" w:rsidR="00A40E42" w:rsidRPr="00A40E42" w:rsidRDefault="00A40E42" w:rsidP="00A40E42">
            <w:pPr>
              <w:spacing w:after="0" w:line="240" w:lineRule="auto"/>
              <w:jc w:val="right"/>
              <w:rPr>
                <w:rFonts w:ascii="Calibri" w:eastAsia="Times New Roman" w:hAnsi="Calibri" w:cs="Times New Roman"/>
                <w:color w:val="000000"/>
              </w:rPr>
            </w:pPr>
            <w:r w:rsidRPr="00A40E42">
              <w:rPr>
                <w:rFonts w:ascii="Calibri" w:eastAsia="Times New Roman" w:hAnsi="Calibri" w:cs="Times New Roman"/>
                <w:color w:val="000000"/>
              </w:rPr>
              <w:t>21071</w:t>
            </w:r>
          </w:p>
        </w:tc>
        <w:tc>
          <w:tcPr>
            <w:tcW w:w="3680" w:type="dxa"/>
            <w:tcBorders>
              <w:top w:val="nil"/>
              <w:left w:val="nil"/>
              <w:bottom w:val="single" w:sz="4" w:space="0" w:color="auto"/>
              <w:right w:val="nil"/>
            </w:tcBorders>
            <w:shd w:val="clear" w:color="auto" w:fill="auto"/>
            <w:noWrap/>
            <w:vAlign w:val="bottom"/>
            <w:hideMark/>
          </w:tcPr>
          <w:p w14:paraId="355C606C" w14:textId="77777777" w:rsidR="00A40E42" w:rsidRPr="00A40E42" w:rsidRDefault="00A40E42" w:rsidP="00A40E42">
            <w:pPr>
              <w:spacing w:after="0" w:line="240" w:lineRule="auto"/>
              <w:rPr>
                <w:rFonts w:ascii="Calibri" w:eastAsia="Times New Roman" w:hAnsi="Calibri" w:cs="Times New Roman"/>
                <w:color w:val="000000"/>
              </w:rPr>
            </w:pPr>
            <w:r w:rsidRPr="00A40E42">
              <w:rPr>
                <w:rFonts w:ascii="Calibri" w:eastAsia="Times New Roman" w:hAnsi="Calibri" w:cs="Times New Roman"/>
                <w:color w:val="000000"/>
              </w:rPr>
              <w:t>Liver</w:t>
            </w:r>
          </w:p>
        </w:tc>
        <w:tc>
          <w:tcPr>
            <w:tcW w:w="1200" w:type="dxa"/>
            <w:tcBorders>
              <w:top w:val="nil"/>
              <w:left w:val="nil"/>
              <w:bottom w:val="single" w:sz="4" w:space="0" w:color="auto"/>
              <w:right w:val="single" w:sz="4" w:space="0" w:color="auto"/>
            </w:tcBorders>
            <w:shd w:val="clear" w:color="auto" w:fill="auto"/>
            <w:noWrap/>
            <w:vAlign w:val="center"/>
            <w:hideMark/>
          </w:tcPr>
          <w:p w14:paraId="33EBDCF0" w14:textId="77777777" w:rsidR="00A40E42" w:rsidRPr="00A40E42" w:rsidRDefault="00A40E42" w:rsidP="00A40E42">
            <w:pPr>
              <w:spacing w:after="0" w:line="240" w:lineRule="auto"/>
              <w:jc w:val="center"/>
              <w:rPr>
                <w:rFonts w:ascii="Calibri" w:eastAsia="Times New Roman" w:hAnsi="Calibri" w:cs="Times New Roman"/>
                <w:color w:val="000000"/>
              </w:rPr>
            </w:pPr>
            <w:r w:rsidRPr="00A40E42">
              <w:rPr>
                <w:rFonts w:ascii="Calibri" w:eastAsia="Times New Roman" w:hAnsi="Calibri" w:cs="Times New Roman"/>
                <w:color w:val="000000"/>
              </w:rPr>
              <w:t>26</w:t>
            </w:r>
          </w:p>
        </w:tc>
      </w:tr>
    </w:tbl>
    <w:p w14:paraId="40BF9181" w14:textId="77777777" w:rsidR="002E7F47" w:rsidRDefault="002E7F47"/>
    <w:p w14:paraId="103DE034" w14:textId="77777777" w:rsidR="002E7F47" w:rsidRDefault="002E7F47">
      <w:r>
        <w:br w:type="page"/>
      </w:r>
    </w:p>
    <w:tbl>
      <w:tblPr>
        <w:tblW w:w="10037" w:type="dxa"/>
        <w:jc w:val="center"/>
        <w:tblCellMar>
          <w:left w:w="0" w:type="dxa"/>
          <w:right w:w="0" w:type="dxa"/>
        </w:tblCellMar>
        <w:tblLook w:val="04A0" w:firstRow="1" w:lastRow="0" w:firstColumn="1" w:lastColumn="0" w:noHBand="0" w:noVBand="1"/>
      </w:tblPr>
      <w:tblGrid>
        <w:gridCol w:w="2610"/>
        <w:gridCol w:w="7427"/>
      </w:tblGrid>
      <w:tr w:rsidR="00522D47" w14:paraId="0966C2A5" w14:textId="77777777" w:rsidTr="00522D47">
        <w:trPr>
          <w:jc w:val="center"/>
        </w:trPr>
        <w:tc>
          <w:tcPr>
            <w:tcW w:w="10037" w:type="dxa"/>
            <w:gridSpan w:val="2"/>
            <w:tcBorders>
              <w:top w:val="nil"/>
              <w:left w:val="nil"/>
              <w:bottom w:val="single" w:sz="8" w:space="0" w:color="auto"/>
              <w:right w:val="nil"/>
            </w:tcBorders>
            <w:tcMar>
              <w:top w:w="0" w:type="dxa"/>
              <w:left w:w="29" w:type="dxa"/>
              <w:bottom w:w="0" w:type="dxa"/>
              <w:right w:w="29" w:type="dxa"/>
            </w:tcMar>
            <w:hideMark/>
          </w:tcPr>
          <w:p w14:paraId="30CED24E" w14:textId="2FE99CFB" w:rsidR="00522D47" w:rsidRDefault="00522D47">
            <w:pPr>
              <w:rPr>
                <w:rFonts w:ascii="Arial" w:hAnsi="Arial" w:cs="Arial"/>
                <w:sz w:val="20"/>
                <w:szCs w:val="20"/>
              </w:rPr>
            </w:pPr>
            <w:r>
              <w:rPr>
                <w:rFonts w:ascii="Arial" w:hAnsi="Arial" w:cs="Arial"/>
                <w:b/>
                <w:bCs/>
                <w:sz w:val="20"/>
                <w:szCs w:val="20"/>
              </w:rPr>
              <w:lastRenderedPageBreak/>
              <w:t>Supplementary Table 2.</w:t>
            </w:r>
            <w:r>
              <w:rPr>
                <w:rFonts w:ascii="Arial" w:hAnsi="Arial" w:cs="Arial"/>
                <w:sz w:val="20"/>
                <w:szCs w:val="20"/>
              </w:rPr>
              <w:t xml:space="preserve"> </w:t>
            </w:r>
            <w:r w:rsidR="00D11828">
              <w:rPr>
                <w:rFonts w:ascii="Arial" w:hAnsi="Arial" w:cs="Arial"/>
                <w:sz w:val="20"/>
                <w:szCs w:val="20"/>
              </w:rPr>
              <w:t xml:space="preserve">Summary of </w:t>
            </w:r>
            <w:r>
              <w:rPr>
                <w:rFonts w:ascii="Arial" w:hAnsi="Arial" w:cs="Arial"/>
                <w:sz w:val="20"/>
                <w:szCs w:val="20"/>
              </w:rPr>
              <w:t>Utah Population Database (UPDB) Data Contributors</w:t>
            </w:r>
            <w:r w:rsidR="00D11828">
              <w:rPr>
                <w:rFonts w:ascii="Arial" w:hAnsi="Arial" w:cs="Arial"/>
                <w:sz w:val="20"/>
                <w:szCs w:val="20"/>
              </w:rPr>
              <w:t xml:space="preserve"> and Data Contributed</w:t>
            </w:r>
          </w:p>
        </w:tc>
      </w:tr>
      <w:tr w:rsidR="00522D47" w14:paraId="54483908" w14:textId="77777777" w:rsidTr="00522D47">
        <w:trPr>
          <w:jc w:val="center"/>
        </w:trPr>
        <w:tc>
          <w:tcPr>
            <w:tcW w:w="2610" w:type="dxa"/>
            <w:tcBorders>
              <w:top w:val="nil"/>
              <w:left w:val="single" w:sz="8" w:space="0" w:color="auto"/>
              <w:bottom w:val="single" w:sz="8" w:space="0" w:color="auto"/>
              <w:right w:val="single" w:sz="8" w:space="0" w:color="auto"/>
            </w:tcBorders>
            <w:shd w:val="clear" w:color="auto" w:fill="D9D9D9"/>
            <w:tcMar>
              <w:top w:w="0" w:type="dxa"/>
              <w:left w:w="29" w:type="dxa"/>
              <w:bottom w:w="0" w:type="dxa"/>
              <w:right w:w="29" w:type="dxa"/>
            </w:tcMar>
            <w:hideMark/>
          </w:tcPr>
          <w:p w14:paraId="4645F248" w14:textId="77777777" w:rsidR="00522D47" w:rsidRDefault="00522D47">
            <w:pPr>
              <w:ind w:left="-8"/>
              <w:jc w:val="center"/>
              <w:rPr>
                <w:rFonts w:ascii="Arial" w:hAnsi="Arial" w:cs="Arial"/>
                <w:b/>
                <w:bCs/>
                <w:sz w:val="20"/>
                <w:szCs w:val="20"/>
              </w:rPr>
            </w:pPr>
            <w:r>
              <w:rPr>
                <w:rFonts w:ascii="Arial" w:hAnsi="Arial" w:cs="Arial"/>
                <w:b/>
                <w:bCs/>
                <w:sz w:val="20"/>
                <w:szCs w:val="20"/>
              </w:rPr>
              <w:t>Contributor</w:t>
            </w:r>
          </w:p>
        </w:tc>
        <w:tc>
          <w:tcPr>
            <w:tcW w:w="7427" w:type="dxa"/>
            <w:tcBorders>
              <w:top w:val="nil"/>
              <w:left w:val="nil"/>
              <w:bottom w:val="single" w:sz="8" w:space="0" w:color="auto"/>
              <w:right w:val="single" w:sz="8" w:space="0" w:color="auto"/>
            </w:tcBorders>
            <w:shd w:val="clear" w:color="auto" w:fill="D9D9D9"/>
            <w:tcMar>
              <w:top w:w="0" w:type="dxa"/>
              <w:left w:w="29" w:type="dxa"/>
              <w:bottom w:w="0" w:type="dxa"/>
              <w:right w:w="29" w:type="dxa"/>
            </w:tcMar>
            <w:hideMark/>
          </w:tcPr>
          <w:p w14:paraId="046C92CB" w14:textId="77777777" w:rsidR="00522D47" w:rsidRDefault="00522D47">
            <w:pPr>
              <w:ind w:left="23"/>
              <w:contextualSpacing/>
              <w:jc w:val="center"/>
              <w:rPr>
                <w:rFonts w:ascii="Arial" w:hAnsi="Arial" w:cs="Arial"/>
                <w:b/>
                <w:bCs/>
                <w:sz w:val="20"/>
                <w:szCs w:val="20"/>
              </w:rPr>
            </w:pPr>
            <w:r>
              <w:rPr>
                <w:rFonts w:ascii="Arial" w:hAnsi="Arial" w:cs="Arial"/>
                <w:b/>
                <w:bCs/>
                <w:sz w:val="20"/>
                <w:szCs w:val="20"/>
              </w:rPr>
              <w:t>Data Contributed</w:t>
            </w:r>
          </w:p>
        </w:tc>
      </w:tr>
      <w:tr w:rsidR="00522D47" w14:paraId="0C772009" w14:textId="77777777" w:rsidTr="00522D47">
        <w:trPr>
          <w:trHeight w:val="2848"/>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71C0C617" w14:textId="77777777" w:rsidR="00522D47" w:rsidRDefault="00522D47">
            <w:pPr>
              <w:ind w:left="90" w:right="90"/>
              <w:rPr>
                <w:rFonts w:ascii="Arial" w:hAnsi="Arial" w:cs="Arial"/>
                <w:sz w:val="20"/>
                <w:szCs w:val="20"/>
              </w:rPr>
            </w:pPr>
            <w:r>
              <w:rPr>
                <w:rFonts w:ascii="Arial" w:hAnsi="Arial" w:cs="Arial"/>
                <w:sz w:val="20"/>
                <w:szCs w:val="20"/>
              </w:rPr>
              <w:t>Family History Records</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0B7C4690" w14:textId="77777777" w:rsidR="00522D47" w:rsidRDefault="00522D47">
            <w:pPr>
              <w:ind w:left="90" w:right="90"/>
              <w:contextualSpacing/>
              <w:rPr>
                <w:rFonts w:ascii="Arial" w:hAnsi="Arial" w:cs="Arial"/>
                <w:sz w:val="20"/>
                <w:szCs w:val="20"/>
              </w:rPr>
            </w:pPr>
            <w:r>
              <w:rPr>
                <w:rFonts w:ascii="Arial" w:hAnsi="Arial" w:cs="Arial"/>
                <w:sz w:val="20"/>
                <w:szCs w:val="20"/>
              </w:rPr>
              <w:t>1.9 million individuals (early 1800s – mid-1970s)</w:t>
            </w:r>
          </w:p>
          <w:p w14:paraId="39ABAC7F" w14:textId="77777777" w:rsidR="00522D47" w:rsidRDefault="00522D47">
            <w:pPr>
              <w:ind w:left="239" w:right="90"/>
              <w:contextualSpacing/>
              <w:rPr>
                <w:rFonts w:ascii="Arial" w:hAnsi="Arial" w:cs="Arial"/>
                <w:sz w:val="20"/>
                <w:szCs w:val="20"/>
              </w:rPr>
            </w:pPr>
            <w:r>
              <w:rPr>
                <w:rFonts w:ascii="Arial" w:hAnsi="Arial" w:cs="Arial"/>
                <w:sz w:val="20"/>
                <w:szCs w:val="20"/>
              </w:rPr>
              <w:t xml:space="preserve">-  The original genealogical component of the UPDB is a vast set of Utah family histories organized into pedigrees. These genealogies are based on three-generation documents from the Genealogical Society of Utah where each one holds demographic and kinship information (births, deaths, marriages, locations) for a couple, their children, and the couple’s parents. These data depict Utah’s founding population and their descendants. These large pedigrees represent persons affiliated with the Church of Jesus Christ of Latter-day Saints (LDS, Mormons) as well as non-LDS individuals. </w:t>
            </w:r>
          </w:p>
          <w:p w14:paraId="0A056818" w14:textId="77777777" w:rsidR="00522D47" w:rsidRDefault="00522D47" w:rsidP="00522D47">
            <w:pPr>
              <w:ind w:left="239" w:right="90"/>
              <w:contextualSpacing/>
              <w:rPr>
                <w:rFonts w:ascii="Arial" w:hAnsi="Arial" w:cs="Arial"/>
                <w:sz w:val="20"/>
                <w:szCs w:val="20"/>
              </w:rPr>
            </w:pPr>
            <w:r>
              <w:rPr>
                <w:rFonts w:ascii="Arial" w:hAnsi="Arial" w:cs="Arial"/>
                <w:sz w:val="20"/>
                <w:szCs w:val="20"/>
              </w:rPr>
              <w:t xml:space="preserve">-  Records transfer of 90 million deceased individuals from FamilySearch have been linked to the UPDB. Individuals likely related to individuals represented in present UPDB and extend largely to the US and Europe. </w:t>
            </w:r>
          </w:p>
        </w:tc>
      </w:tr>
      <w:tr w:rsidR="00522D47" w14:paraId="1D30D5D2" w14:textId="77777777" w:rsidTr="00522D47">
        <w:trPr>
          <w:trHeight w:val="1255"/>
          <w:jc w:val="center"/>
        </w:trPr>
        <w:tc>
          <w:tcPr>
            <w:tcW w:w="2610" w:type="dxa"/>
            <w:tcBorders>
              <w:top w:val="nil"/>
              <w:left w:val="single" w:sz="8" w:space="0" w:color="auto"/>
              <w:bottom w:val="single" w:sz="8" w:space="0" w:color="auto"/>
              <w:right w:val="single" w:sz="8" w:space="0" w:color="auto"/>
            </w:tcBorders>
            <w:shd w:val="clear" w:color="auto" w:fill="auto"/>
            <w:tcMar>
              <w:top w:w="0" w:type="dxa"/>
              <w:left w:w="29" w:type="dxa"/>
              <w:bottom w:w="0" w:type="dxa"/>
              <w:right w:w="29" w:type="dxa"/>
            </w:tcMar>
            <w:vAlign w:val="center"/>
            <w:hideMark/>
          </w:tcPr>
          <w:p w14:paraId="5114BF67" w14:textId="77777777" w:rsidR="00522D47" w:rsidRDefault="00522D47">
            <w:pPr>
              <w:ind w:left="90" w:right="90"/>
              <w:rPr>
                <w:rFonts w:ascii="Arial" w:hAnsi="Arial" w:cs="Arial"/>
                <w:sz w:val="20"/>
                <w:szCs w:val="20"/>
              </w:rPr>
            </w:pPr>
            <w:r>
              <w:rPr>
                <w:rFonts w:ascii="Arial" w:hAnsi="Arial" w:cs="Arial"/>
                <w:sz w:val="20"/>
                <w:szCs w:val="20"/>
              </w:rPr>
              <w:t>Center for Medicare and Medicaid Services (CMS) Claims</w:t>
            </w:r>
          </w:p>
        </w:tc>
        <w:tc>
          <w:tcPr>
            <w:tcW w:w="7427" w:type="dxa"/>
            <w:tcBorders>
              <w:top w:val="nil"/>
              <w:left w:val="nil"/>
              <w:bottom w:val="single" w:sz="8" w:space="0" w:color="auto"/>
              <w:right w:val="single" w:sz="8" w:space="0" w:color="auto"/>
            </w:tcBorders>
            <w:shd w:val="clear" w:color="auto" w:fill="auto"/>
            <w:tcMar>
              <w:top w:w="0" w:type="dxa"/>
              <w:left w:w="29" w:type="dxa"/>
              <w:bottom w:w="0" w:type="dxa"/>
              <w:right w:w="29" w:type="dxa"/>
            </w:tcMar>
            <w:vAlign w:val="center"/>
            <w:hideMark/>
          </w:tcPr>
          <w:p w14:paraId="23FFACDC" w14:textId="77777777" w:rsidR="00522D47" w:rsidRDefault="00522D47">
            <w:pPr>
              <w:ind w:left="90" w:right="90"/>
              <w:contextualSpacing/>
              <w:rPr>
                <w:rFonts w:ascii="Arial" w:hAnsi="Arial" w:cs="Arial"/>
                <w:sz w:val="20"/>
                <w:szCs w:val="20"/>
              </w:rPr>
            </w:pPr>
            <w:r>
              <w:rPr>
                <w:rFonts w:ascii="Arial" w:hAnsi="Arial" w:cs="Arial"/>
                <w:sz w:val="20"/>
                <w:szCs w:val="20"/>
              </w:rPr>
              <w:t xml:space="preserve">~ 1 million individuals (1992–2012) </w:t>
            </w:r>
          </w:p>
          <w:p w14:paraId="2297309E" w14:textId="77777777" w:rsidR="00522D47" w:rsidRDefault="00522D47">
            <w:pPr>
              <w:ind w:left="243" w:right="90"/>
              <w:contextualSpacing/>
              <w:rPr>
                <w:rFonts w:ascii="Arial" w:hAnsi="Arial" w:cs="Arial"/>
                <w:sz w:val="20"/>
                <w:szCs w:val="20"/>
              </w:rPr>
            </w:pPr>
            <w:r>
              <w:rPr>
                <w:rFonts w:ascii="Arial" w:hAnsi="Arial" w:cs="Arial"/>
                <w:sz w:val="20"/>
                <w:szCs w:val="20"/>
              </w:rPr>
              <w:t>-  97.8% link into UPDB. These data provide vast information on individuals 65+ with respect to morbidity, mortality, and health care.</w:t>
            </w:r>
          </w:p>
        </w:tc>
      </w:tr>
      <w:tr w:rsidR="00522D47" w14:paraId="5AB35BDF" w14:textId="77777777" w:rsidTr="00522D47">
        <w:trPr>
          <w:trHeight w:val="679"/>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7587AA82" w14:textId="77777777" w:rsidR="00522D47" w:rsidRDefault="00522D47">
            <w:pPr>
              <w:ind w:left="90" w:right="90"/>
              <w:rPr>
                <w:rFonts w:ascii="Arial" w:hAnsi="Arial" w:cs="Arial"/>
                <w:sz w:val="20"/>
                <w:szCs w:val="20"/>
              </w:rPr>
            </w:pPr>
            <w:r>
              <w:rPr>
                <w:rFonts w:ascii="Arial" w:hAnsi="Arial" w:cs="Arial"/>
                <w:sz w:val="20"/>
                <w:szCs w:val="20"/>
              </w:rPr>
              <w:t>Utah Statewide Inpatient Discharge</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70A53988" w14:textId="77777777" w:rsidR="00522D47" w:rsidRDefault="00522D47">
            <w:pPr>
              <w:ind w:left="90"/>
              <w:contextualSpacing/>
              <w:rPr>
                <w:rFonts w:ascii="Arial" w:hAnsi="Arial" w:cs="Arial"/>
                <w:sz w:val="20"/>
                <w:szCs w:val="20"/>
              </w:rPr>
            </w:pPr>
            <w:r>
              <w:rPr>
                <w:rFonts w:ascii="Arial" w:hAnsi="Arial" w:cs="Arial"/>
                <w:sz w:val="20"/>
                <w:szCs w:val="20"/>
              </w:rPr>
              <w:t>~5.5 million encounters (1996 – present)</w:t>
            </w:r>
          </w:p>
          <w:p w14:paraId="0D9CFD70" w14:textId="77777777" w:rsidR="00522D47" w:rsidRDefault="00522D47">
            <w:pPr>
              <w:ind w:left="239"/>
              <w:contextualSpacing/>
              <w:rPr>
                <w:rFonts w:ascii="Arial" w:hAnsi="Arial" w:cs="Arial"/>
                <w:sz w:val="20"/>
                <w:szCs w:val="20"/>
              </w:rPr>
            </w:pPr>
            <w:r>
              <w:rPr>
                <w:rFonts w:ascii="Arial" w:hAnsi="Arial" w:cs="Arial"/>
                <w:sz w:val="20"/>
                <w:szCs w:val="20"/>
              </w:rPr>
              <w:t>-  Records include admission date, discharge date, and diagnoses and procedure codes.</w:t>
            </w:r>
          </w:p>
        </w:tc>
      </w:tr>
      <w:tr w:rsidR="00522D47" w14:paraId="4ED57A3B" w14:textId="77777777" w:rsidTr="00522D47">
        <w:trPr>
          <w:trHeight w:val="1156"/>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2DD85DF8" w14:textId="77777777" w:rsidR="00522D47" w:rsidRDefault="00522D47">
            <w:pPr>
              <w:ind w:left="90" w:right="90"/>
              <w:rPr>
                <w:rFonts w:ascii="Arial" w:hAnsi="Arial" w:cs="Arial"/>
                <w:sz w:val="20"/>
                <w:szCs w:val="20"/>
              </w:rPr>
            </w:pPr>
            <w:r>
              <w:rPr>
                <w:rFonts w:ascii="Arial" w:hAnsi="Arial" w:cs="Arial"/>
                <w:sz w:val="20"/>
                <w:szCs w:val="20"/>
              </w:rPr>
              <w:t>Utah Statewide Ambulatory Surgery</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6099B268" w14:textId="77777777" w:rsidR="00522D47" w:rsidRDefault="00522D47">
            <w:pPr>
              <w:ind w:left="90"/>
              <w:contextualSpacing/>
              <w:rPr>
                <w:rFonts w:ascii="Arial" w:hAnsi="Arial" w:cs="Arial"/>
                <w:sz w:val="20"/>
                <w:szCs w:val="20"/>
              </w:rPr>
            </w:pPr>
            <w:r>
              <w:rPr>
                <w:rFonts w:ascii="Arial" w:hAnsi="Arial" w:cs="Arial"/>
                <w:sz w:val="20"/>
                <w:szCs w:val="20"/>
              </w:rPr>
              <w:t>6.3 million encounters (1996 – present)</w:t>
            </w:r>
          </w:p>
          <w:p w14:paraId="035E2C48" w14:textId="77777777" w:rsidR="00522D47" w:rsidRDefault="00522D47">
            <w:pPr>
              <w:ind w:left="239"/>
              <w:contextualSpacing/>
              <w:rPr>
                <w:rFonts w:ascii="Arial" w:hAnsi="Arial" w:cs="Arial"/>
                <w:sz w:val="20"/>
                <w:szCs w:val="20"/>
              </w:rPr>
            </w:pPr>
            <w:r>
              <w:rPr>
                <w:rFonts w:ascii="Arial" w:hAnsi="Arial" w:cs="Arial"/>
                <w:sz w:val="20"/>
                <w:szCs w:val="20"/>
              </w:rPr>
              <w:t xml:space="preserve">-  These data contain surgery information occurring in hospital outpatient departments, hospital-affiliated ambulatory surgery centers, and freestanding ambulatory surgery centers. Records include admission date, discharge date, and diagnoses and procedure codes. </w:t>
            </w:r>
          </w:p>
        </w:tc>
      </w:tr>
      <w:tr w:rsidR="00522D47" w14:paraId="4AD664C7" w14:textId="77777777" w:rsidTr="00522D47">
        <w:trPr>
          <w:trHeight w:val="535"/>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6EBF0C7C" w14:textId="77777777" w:rsidR="00522D47" w:rsidRDefault="00522D47">
            <w:pPr>
              <w:ind w:left="90" w:right="90"/>
              <w:rPr>
                <w:rFonts w:ascii="Arial" w:hAnsi="Arial" w:cs="Arial"/>
                <w:sz w:val="20"/>
                <w:szCs w:val="20"/>
              </w:rPr>
            </w:pPr>
            <w:r>
              <w:rPr>
                <w:rFonts w:ascii="Arial" w:hAnsi="Arial" w:cs="Arial"/>
                <w:sz w:val="20"/>
                <w:szCs w:val="20"/>
              </w:rPr>
              <w:t xml:space="preserve">Utah All Payers Claim Data </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324EF632" w14:textId="77777777" w:rsidR="00522D47" w:rsidRDefault="00877BFE">
            <w:pPr>
              <w:ind w:left="90"/>
              <w:contextualSpacing/>
              <w:rPr>
                <w:rFonts w:ascii="Arial" w:hAnsi="Arial" w:cs="Arial"/>
                <w:sz w:val="20"/>
                <w:szCs w:val="20"/>
              </w:rPr>
            </w:pPr>
            <w:r>
              <w:rPr>
                <w:rFonts w:ascii="Arial" w:hAnsi="Arial" w:cs="Arial"/>
                <w:sz w:val="20"/>
                <w:szCs w:val="20"/>
              </w:rPr>
              <w:t>105</w:t>
            </w:r>
            <w:r w:rsidR="00522D47">
              <w:rPr>
                <w:rFonts w:ascii="Arial" w:hAnsi="Arial" w:cs="Arial"/>
                <w:sz w:val="20"/>
                <w:szCs w:val="20"/>
              </w:rPr>
              <w:t xml:space="preserve"> million medical claims (2013 – 201</w:t>
            </w:r>
            <w:r w:rsidR="00AE4DF1">
              <w:rPr>
                <w:rFonts w:ascii="Arial" w:hAnsi="Arial" w:cs="Arial"/>
                <w:sz w:val="20"/>
                <w:szCs w:val="20"/>
              </w:rPr>
              <w:t>7</w:t>
            </w:r>
            <w:r w:rsidR="00522D47">
              <w:rPr>
                <w:rFonts w:ascii="Arial" w:hAnsi="Arial" w:cs="Arial"/>
                <w:sz w:val="20"/>
                <w:szCs w:val="20"/>
              </w:rPr>
              <w:t>)</w:t>
            </w:r>
          </w:p>
          <w:p w14:paraId="1A47AD77" w14:textId="77777777" w:rsidR="00522D47" w:rsidRDefault="00AE4DF1" w:rsidP="00AE4DF1">
            <w:pPr>
              <w:ind w:left="90"/>
              <w:contextualSpacing/>
              <w:rPr>
                <w:rFonts w:ascii="Arial" w:hAnsi="Arial" w:cs="Arial"/>
                <w:sz w:val="20"/>
                <w:szCs w:val="20"/>
              </w:rPr>
            </w:pPr>
            <w:r>
              <w:rPr>
                <w:rFonts w:ascii="Arial" w:hAnsi="Arial" w:cs="Arial"/>
                <w:sz w:val="20"/>
                <w:szCs w:val="20"/>
              </w:rPr>
              <w:t>114</w:t>
            </w:r>
            <w:r w:rsidR="00522D47">
              <w:rPr>
                <w:rFonts w:ascii="Arial" w:hAnsi="Arial" w:cs="Arial"/>
                <w:sz w:val="20"/>
                <w:szCs w:val="20"/>
              </w:rPr>
              <w:t xml:space="preserve"> million pharmacy claims (2013 – 201</w:t>
            </w:r>
            <w:r>
              <w:rPr>
                <w:rFonts w:ascii="Arial" w:hAnsi="Arial" w:cs="Arial"/>
                <w:sz w:val="20"/>
                <w:szCs w:val="20"/>
              </w:rPr>
              <w:t>7</w:t>
            </w:r>
            <w:r w:rsidR="00522D47">
              <w:rPr>
                <w:rFonts w:ascii="Arial" w:hAnsi="Arial" w:cs="Arial"/>
                <w:sz w:val="20"/>
                <w:szCs w:val="20"/>
              </w:rPr>
              <w:t>)</w:t>
            </w:r>
          </w:p>
        </w:tc>
      </w:tr>
      <w:tr w:rsidR="00522D47" w14:paraId="138C64AD" w14:textId="77777777" w:rsidTr="00522D47">
        <w:trPr>
          <w:trHeight w:val="1192"/>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1DE50920" w14:textId="77777777" w:rsidR="00522D47" w:rsidRDefault="00522D47">
            <w:pPr>
              <w:ind w:left="90" w:right="90"/>
              <w:rPr>
                <w:rFonts w:ascii="Arial" w:hAnsi="Arial" w:cs="Arial"/>
                <w:sz w:val="20"/>
                <w:szCs w:val="20"/>
              </w:rPr>
            </w:pPr>
            <w:r>
              <w:rPr>
                <w:rFonts w:ascii="Arial" w:hAnsi="Arial" w:cs="Arial"/>
                <w:sz w:val="20"/>
                <w:szCs w:val="20"/>
              </w:rPr>
              <w:t>University of Utah Healthcare (UUH) EDW</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769BDA80" w14:textId="77777777" w:rsidR="00522D47" w:rsidRDefault="00522D47">
            <w:pPr>
              <w:ind w:left="90"/>
              <w:contextualSpacing/>
              <w:rPr>
                <w:rFonts w:ascii="Calibri" w:hAnsi="Calibri" w:cs="Times New Roman"/>
              </w:rPr>
            </w:pPr>
            <w:r>
              <w:rPr>
                <w:rFonts w:ascii="Arial" w:hAnsi="Arial" w:cs="Arial"/>
                <w:sz w:val="20"/>
                <w:szCs w:val="20"/>
              </w:rPr>
              <w:t>~2.1 million individuals (1996 – present)</w:t>
            </w:r>
          </w:p>
          <w:p w14:paraId="541A6473" w14:textId="77777777" w:rsidR="00522D47" w:rsidRDefault="00522D47" w:rsidP="00522D47">
            <w:pPr>
              <w:ind w:left="239"/>
              <w:rPr>
                <w:rFonts w:ascii="Arial" w:hAnsi="Arial" w:cs="Arial"/>
                <w:sz w:val="20"/>
                <w:szCs w:val="20"/>
              </w:rPr>
            </w:pPr>
            <w:r>
              <w:rPr>
                <w:rFonts w:ascii="Arial" w:hAnsi="Arial" w:cs="Arial"/>
                <w:sz w:val="20"/>
                <w:szCs w:val="20"/>
              </w:rPr>
              <w:t>-  This resource covers all University of Utah hospitals and outpatient clinics. Medical information and demographic records from UUH link to UPDB.</w:t>
            </w:r>
          </w:p>
        </w:tc>
      </w:tr>
      <w:tr w:rsidR="00522D47" w14:paraId="31BD9456" w14:textId="77777777" w:rsidTr="00522D47">
        <w:trPr>
          <w:trHeight w:val="985"/>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0BFEEC9C" w14:textId="77777777" w:rsidR="00522D47" w:rsidRDefault="00522D47">
            <w:pPr>
              <w:ind w:left="90" w:right="90"/>
              <w:rPr>
                <w:rFonts w:ascii="Arial" w:hAnsi="Arial" w:cs="Arial"/>
                <w:sz w:val="20"/>
                <w:szCs w:val="20"/>
              </w:rPr>
            </w:pPr>
            <w:r>
              <w:rPr>
                <w:rFonts w:ascii="Arial" w:hAnsi="Arial" w:cs="Arial"/>
                <w:sz w:val="20"/>
                <w:szCs w:val="20"/>
              </w:rPr>
              <w:t>Intermountain Healthcare (IH) EDW</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4DC7D325" w14:textId="77777777" w:rsidR="00522D47" w:rsidRDefault="00522D47">
            <w:pPr>
              <w:ind w:left="90"/>
              <w:contextualSpacing/>
              <w:rPr>
                <w:rFonts w:ascii="Arial" w:hAnsi="Arial" w:cs="Arial"/>
                <w:sz w:val="20"/>
                <w:szCs w:val="20"/>
              </w:rPr>
            </w:pPr>
            <w:r>
              <w:rPr>
                <w:rFonts w:ascii="Arial" w:hAnsi="Arial" w:cs="Arial"/>
                <w:sz w:val="20"/>
                <w:szCs w:val="20"/>
              </w:rPr>
              <w:t>~4.3 million individuals (1996 – present)</w:t>
            </w:r>
          </w:p>
          <w:p w14:paraId="05FC0E4F" w14:textId="77777777" w:rsidR="00522D47" w:rsidRDefault="00522D47" w:rsidP="00522D47">
            <w:pPr>
              <w:ind w:left="243"/>
              <w:contextualSpacing/>
              <w:rPr>
                <w:rFonts w:ascii="Arial" w:hAnsi="Arial" w:cs="Arial"/>
                <w:sz w:val="20"/>
                <w:szCs w:val="20"/>
              </w:rPr>
            </w:pPr>
            <w:r>
              <w:rPr>
                <w:rFonts w:ascii="Arial" w:hAnsi="Arial" w:cs="Arial"/>
                <w:sz w:val="20"/>
                <w:szCs w:val="20"/>
              </w:rPr>
              <w:t xml:space="preserve">-  IH is a not-for-profit health care system covering Utah and southeastern Idaho. Medical information and demographic records from UUH link to UPDB. </w:t>
            </w:r>
          </w:p>
        </w:tc>
      </w:tr>
      <w:tr w:rsidR="00522D47" w14:paraId="44714223" w14:textId="77777777" w:rsidTr="00522D47">
        <w:trPr>
          <w:trHeight w:val="751"/>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50F08474" w14:textId="77777777" w:rsidR="00522D47" w:rsidRDefault="00522D47">
            <w:pPr>
              <w:ind w:left="90" w:right="90"/>
              <w:rPr>
                <w:rFonts w:ascii="Arial" w:hAnsi="Arial" w:cs="Arial"/>
                <w:sz w:val="20"/>
                <w:szCs w:val="20"/>
              </w:rPr>
            </w:pPr>
            <w:r>
              <w:rPr>
                <w:rFonts w:ascii="Arial" w:hAnsi="Arial" w:cs="Arial"/>
                <w:sz w:val="20"/>
                <w:szCs w:val="20"/>
              </w:rPr>
              <w:t>Driver License Division</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36162E7B" w14:textId="77777777" w:rsidR="00522D47" w:rsidRDefault="00522D47">
            <w:pPr>
              <w:ind w:left="90"/>
              <w:contextualSpacing/>
              <w:rPr>
                <w:rFonts w:ascii="Arial" w:hAnsi="Arial" w:cs="Arial"/>
                <w:sz w:val="20"/>
                <w:szCs w:val="20"/>
              </w:rPr>
            </w:pPr>
            <w:r>
              <w:rPr>
                <w:rFonts w:ascii="Arial" w:hAnsi="Arial" w:cs="Arial"/>
                <w:sz w:val="20"/>
                <w:szCs w:val="20"/>
              </w:rPr>
              <w:t>~3.9 million licenses (early 1990s – present)</w:t>
            </w:r>
          </w:p>
          <w:p w14:paraId="0C020472" w14:textId="77777777" w:rsidR="00522D47" w:rsidRDefault="00522D47">
            <w:pPr>
              <w:ind w:left="243"/>
              <w:contextualSpacing/>
              <w:rPr>
                <w:rFonts w:ascii="Arial" w:hAnsi="Arial" w:cs="Arial"/>
                <w:sz w:val="20"/>
                <w:szCs w:val="20"/>
              </w:rPr>
            </w:pPr>
            <w:r>
              <w:rPr>
                <w:rFonts w:ascii="Arial" w:hAnsi="Arial" w:cs="Arial"/>
                <w:sz w:val="20"/>
                <w:szCs w:val="20"/>
              </w:rPr>
              <w:t>-  All driver license data collected for Utah residents including height, weight, and address</w:t>
            </w:r>
          </w:p>
        </w:tc>
      </w:tr>
      <w:tr w:rsidR="00522D47" w14:paraId="4EC1A4AB" w14:textId="77777777" w:rsidTr="00522D47">
        <w:trPr>
          <w:trHeight w:val="1471"/>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4802FF72" w14:textId="77777777" w:rsidR="00522D47" w:rsidRDefault="00522D47">
            <w:pPr>
              <w:ind w:left="90" w:right="90"/>
              <w:rPr>
                <w:rFonts w:ascii="Arial" w:hAnsi="Arial" w:cs="Arial"/>
                <w:sz w:val="20"/>
                <w:szCs w:val="20"/>
              </w:rPr>
            </w:pPr>
            <w:r>
              <w:rPr>
                <w:rFonts w:ascii="Arial" w:hAnsi="Arial" w:cs="Arial"/>
                <w:sz w:val="20"/>
                <w:szCs w:val="20"/>
              </w:rPr>
              <w:t>Utah Cancer Registry (UCR)</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360EA43D" w14:textId="77777777" w:rsidR="00522D47" w:rsidRDefault="00522D47">
            <w:pPr>
              <w:ind w:left="90"/>
              <w:contextualSpacing/>
              <w:rPr>
                <w:rFonts w:ascii="Arial" w:hAnsi="Arial" w:cs="Arial"/>
                <w:sz w:val="20"/>
                <w:szCs w:val="20"/>
              </w:rPr>
            </w:pPr>
            <w:r>
              <w:rPr>
                <w:rFonts w:ascii="Arial" w:hAnsi="Arial" w:cs="Arial"/>
                <w:sz w:val="20"/>
                <w:szCs w:val="20"/>
              </w:rPr>
              <w:t>363,000 cancer diagnoses (1966 – present)</w:t>
            </w:r>
          </w:p>
          <w:p w14:paraId="6ABF7A3F" w14:textId="77777777" w:rsidR="00522D47" w:rsidRDefault="00522D47">
            <w:pPr>
              <w:ind w:left="243"/>
              <w:contextualSpacing/>
              <w:rPr>
                <w:rFonts w:ascii="Arial" w:hAnsi="Arial" w:cs="Arial"/>
                <w:sz w:val="20"/>
                <w:szCs w:val="20"/>
              </w:rPr>
            </w:pPr>
            <w:r>
              <w:rPr>
                <w:rFonts w:ascii="Arial" w:hAnsi="Arial" w:cs="Arial"/>
                <w:sz w:val="20"/>
                <w:szCs w:val="20"/>
              </w:rPr>
              <w:t>-  UCR is a statewide cancer registry established in 1966 and monitors cancer incidence and mortality and is a member of the NCI Surveillance, Epidemiology, and End Results Program. UCR holds statewide data on stage of disease at diagnosis and patient characteristics (i.e., age at diagnosis, sex, race/ethnicity, place of residence at diagnosis, and cause of death).</w:t>
            </w:r>
          </w:p>
        </w:tc>
      </w:tr>
      <w:tr w:rsidR="00522D47" w14:paraId="75502588" w14:textId="77777777" w:rsidTr="008B41FD">
        <w:trPr>
          <w:trHeight w:val="832"/>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75D70F88" w14:textId="77777777" w:rsidR="00522D47" w:rsidRDefault="00522D47">
            <w:pPr>
              <w:ind w:left="90" w:right="90"/>
              <w:rPr>
                <w:rFonts w:ascii="Arial" w:hAnsi="Arial" w:cs="Arial"/>
                <w:sz w:val="20"/>
                <w:szCs w:val="20"/>
              </w:rPr>
            </w:pPr>
            <w:r>
              <w:rPr>
                <w:rFonts w:ascii="Arial" w:hAnsi="Arial" w:cs="Arial"/>
                <w:sz w:val="20"/>
                <w:szCs w:val="20"/>
              </w:rPr>
              <w:lastRenderedPageBreak/>
              <w:t>Utah Department of Health (UDOH) -- State Birth Records</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567BC552" w14:textId="77777777" w:rsidR="00522D47" w:rsidRDefault="00522D47">
            <w:pPr>
              <w:ind w:left="90"/>
              <w:contextualSpacing/>
              <w:rPr>
                <w:rFonts w:ascii="Arial" w:hAnsi="Arial" w:cs="Arial"/>
                <w:sz w:val="20"/>
                <w:szCs w:val="20"/>
              </w:rPr>
            </w:pPr>
            <w:r>
              <w:rPr>
                <w:rFonts w:ascii="Arial" w:hAnsi="Arial" w:cs="Arial"/>
                <w:sz w:val="20"/>
                <w:szCs w:val="20"/>
              </w:rPr>
              <w:t>~2.93 million Birth Certificates (1931 – present)</w:t>
            </w:r>
          </w:p>
          <w:p w14:paraId="654DD0CD" w14:textId="77777777" w:rsidR="00522D47" w:rsidRDefault="00522D47" w:rsidP="000A4C6B">
            <w:pPr>
              <w:ind w:left="243"/>
              <w:contextualSpacing/>
              <w:rPr>
                <w:rFonts w:ascii="Arial" w:hAnsi="Arial" w:cs="Arial"/>
                <w:sz w:val="20"/>
                <w:szCs w:val="20"/>
              </w:rPr>
            </w:pPr>
            <w:r>
              <w:rPr>
                <w:rFonts w:ascii="Arial" w:hAnsi="Arial" w:cs="Arial"/>
                <w:sz w:val="20"/>
                <w:szCs w:val="20"/>
              </w:rPr>
              <w:t xml:space="preserve">-  Utah birth certificates from the UDOH are linked into sibships and families and form the basis of parental reproductive histories in UPDB. </w:t>
            </w:r>
            <w:r w:rsidR="000A4C6B">
              <w:rPr>
                <w:rFonts w:ascii="Arial" w:hAnsi="Arial" w:cs="Arial"/>
                <w:sz w:val="20"/>
                <w:szCs w:val="20"/>
              </w:rPr>
              <w:t>They</w:t>
            </w:r>
            <w:r>
              <w:rPr>
                <w:rFonts w:ascii="Arial" w:hAnsi="Arial" w:cs="Arial"/>
                <w:sz w:val="20"/>
                <w:szCs w:val="20"/>
              </w:rPr>
              <w:t xml:space="preserve"> provide basic information about the timing of all births, conceived naturally or otherwise, in addition to basic demographic and extensive clinical information about all mother-father-child triads. A new-born on a birth certificate appears later as a parent on another, a feature that UPDB exploits to create large pedigrees separate from the GSU.</w:t>
            </w:r>
          </w:p>
        </w:tc>
      </w:tr>
      <w:tr w:rsidR="00522D47" w14:paraId="20980640" w14:textId="77777777" w:rsidTr="008B41FD">
        <w:trPr>
          <w:trHeight w:val="1921"/>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1EBCC32D" w14:textId="77777777" w:rsidR="00522D47" w:rsidRDefault="00522D47">
            <w:pPr>
              <w:ind w:left="90" w:right="90"/>
              <w:rPr>
                <w:rFonts w:ascii="Arial" w:hAnsi="Arial" w:cs="Arial"/>
                <w:sz w:val="20"/>
                <w:szCs w:val="20"/>
              </w:rPr>
            </w:pPr>
            <w:r>
              <w:rPr>
                <w:rFonts w:ascii="Arial" w:hAnsi="Arial" w:cs="Arial"/>
                <w:sz w:val="20"/>
                <w:szCs w:val="20"/>
              </w:rPr>
              <w:t>UDOH -- State Death Records</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4A98570F" w14:textId="77777777" w:rsidR="00522D47" w:rsidRDefault="00522D47">
            <w:pPr>
              <w:ind w:left="90"/>
              <w:contextualSpacing/>
              <w:rPr>
                <w:rFonts w:ascii="Arial" w:hAnsi="Arial" w:cs="Arial"/>
                <w:sz w:val="20"/>
                <w:szCs w:val="20"/>
              </w:rPr>
            </w:pPr>
            <w:r>
              <w:rPr>
                <w:rFonts w:ascii="Arial" w:hAnsi="Arial" w:cs="Arial"/>
                <w:sz w:val="20"/>
                <w:szCs w:val="20"/>
              </w:rPr>
              <w:t>86</w:t>
            </w:r>
            <w:r w:rsidR="000A4C6B">
              <w:rPr>
                <w:rFonts w:ascii="Arial" w:hAnsi="Arial" w:cs="Arial"/>
                <w:sz w:val="20"/>
                <w:szCs w:val="20"/>
              </w:rPr>
              <w:t>5</w:t>
            </w:r>
            <w:r>
              <w:rPr>
                <w:rFonts w:ascii="Arial" w:hAnsi="Arial" w:cs="Arial"/>
                <w:sz w:val="20"/>
                <w:szCs w:val="20"/>
              </w:rPr>
              <w:t>,000 Death Certificates (1904 – present)</w:t>
            </w:r>
          </w:p>
          <w:p w14:paraId="5150BFC0" w14:textId="77777777" w:rsidR="00522D47" w:rsidRDefault="00522D47">
            <w:pPr>
              <w:ind w:left="90"/>
              <w:contextualSpacing/>
              <w:rPr>
                <w:rFonts w:ascii="Arial" w:hAnsi="Arial" w:cs="Arial"/>
                <w:sz w:val="20"/>
                <w:szCs w:val="20"/>
              </w:rPr>
            </w:pPr>
            <w:r>
              <w:rPr>
                <w:rFonts w:ascii="Arial" w:hAnsi="Arial" w:cs="Arial"/>
                <w:sz w:val="20"/>
                <w:szCs w:val="20"/>
              </w:rPr>
              <w:t>10,500 Fetal Death Certificates (1978 – present)</w:t>
            </w:r>
          </w:p>
          <w:p w14:paraId="21D918C5" w14:textId="77777777" w:rsidR="00522D47" w:rsidRDefault="00522D47">
            <w:pPr>
              <w:ind w:left="243"/>
              <w:contextualSpacing/>
              <w:rPr>
                <w:rFonts w:ascii="Arial" w:hAnsi="Arial" w:cs="Arial"/>
                <w:sz w:val="20"/>
                <w:szCs w:val="20"/>
              </w:rPr>
            </w:pPr>
            <w:r>
              <w:rPr>
                <w:rFonts w:ascii="Arial" w:hAnsi="Arial" w:cs="Arial"/>
                <w:sz w:val="20"/>
                <w:szCs w:val="20"/>
              </w:rPr>
              <w:t>-  Causes of death are coded using ICD revisions 6-10 for all death &amp; fetal deaths. Industry/occupation info are coded to generate socioeconomic scores.</w:t>
            </w:r>
          </w:p>
        </w:tc>
      </w:tr>
      <w:tr w:rsidR="00522D47" w14:paraId="02E33234" w14:textId="77777777" w:rsidTr="008B41FD">
        <w:trPr>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03348013" w14:textId="77777777" w:rsidR="00522D47" w:rsidRDefault="00522D47">
            <w:pPr>
              <w:ind w:left="90" w:right="90"/>
              <w:rPr>
                <w:rFonts w:ascii="Arial" w:hAnsi="Arial" w:cs="Arial"/>
                <w:sz w:val="20"/>
                <w:szCs w:val="20"/>
              </w:rPr>
            </w:pPr>
            <w:r>
              <w:rPr>
                <w:rFonts w:ascii="Arial" w:hAnsi="Arial" w:cs="Arial"/>
                <w:sz w:val="20"/>
                <w:szCs w:val="20"/>
              </w:rPr>
              <w:t>Utah Voter Registration</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1021FC92" w14:textId="77777777" w:rsidR="00522D47" w:rsidRDefault="000A4C6B">
            <w:pPr>
              <w:ind w:left="243"/>
              <w:contextualSpacing/>
              <w:rPr>
                <w:rFonts w:ascii="Arial" w:hAnsi="Arial" w:cs="Arial"/>
                <w:sz w:val="20"/>
                <w:szCs w:val="20"/>
              </w:rPr>
            </w:pPr>
            <w:r>
              <w:rPr>
                <w:rFonts w:ascii="Arial" w:hAnsi="Arial" w:cs="Arial"/>
                <w:sz w:val="20"/>
                <w:szCs w:val="20"/>
              </w:rPr>
              <w:t>2.1</w:t>
            </w:r>
            <w:r w:rsidR="00522D47">
              <w:rPr>
                <w:rFonts w:ascii="Arial" w:hAnsi="Arial" w:cs="Arial"/>
                <w:sz w:val="20"/>
                <w:szCs w:val="20"/>
              </w:rPr>
              <w:t xml:space="preserve"> million records</w:t>
            </w:r>
          </w:p>
        </w:tc>
      </w:tr>
      <w:tr w:rsidR="00522D47" w14:paraId="24942818" w14:textId="77777777" w:rsidTr="008B41FD">
        <w:trPr>
          <w:jc w:val="center"/>
        </w:trPr>
        <w:tc>
          <w:tcPr>
            <w:tcW w:w="2610" w:type="dxa"/>
            <w:tcBorders>
              <w:top w:val="nil"/>
              <w:left w:val="single" w:sz="8" w:space="0" w:color="auto"/>
              <w:bottom w:val="single" w:sz="8" w:space="0" w:color="auto"/>
              <w:right w:val="single" w:sz="8" w:space="0" w:color="auto"/>
            </w:tcBorders>
            <w:tcMar>
              <w:top w:w="0" w:type="dxa"/>
              <w:left w:w="29" w:type="dxa"/>
              <w:bottom w:w="0" w:type="dxa"/>
              <w:right w:w="29" w:type="dxa"/>
            </w:tcMar>
            <w:vAlign w:val="center"/>
            <w:hideMark/>
          </w:tcPr>
          <w:p w14:paraId="6109B21B" w14:textId="77777777" w:rsidR="00522D47" w:rsidRDefault="00522D47">
            <w:pPr>
              <w:ind w:left="90" w:right="90"/>
              <w:rPr>
                <w:rFonts w:ascii="Arial" w:hAnsi="Arial" w:cs="Arial"/>
                <w:sz w:val="20"/>
                <w:szCs w:val="20"/>
              </w:rPr>
            </w:pPr>
            <w:r>
              <w:rPr>
                <w:rFonts w:ascii="Arial" w:hAnsi="Arial" w:cs="Arial"/>
                <w:sz w:val="20"/>
                <w:szCs w:val="20"/>
              </w:rPr>
              <w:t>Individual Level Census Records</w:t>
            </w:r>
          </w:p>
        </w:tc>
        <w:tc>
          <w:tcPr>
            <w:tcW w:w="7427" w:type="dxa"/>
            <w:tcBorders>
              <w:top w:val="nil"/>
              <w:left w:val="nil"/>
              <w:bottom w:val="single" w:sz="8" w:space="0" w:color="auto"/>
              <w:right w:val="single" w:sz="8" w:space="0" w:color="auto"/>
            </w:tcBorders>
            <w:tcMar>
              <w:top w:w="0" w:type="dxa"/>
              <w:left w:w="29" w:type="dxa"/>
              <w:bottom w:w="0" w:type="dxa"/>
              <w:right w:w="29" w:type="dxa"/>
            </w:tcMar>
            <w:vAlign w:val="center"/>
            <w:hideMark/>
          </w:tcPr>
          <w:p w14:paraId="4C029F03" w14:textId="77777777" w:rsidR="00522D47" w:rsidRDefault="00522D47">
            <w:pPr>
              <w:ind w:left="90"/>
              <w:contextualSpacing/>
              <w:rPr>
                <w:rFonts w:ascii="Arial" w:hAnsi="Arial" w:cs="Arial"/>
                <w:sz w:val="20"/>
                <w:szCs w:val="20"/>
              </w:rPr>
            </w:pPr>
            <w:r>
              <w:rPr>
                <w:rFonts w:ascii="Arial" w:hAnsi="Arial" w:cs="Arial"/>
                <w:sz w:val="20"/>
                <w:szCs w:val="20"/>
              </w:rPr>
              <w:t>2.3 million records (1880, 1900 – 1940 [1890 UT Census records were destroyed]</w:t>
            </w:r>
          </w:p>
          <w:p w14:paraId="1B9B0178" w14:textId="77777777" w:rsidR="00522D47" w:rsidRDefault="00522D47">
            <w:pPr>
              <w:ind w:left="90"/>
              <w:contextualSpacing/>
              <w:rPr>
                <w:rFonts w:ascii="Arial" w:hAnsi="Arial" w:cs="Arial"/>
                <w:sz w:val="20"/>
                <w:szCs w:val="20"/>
              </w:rPr>
            </w:pPr>
            <w:r>
              <w:rPr>
                <w:rFonts w:ascii="Arial" w:hAnsi="Arial" w:cs="Arial"/>
                <w:sz w:val="20"/>
                <w:szCs w:val="20"/>
              </w:rPr>
              <w:t xml:space="preserve">-  Federal regulations prevent access to individual Census records within 72 years of the present. Overall 2.3 million records </w:t>
            </w:r>
          </w:p>
        </w:tc>
      </w:tr>
    </w:tbl>
    <w:p w14:paraId="5148041D" w14:textId="28B8BBC8" w:rsidR="0036234C" w:rsidRDefault="0036234C">
      <w:pPr>
        <w:sectPr w:rsidR="0036234C">
          <w:pgSz w:w="12240" w:h="15840"/>
          <w:pgMar w:top="1440" w:right="1440" w:bottom="1440" w:left="1440" w:header="720" w:footer="720" w:gutter="0"/>
          <w:cols w:space="720"/>
          <w:docGrid w:linePitch="360"/>
        </w:sectPr>
      </w:pPr>
    </w:p>
    <w:p w14:paraId="7EEA18AD" w14:textId="77777777" w:rsidR="00234D68" w:rsidRDefault="00234D68">
      <w:pPr>
        <w:rPr>
          <w:b/>
        </w:rPr>
      </w:pPr>
    </w:p>
    <w:p w14:paraId="75C18FC4" w14:textId="20C9CE23" w:rsidR="002400D9" w:rsidRPr="003E3F09" w:rsidRDefault="002400D9">
      <w:r>
        <w:rPr>
          <w:b/>
        </w:rPr>
        <w:t xml:space="preserve">Supplementary Figure 1. </w:t>
      </w:r>
      <w:r w:rsidRPr="003E3F09">
        <w:t xml:space="preserve">Silhouette plot for the final </w:t>
      </w:r>
      <w:r w:rsidR="00D11828" w:rsidRPr="003E3F09">
        <w:t xml:space="preserve">familial multi-cancer configuration (FMC) </w:t>
      </w:r>
      <w:r w:rsidRPr="003E3F09">
        <w:t>model (K=5)</w:t>
      </w:r>
    </w:p>
    <w:p w14:paraId="1DB55A33" w14:textId="77777777" w:rsidR="002400D9" w:rsidRDefault="002400D9">
      <w:r>
        <w:rPr>
          <w:noProof/>
        </w:rPr>
        <w:drawing>
          <wp:inline distT="0" distB="0" distL="0" distR="0" wp14:anchorId="5E58E75F" wp14:editId="13B10819">
            <wp:extent cx="5943600" cy="4356735"/>
            <wp:effectExtent l="19050" t="19050" r="19050" b="24765"/>
            <wp:docPr id="3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3"/>
                    <pic:cNvPicPr>
                      <a:picLocks noChangeAspect="1"/>
                    </pic:cNvPicPr>
                  </pic:nvPicPr>
                  <pic:blipFill>
                    <a:blip r:embed="rId5"/>
                    <a:stretch>
                      <a:fillRect/>
                    </a:stretch>
                  </pic:blipFill>
                  <pic:spPr>
                    <a:xfrm>
                      <a:off x="0" y="0"/>
                      <a:ext cx="5943600" cy="4356735"/>
                    </a:xfrm>
                    <a:prstGeom prst="rect">
                      <a:avLst/>
                    </a:prstGeom>
                    <a:ln>
                      <a:solidFill>
                        <a:schemeClr val="tx1"/>
                      </a:solidFill>
                    </a:ln>
                  </pic:spPr>
                </pic:pic>
              </a:graphicData>
            </a:graphic>
          </wp:inline>
        </w:drawing>
      </w:r>
    </w:p>
    <w:p w14:paraId="51522414" w14:textId="77777777" w:rsidR="002400D9" w:rsidRDefault="002400D9">
      <w:r>
        <w:br w:type="page"/>
      </w:r>
    </w:p>
    <w:p w14:paraId="2418169D" w14:textId="71DD3B92" w:rsidR="00355C07" w:rsidRDefault="002400D9">
      <w:r>
        <w:rPr>
          <w:b/>
        </w:rPr>
        <w:lastRenderedPageBreak/>
        <w:t xml:space="preserve">Supplementary Figure 2. </w:t>
      </w:r>
      <w:r w:rsidR="00C31921" w:rsidRPr="003E3F09">
        <w:t>Consensus Matrix Heatmap for</w:t>
      </w:r>
      <w:r w:rsidR="00D11828" w:rsidRPr="003E3F09">
        <w:t xml:space="preserve"> the Final Familial Multi-Cancer Configuration (FMC)</w:t>
      </w:r>
      <w:r w:rsidR="00C31921" w:rsidRPr="003E3F09">
        <w:t xml:space="preserve"> K=5</w:t>
      </w:r>
      <w:r w:rsidR="00FD22F5">
        <w:rPr>
          <w:noProof/>
        </w:rPr>
        <w:drawing>
          <wp:inline distT="0" distB="0" distL="0" distR="0" wp14:anchorId="66717B0D" wp14:editId="462E3264">
            <wp:extent cx="5943600" cy="39573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sensusMatrixK5.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957320"/>
                    </a:xfrm>
                    <a:prstGeom prst="rect">
                      <a:avLst/>
                    </a:prstGeom>
                  </pic:spPr>
                </pic:pic>
              </a:graphicData>
            </a:graphic>
          </wp:inline>
        </w:drawing>
      </w:r>
    </w:p>
    <w:p w14:paraId="7056902C" w14:textId="77777777" w:rsidR="00FD22F5" w:rsidRDefault="00FD22F5" w:rsidP="00355C07">
      <w:pPr>
        <w:pStyle w:val="EndNoteBibliography"/>
      </w:pPr>
    </w:p>
    <w:p w14:paraId="6500D715" w14:textId="5FEAB3B5" w:rsidR="00FD22F5" w:rsidRDefault="00FD22F5">
      <w:r>
        <w:br w:type="page"/>
      </w:r>
    </w:p>
    <w:p w14:paraId="144F3E71" w14:textId="30494A9F" w:rsidR="00E04588" w:rsidRDefault="00E04588" w:rsidP="00E04588">
      <w:bookmarkStart w:id="0" w:name="_GoBack"/>
      <w:r>
        <w:rPr>
          <w:b/>
        </w:rPr>
        <w:lastRenderedPageBreak/>
        <w:t xml:space="preserve">Supplementary Figure 3 – </w:t>
      </w:r>
      <w:r>
        <w:t xml:space="preserve">Heat plot by familial </w:t>
      </w:r>
      <w:r w:rsidRPr="0049300C">
        <w:t>multi-cancer configurations</w:t>
      </w:r>
      <w:r>
        <w:t xml:space="preserve"> (FMC) displaying the direction of risk across the 26 cancer types.  </w:t>
      </w:r>
    </w:p>
    <w:bookmarkEnd w:id="0"/>
    <w:p w14:paraId="3F1B351D" w14:textId="77777777" w:rsidR="00E04588" w:rsidRDefault="00E04588" w:rsidP="00E04588">
      <w:pPr>
        <w:rPr>
          <w:b/>
        </w:rPr>
      </w:pPr>
      <w:r>
        <w:rPr>
          <w:b/>
          <w:noProof/>
        </w:rPr>
        <w:drawing>
          <wp:inline distT="0" distB="0" distL="0" distR="0" wp14:anchorId="11D17EFE" wp14:editId="2D018781">
            <wp:extent cx="4926416" cy="4440445"/>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tPlotv2.png"/>
                    <pic:cNvPicPr/>
                  </pic:nvPicPr>
                  <pic:blipFill>
                    <a:blip r:embed="rId7">
                      <a:extLst>
                        <a:ext uri="{28A0092B-C50C-407E-A947-70E740481C1C}">
                          <a14:useLocalDpi xmlns:a14="http://schemas.microsoft.com/office/drawing/2010/main" val="0"/>
                        </a:ext>
                      </a:extLst>
                    </a:blip>
                    <a:stretch>
                      <a:fillRect/>
                    </a:stretch>
                  </pic:blipFill>
                  <pic:spPr>
                    <a:xfrm>
                      <a:off x="0" y="0"/>
                      <a:ext cx="4926416" cy="4440445"/>
                    </a:xfrm>
                    <a:prstGeom prst="rect">
                      <a:avLst/>
                    </a:prstGeom>
                  </pic:spPr>
                </pic:pic>
              </a:graphicData>
            </a:graphic>
          </wp:inline>
        </w:drawing>
      </w:r>
    </w:p>
    <w:p w14:paraId="49FD1B0B" w14:textId="2F6A3F9F" w:rsidR="00E04588" w:rsidRDefault="00E04588">
      <w:r>
        <w:br w:type="page"/>
      </w:r>
    </w:p>
    <w:p w14:paraId="1A179626" w14:textId="77777777" w:rsidR="00E04588" w:rsidRDefault="00E04588">
      <w:pPr>
        <w:rPr>
          <w:rFonts w:ascii="Calibri" w:hAnsi="Calibri" w:cs="Calibri"/>
          <w:noProof/>
        </w:rPr>
      </w:pPr>
    </w:p>
    <w:p w14:paraId="123AD54B" w14:textId="69E33495" w:rsidR="00FD22F5" w:rsidRDefault="00FD22F5" w:rsidP="00355C07">
      <w:pPr>
        <w:pStyle w:val="EndNoteBibliography"/>
      </w:pPr>
      <w:r>
        <w:t xml:space="preserve">References </w:t>
      </w:r>
    </w:p>
    <w:p w14:paraId="2579DBC7" w14:textId="77777777" w:rsidR="00FD22F5" w:rsidRDefault="00FD22F5" w:rsidP="00355C07">
      <w:pPr>
        <w:pStyle w:val="EndNoteBibliography"/>
      </w:pPr>
    </w:p>
    <w:p w14:paraId="4B283C2F" w14:textId="6C481C7D" w:rsidR="00355C07" w:rsidRPr="00355C07" w:rsidRDefault="00355C07" w:rsidP="00355C07">
      <w:pPr>
        <w:pStyle w:val="EndNoteBibliography"/>
      </w:pPr>
      <w:r>
        <w:fldChar w:fldCharType="begin"/>
      </w:r>
      <w:r>
        <w:instrText xml:space="preserve"> ADDIN EN.REFLIST </w:instrText>
      </w:r>
      <w:r>
        <w:fldChar w:fldCharType="separate"/>
      </w:r>
      <w:r w:rsidRPr="00355C07">
        <w:t>1.</w:t>
      </w:r>
      <w:r w:rsidRPr="00355C07">
        <w:tab/>
        <w:t>Cannon-Albright LA, Cooper KG, Georgelas A, Bernard PS. High quality and quantity Genome-wide germline genotypes from FFPE normal tissue. BMC research notes. 2011;4:159.</w:t>
      </w:r>
    </w:p>
    <w:p w14:paraId="6199A4EC" w14:textId="77777777" w:rsidR="00A40E42" w:rsidRDefault="00355C07">
      <w:r>
        <w:fldChar w:fldCharType="end"/>
      </w:r>
    </w:p>
    <w:sectPr w:rsidR="00A40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E506A"/>
    <w:multiLevelType w:val="hybridMultilevel"/>
    <w:tmpl w:val="F022C66A"/>
    <w:lvl w:ilvl="0" w:tplc="746274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vdzxesmp5ps6ewdfqpd9rbzwrr5zs9vzrz&quot;&gt;CEBPSpecialIssue&lt;record-ids&gt;&lt;item&gt;16&lt;/item&gt;&lt;/record-ids&gt;&lt;/item&gt;&lt;/Libraries&gt;"/>
  </w:docVars>
  <w:rsids>
    <w:rsidRoot w:val="00A40E42"/>
    <w:rsid w:val="00083B36"/>
    <w:rsid w:val="000A4C6B"/>
    <w:rsid w:val="000D3E72"/>
    <w:rsid w:val="001A3FA6"/>
    <w:rsid w:val="001C207A"/>
    <w:rsid w:val="00234D68"/>
    <w:rsid w:val="00235956"/>
    <w:rsid w:val="002400D9"/>
    <w:rsid w:val="00255157"/>
    <w:rsid w:val="002E7F47"/>
    <w:rsid w:val="00355C07"/>
    <w:rsid w:val="0036234C"/>
    <w:rsid w:val="003948E8"/>
    <w:rsid w:val="003A5618"/>
    <w:rsid w:val="003E3F09"/>
    <w:rsid w:val="004A2410"/>
    <w:rsid w:val="004C2E9D"/>
    <w:rsid w:val="00522D47"/>
    <w:rsid w:val="005C1435"/>
    <w:rsid w:val="0061456F"/>
    <w:rsid w:val="0071704D"/>
    <w:rsid w:val="007E62A5"/>
    <w:rsid w:val="00877BFE"/>
    <w:rsid w:val="00882C9C"/>
    <w:rsid w:val="00893C4F"/>
    <w:rsid w:val="008B41FD"/>
    <w:rsid w:val="00982CF5"/>
    <w:rsid w:val="009E4940"/>
    <w:rsid w:val="00A40E42"/>
    <w:rsid w:val="00AB2558"/>
    <w:rsid w:val="00AE4DF1"/>
    <w:rsid w:val="00B62551"/>
    <w:rsid w:val="00B86CE2"/>
    <w:rsid w:val="00BB12E7"/>
    <w:rsid w:val="00BB64D9"/>
    <w:rsid w:val="00BD4902"/>
    <w:rsid w:val="00BD76DC"/>
    <w:rsid w:val="00C2341C"/>
    <w:rsid w:val="00C31921"/>
    <w:rsid w:val="00CA3875"/>
    <w:rsid w:val="00CA7165"/>
    <w:rsid w:val="00CB59B3"/>
    <w:rsid w:val="00CC6682"/>
    <w:rsid w:val="00CE2D03"/>
    <w:rsid w:val="00D11828"/>
    <w:rsid w:val="00D21440"/>
    <w:rsid w:val="00D369CC"/>
    <w:rsid w:val="00DE61DE"/>
    <w:rsid w:val="00E04588"/>
    <w:rsid w:val="00E34B46"/>
    <w:rsid w:val="00F32C78"/>
    <w:rsid w:val="00F5220A"/>
    <w:rsid w:val="00F53A03"/>
    <w:rsid w:val="00FC4953"/>
    <w:rsid w:val="00FD2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D74D"/>
  <w15:chartTrackingRefBased/>
  <w15:docId w15:val="{91B04498-DE15-4238-A144-A76C07758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55C0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55C07"/>
    <w:rPr>
      <w:rFonts w:ascii="Calibri" w:hAnsi="Calibri" w:cs="Calibri"/>
      <w:noProof/>
    </w:rPr>
  </w:style>
  <w:style w:type="paragraph" w:customStyle="1" w:styleId="EndNoteBibliography">
    <w:name w:val="EndNote Bibliography"/>
    <w:basedOn w:val="Normal"/>
    <w:link w:val="EndNoteBibliographyChar"/>
    <w:rsid w:val="00355C07"/>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355C07"/>
    <w:rPr>
      <w:rFonts w:ascii="Calibri" w:hAnsi="Calibri" w:cs="Calibri"/>
      <w:noProof/>
    </w:rPr>
  </w:style>
  <w:style w:type="paragraph" w:styleId="ListParagraph">
    <w:name w:val="List Paragraph"/>
    <w:basedOn w:val="Normal"/>
    <w:uiPriority w:val="34"/>
    <w:qFormat/>
    <w:rsid w:val="00CC6682"/>
    <w:pPr>
      <w:ind w:left="720"/>
      <w:contextualSpacing/>
    </w:pPr>
  </w:style>
  <w:style w:type="paragraph" w:styleId="BalloonText">
    <w:name w:val="Balloon Text"/>
    <w:basedOn w:val="Normal"/>
    <w:link w:val="BalloonTextChar"/>
    <w:uiPriority w:val="99"/>
    <w:semiHidden/>
    <w:unhideWhenUsed/>
    <w:rsid w:val="00FC495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495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34B46"/>
    <w:rPr>
      <w:sz w:val="16"/>
      <w:szCs w:val="16"/>
    </w:rPr>
  </w:style>
  <w:style w:type="paragraph" w:styleId="CommentText">
    <w:name w:val="annotation text"/>
    <w:basedOn w:val="Normal"/>
    <w:link w:val="CommentTextChar"/>
    <w:uiPriority w:val="99"/>
    <w:semiHidden/>
    <w:unhideWhenUsed/>
    <w:rsid w:val="00E34B46"/>
    <w:pPr>
      <w:spacing w:line="240" w:lineRule="auto"/>
    </w:pPr>
    <w:rPr>
      <w:sz w:val="20"/>
      <w:szCs w:val="20"/>
    </w:rPr>
  </w:style>
  <w:style w:type="character" w:customStyle="1" w:styleId="CommentTextChar">
    <w:name w:val="Comment Text Char"/>
    <w:basedOn w:val="DefaultParagraphFont"/>
    <w:link w:val="CommentText"/>
    <w:uiPriority w:val="99"/>
    <w:semiHidden/>
    <w:rsid w:val="00E34B46"/>
    <w:rPr>
      <w:sz w:val="20"/>
      <w:szCs w:val="20"/>
    </w:rPr>
  </w:style>
  <w:style w:type="paragraph" w:styleId="CommentSubject">
    <w:name w:val="annotation subject"/>
    <w:basedOn w:val="CommentText"/>
    <w:next w:val="CommentText"/>
    <w:link w:val="CommentSubjectChar"/>
    <w:uiPriority w:val="99"/>
    <w:semiHidden/>
    <w:unhideWhenUsed/>
    <w:rsid w:val="00E34B46"/>
    <w:rPr>
      <w:b/>
      <w:bCs/>
    </w:rPr>
  </w:style>
  <w:style w:type="character" w:customStyle="1" w:styleId="CommentSubjectChar">
    <w:name w:val="Comment Subject Char"/>
    <w:basedOn w:val="CommentTextChar"/>
    <w:link w:val="CommentSubject"/>
    <w:uiPriority w:val="99"/>
    <w:semiHidden/>
    <w:rsid w:val="00E34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257837">
      <w:bodyDiv w:val="1"/>
      <w:marLeft w:val="0"/>
      <w:marRight w:val="0"/>
      <w:marTop w:val="0"/>
      <w:marBottom w:val="0"/>
      <w:divBdr>
        <w:top w:val="none" w:sz="0" w:space="0" w:color="auto"/>
        <w:left w:val="none" w:sz="0" w:space="0" w:color="auto"/>
        <w:bottom w:val="none" w:sz="0" w:space="0" w:color="auto"/>
        <w:right w:val="none" w:sz="0" w:space="0" w:color="auto"/>
      </w:divBdr>
    </w:div>
    <w:div w:id="579212408">
      <w:bodyDiv w:val="1"/>
      <w:marLeft w:val="0"/>
      <w:marRight w:val="0"/>
      <w:marTop w:val="0"/>
      <w:marBottom w:val="0"/>
      <w:divBdr>
        <w:top w:val="none" w:sz="0" w:space="0" w:color="auto"/>
        <w:left w:val="none" w:sz="0" w:space="0" w:color="auto"/>
        <w:bottom w:val="none" w:sz="0" w:space="0" w:color="auto"/>
        <w:right w:val="none" w:sz="0" w:space="0" w:color="auto"/>
      </w:divBdr>
    </w:div>
    <w:div w:id="597326742">
      <w:bodyDiv w:val="1"/>
      <w:marLeft w:val="0"/>
      <w:marRight w:val="0"/>
      <w:marTop w:val="0"/>
      <w:marBottom w:val="0"/>
      <w:divBdr>
        <w:top w:val="none" w:sz="0" w:space="0" w:color="auto"/>
        <w:left w:val="none" w:sz="0" w:space="0" w:color="auto"/>
        <w:bottom w:val="none" w:sz="0" w:space="0" w:color="auto"/>
        <w:right w:val="none" w:sz="0" w:space="0" w:color="auto"/>
      </w:divBdr>
    </w:div>
    <w:div w:id="691420366">
      <w:bodyDiv w:val="1"/>
      <w:marLeft w:val="0"/>
      <w:marRight w:val="0"/>
      <w:marTop w:val="0"/>
      <w:marBottom w:val="0"/>
      <w:divBdr>
        <w:top w:val="none" w:sz="0" w:space="0" w:color="auto"/>
        <w:left w:val="none" w:sz="0" w:space="0" w:color="auto"/>
        <w:bottom w:val="none" w:sz="0" w:space="0" w:color="auto"/>
        <w:right w:val="none" w:sz="0" w:space="0" w:color="auto"/>
      </w:divBdr>
    </w:div>
    <w:div w:id="972710597">
      <w:bodyDiv w:val="1"/>
      <w:marLeft w:val="0"/>
      <w:marRight w:val="0"/>
      <w:marTop w:val="0"/>
      <w:marBottom w:val="0"/>
      <w:divBdr>
        <w:top w:val="none" w:sz="0" w:space="0" w:color="auto"/>
        <w:left w:val="none" w:sz="0" w:space="0" w:color="auto"/>
        <w:bottom w:val="none" w:sz="0" w:space="0" w:color="auto"/>
        <w:right w:val="none" w:sz="0" w:space="0" w:color="auto"/>
      </w:divBdr>
    </w:div>
    <w:div w:id="1342664748">
      <w:bodyDiv w:val="1"/>
      <w:marLeft w:val="0"/>
      <w:marRight w:val="0"/>
      <w:marTop w:val="0"/>
      <w:marBottom w:val="0"/>
      <w:divBdr>
        <w:top w:val="none" w:sz="0" w:space="0" w:color="auto"/>
        <w:left w:val="none" w:sz="0" w:space="0" w:color="auto"/>
        <w:bottom w:val="none" w:sz="0" w:space="0" w:color="auto"/>
        <w:right w:val="none" w:sz="0" w:space="0" w:color="auto"/>
      </w:divBdr>
    </w:div>
    <w:div w:id="1439444382">
      <w:bodyDiv w:val="1"/>
      <w:marLeft w:val="0"/>
      <w:marRight w:val="0"/>
      <w:marTop w:val="0"/>
      <w:marBottom w:val="0"/>
      <w:divBdr>
        <w:top w:val="none" w:sz="0" w:space="0" w:color="auto"/>
        <w:left w:val="none" w:sz="0" w:space="0" w:color="auto"/>
        <w:bottom w:val="none" w:sz="0" w:space="0" w:color="auto"/>
        <w:right w:val="none" w:sz="0" w:space="0" w:color="auto"/>
      </w:divBdr>
    </w:div>
    <w:div w:id="1589537822">
      <w:bodyDiv w:val="1"/>
      <w:marLeft w:val="0"/>
      <w:marRight w:val="0"/>
      <w:marTop w:val="0"/>
      <w:marBottom w:val="0"/>
      <w:divBdr>
        <w:top w:val="none" w:sz="0" w:space="0" w:color="auto"/>
        <w:left w:val="none" w:sz="0" w:space="0" w:color="auto"/>
        <w:bottom w:val="none" w:sz="0" w:space="0" w:color="auto"/>
        <w:right w:val="none" w:sz="0" w:space="0" w:color="auto"/>
      </w:divBdr>
    </w:div>
    <w:div w:id="1590653513">
      <w:bodyDiv w:val="1"/>
      <w:marLeft w:val="0"/>
      <w:marRight w:val="0"/>
      <w:marTop w:val="0"/>
      <w:marBottom w:val="0"/>
      <w:divBdr>
        <w:top w:val="none" w:sz="0" w:space="0" w:color="auto"/>
        <w:left w:val="none" w:sz="0" w:space="0" w:color="auto"/>
        <w:bottom w:val="none" w:sz="0" w:space="0" w:color="auto"/>
        <w:right w:val="none" w:sz="0" w:space="0" w:color="auto"/>
      </w:divBdr>
    </w:div>
    <w:div w:id="189322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1832</Words>
  <Characters>10446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Hanson</dc:creator>
  <cp:keywords/>
  <dc:description/>
  <cp:lastModifiedBy>Cheepudom, Crystal</cp:lastModifiedBy>
  <cp:revision>3</cp:revision>
  <dcterms:created xsi:type="dcterms:W3CDTF">2020-02-18T17:22:00Z</dcterms:created>
  <dcterms:modified xsi:type="dcterms:W3CDTF">2020-02-18T17:24:00Z</dcterms:modified>
</cp:coreProperties>
</file>