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BF76" w14:textId="620E6465" w:rsidR="0061539C" w:rsidRDefault="0061539C" w:rsidP="0061539C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A7341C" wp14:editId="35BB007C">
            <wp:extent cx="5943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C891" w14:textId="77777777" w:rsidR="0061539C" w:rsidRDefault="0061539C" w:rsidP="0061539C">
      <w:pPr>
        <w:rPr>
          <w:rFonts w:cstheme="minorHAnsi"/>
        </w:rPr>
      </w:pPr>
      <w:r>
        <w:rPr>
          <w:rFonts w:cstheme="minorHAnsi"/>
          <w:b/>
          <w:bCs/>
        </w:rPr>
        <w:t>Supplementary Figure 7.</w:t>
      </w:r>
      <w:r>
        <w:rPr>
          <w:rFonts w:cstheme="minorHAnsi"/>
        </w:rPr>
        <w:t xml:space="preserve"> Comparison of polygenic risk score calculation methods in the white analysis. In ethnic-specific internal scores, if SNP MAF &lt; 0.05, the multiethnic weight was used to avoid unstable scores.</w:t>
      </w:r>
    </w:p>
    <w:p w14:paraId="4E806EA4" w14:textId="77777777" w:rsidR="00720B10" w:rsidRDefault="00720B10">
      <w:bookmarkStart w:id="0" w:name="_GoBack"/>
      <w:bookmarkEnd w:id="0"/>
    </w:p>
    <w:sectPr w:rsidR="0072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C"/>
    <w:rsid w:val="0061539C"/>
    <w:rsid w:val="007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31EF"/>
  <w15:chartTrackingRefBased/>
  <w15:docId w15:val="{F04828B8-A147-46BB-806B-99AA8609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1</cp:revision>
  <dcterms:created xsi:type="dcterms:W3CDTF">2020-09-10T23:09:00Z</dcterms:created>
  <dcterms:modified xsi:type="dcterms:W3CDTF">2020-09-10T23:09:00Z</dcterms:modified>
</cp:coreProperties>
</file>