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733A" w14:textId="77777777" w:rsidR="004433F3" w:rsidRPr="004D453A" w:rsidRDefault="00695191" w:rsidP="004433F3">
      <w:pPr>
        <w:pStyle w:val="TableofFigures"/>
        <w:rPr>
          <w:rFonts w:ascii="Arial" w:hAnsi="Arial" w:cs="Arial"/>
          <w:sz w:val="20"/>
          <w:szCs w:val="20"/>
        </w:rPr>
      </w:pPr>
      <w:bookmarkStart w:id="0" w:name="_Toc532469740"/>
      <w:r w:rsidRPr="00615CA1">
        <w:rPr>
          <w:rFonts w:ascii="Arial" w:hAnsi="Arial" w:cs="Arial"/>
          <w:b/>
          <w:sz w:val="20"/>
          <w:szCs w:val="20"/>
        </w:rPr>
        <w:t>Supplemental Table</w:t>
      </w:r>
      <w:r w:rsidR="004433F3" w:rsidRPr="004D453A">
        <w:rPr>
          <w:rFonts w:ascii="Arial" w:hAnsi="Arial" w:cs="Arial"/>
          <w:b/>
          <w:sz w:val="20"/>
          <w:szCs w:val="20"/>
        </w:rPr>
        <w:t xml:space="preserve"> 1.  </w:t>
      </w:r>
      <w:r w:rsidR="004433F3" w:rsidRPr="004D453A">
        <w:rPr>
          <w:rFonts w:ascii="Arial" w:hAnsi="Arial" w:cs="Arial"/>
          <w:sz w:val="20"/>
          <w:szCs w:val="20"/>
        </w:rPr>
        <w:t>Components of the dietary (DIS) and lifestyle (LIS) inflammation scores, their general descriptions, rationales for inclusion, and assigned weights</w:t>
      </w:r>
      <w:bookmarkEnd w:id="0"/>
    </w:p>
    <w:tbl>
      <w:tblPr>
        <w:tblW w:w="4981" w:type="pct"/>
        <w:tblLook w:val="04A0" w:firstRow="1" w:lastRow="0" w:firstColumn="1" w:lastColumn="0" w:noHBand="0" w:noVBand="1"/>
      </w:tblPr>
      <w:tblGrid>
        <w:gridCol w:w="3000"/>
        <w:gridCol w:w="3799"/>
        <w:gridCol w:w="6200"/>
        <w:gridCol w:w="1346"/>
      </w:tblGrid>
      <w:tr w:rsidR="004433F3" w:rsidRPr="004D453A" w14:paraId="0CE4F6A2" w14:textId="77777777" w:rsidTr="003B1705">
        <w:trPr>
          <w:trHeight w:val="345"/>
        </w:trPr>
        <w:tc>
          <w:tcPr>
            <w:tcW w:w="1046" w:type="pct"/>
            <w:tcBorders>
              <w:top w:val="single" w:sz="12" w:space="0" w:color="auto"/>
              <w:left w:val="nil"/>
              <w:bottom w:val="single" w:sz="8" w:space="0" w:color="auto"/>
              <w:right w:val="nil"/>
            </w:tcBorders>
            <w:shd w:val="clear" w:color="000000" w:fill="FFFFFF"/>
            <w:vAlign w:val="center"/>
            <w:hideMark/>
          </w:tcPr>
          <w:p w14:paraId="6B0033A3" w14:textId="77777777" w:rsidR="004433F3" w:rsidRPr="004D453A" w:rsidRDefault="004433F3" w:rsidP="00800908">
            <w:pPr>
              <w:jc w:val="center"/>
              <w:rPr>
                <w:rFonts w:ascii="Arial" w:hAnsi="Arial" w:cs="Arial"/>
                <w:b/>
                <w:color w:val="000000" w:themeColor="text1"/>
                <w:sz w:val="18"/>
                <w:szCs w:val="18"/>
              </w:rPr>
            </w:pPr>
            <w:r w:rsidRPr="004D453A">
              <w:rPr>
                <w:rFonts w:ascii="Arial" w:hAnsi="Arial" w:cs="Arial"/>
                <w:b/>
                <w:bCs/>
                <w:color w:val="000000" w:themeColor="text1"/>
                <w:sz w:val="18"/>
                <w:szCs w:val="18"/>
              </w:rPr>
              <w:t>Components</w:t>
            </w:r>
          </w:p>
        </w:tc>
        <w:tc>
          <w:tcPr>
            <w:tcW w:w="1324" w:type="pct"/>
            <w:tcBorders>
              <w:top w:val="single" w:sz="12" w:space="0" w:color="auto"/>
              <w:left w:val="nil"/>
              <w:bottom w:val="single" w:sz="8" w:space="0" w:color="auto"/>
              <w:right w:val="nil"/>
            </w:tcBorders>
            <w:shd w:val="clear" w:color="000000" w:fill="FFFFFF"/>
            <w:vAlign w:val="center"/>
            <w:hideMark/>
          </w:tcPr>
          <w:p w14:paraId="01C9DD91" w14:textId="77777777" w:rsidR="004433F3" w:rsidRPr="004D453A" w:rsidRDefault="004433F3" w:rsidP="00800908">
            <w:pPr>
              <w:jc w:val="center"/>
              <w:rPr>
                <w:rFonts w:ascii="Arial" w:hAnsi="Arial" w:cs="Arial"/>
                <w:b/>
                <w:color w:val="000000" w:themeColor="text1"/>
                <w:sz w:val="18"/>
                <w:szCs w:val="18"/>
              </w:rPr>
            </w:pPr>
            <w:r w:rsidRPr="004D453A">
              <w:rPr>
                <w:rFonts w:ascii="Arial" w:hAnsi="Arial" w:cs="Arial"/>
                <w:b/>
                <w:bCs/>
                <w:color w:val="000000" w:themeColor="text1"/>
                <w:sz w:val="18"/>
                <w:szCs w:val="18"/>
              </w:rPr>
              <w:t>General descriptions</w:t>
            </w:r>
          </w:p>
        </w:tc>
        <w:tc>
          <w:tcPr>
            <w:tcW w:w="2161" w:type="pct"/>
            <w:tcBorders>
              <w:top w:val="single" w:sz="12" w:space="0" w:color="auto"/>
              <w:left w:val="nil"/>
              <w:bottom w:val="single" w:sz="8" w:space="0" w:color="auto"/>
              <w:right w:val="nil"/>
            </w:tcBorders>
            <w:shd w:val="clear" w:color="000000" w:fill="FFFFFF"/>
            <w:vAlign w:val="center"/>
            <w:hideMark/>
          </w:tcPr>
          <w:p w14:paraId="3845C623" w14:textId="77777777" w:rsidR="004433F3" w:rsidRPr="004D453A" w:rsidRDefault="004433F3" w:rsidP="00800908">
            <w:pPr>
              <w:jc w:val="center"/>
              <w:rPr>
                <w:rFonts w:ascii="Arial" w:hAnsi="Arial" w:cs="Arial"/>
                <w:b/>
                <w:color w:val="000000" w:themeColor="text1"/>
                <w:sz w:val="18"/>
                <w:szCs w:val="18"/>
              </w:rPr>
            </w:pPr>
            <w:r w:rsidRPr="004D453A">
              <w:rPr>
                <w:rFonts w:ascii="Arial" w:hAnsi="Arial" w:cs="Arial"/>
                <w:b/>
                <w:color w:val="000000" w:themeColor="text1"/>
                <w:sz w:val="18"/>
                <w:szCs w:val="18"/>
              </w:rPr>
              <w:t>Rationales for inclusion</w:t>
            </w:r>
          </w:p>
        </w:tc>
        <w:tc>
          <w:tcPr>
            <w:tcW w:w="469" w:type="pct"/>
            <w:tcBorders>
              <w:top w:val="single" w:sz="12" w:space="0" w:color="auto"/>
              <w:left w:val="nil"/>
              <w:bottom w:val="single" w:sz="8" w:space="0" w:color="auto"/>
              <w:right w:val="nil"/>
            </w:tcBorders>
            <w:shd w:val="clear" w:color="000000" w:fill="FFFFFF"/>
            <w:vAlign w:val="center"/>
            <w:hideMark/>
          </w:tcPr>
          <w:p w14:paraId="67CF0AFA" w14:textId="77777777" w:rsidR="004433F3" w:rsidRPr="004D453A" w:rsidRDefault="004433F3" w:rsidP="00800908">
            <w:pPr>
              <w:jc w:val="center"/>
              <w:rPr>
                <w:rFonts w:ascii="Arial" w:hAnsi="Arial" w:cs="Arial"/>
                <w:b/>
                <w:color w:val="000000" w:themeColor="text1"/>
                <w:sz w:val="18"/>
                <w:szCs w:val="18"/>
              </w:rPr>
            </w:pPr>
            <w:proofErr w:type="spellStart"/>
            <w:r w:rsidRPr="004D453A">
              <w:rPr>
                <w:rFonts w:ascii="Arial" w:hAnsi="Arial" w:cs="Arial"/>
                <w:b/>
                <w:color w:val="000000" w:themeColor="text1"/>
                <w:sz w:val="18"/>
                <w:szCs w:val="18"/>
              </w:rPr>
              <w:t>Weights</w:t>
            </w:r>
            <w:r w:rsidRPr="004D453A">
              <w:rPr>
                <w:rFonts w:ascii="Arial" w:hAnsi="Arial" w:cs="Arial"/>
                <w:bCs/>
                <w:color w:val="000000" w:themeColor="text1"/>
                <w:sz w:val="18"/>
                <w:szCs w:val="18"/>
                <w:vertAlign w:val="superscript"/>
              </w:rPr>
              <w:t>a</w:t>
            </w:r>
            <w:proofErr w:type="spellEnd"/>
          </w:p>
        </w:tc>
      </w:tr>
      <w:tr w:rsidR="004433F3" w:rsidRPr="004D453A" w14:paraId="448E9181" w14:textId="77777777" w:rsidTr="003B1705">
        <w:trPr>
          <w:trHeight w:val="315"/>
        </w:trPr>
        <w:tc>
          <w:tcPr>
            <w:tcW w:w="1046" w:type="pct"/>
            <w:tcBorders>
              <w:top w:val="nil"/>
              <w:left w:val="nil"/>
              <w:bottom w:val="nil"/>
              <w:right w:val="nil"/>
            </w:tcBorders>
            <w:shd w:val="clear" w:color="000000" w:fill="FFFFFF"/>
            <w:vAlign w:val="bottom"/>
            <w:hideMark/>
          </w:tcPr>
          <w:p w14:paraId="46D66836" w14:textId="77777777" w:rsidR="004433F3" w:rsidRPr="004D453A" w:rsidRDefault="004433F3" w:rsidP="00800908">
            <w:pPr>
              <w:rPr>
                <w:rFonts w:ascii="Arial" w:hAnsi="Arial" w:cs="Arial"/>
                <w:i/>
                <w:iCs/>
                <w:color w:val="000000" w:themeColor="text1"/>
                <w:sz w:val="18"/>
                <w:szCs w:val="18"/>
              </w:rPr>
            </w:pPr>
            <w:r w:rsidRPr="004D453A">
              <w:rPr>
                <w:rFonts w:ascii="Arial" w:hAnsi="Arial" w:cs="Arial"/>
                <w:i/>
                <w:iCs/>
                <w:color w:val="000000" w:themeColor="text1"/>
                <w:sz w:val="18"/>
                <w:szCs w:val="18"/>
              </w:rPr>
              <w:t>DIS components</w:t>
            </w:r>
          </w:p>
        </w:tc>
        <w:tc>
          <w:tcPr>
            <w:tcW w:w="1324" w:type="pct"/>
            <w:tcBorders>
              <w:top w:val="nil"/>
              <w:left w:val="nil"/>
              <w:bottom w:val="nil"/>
              <w:right w:val="nil"/>
            </w:tcBorders>
            <w:shd w:val="clear" w:color="000000" w:fill="FFFFFF"/>
            <w:vAlign w:val="bottom"/>
            <w:hideMark/>
          </w:tcPr>
          <w:p w14:paraId="2A68C4C6" w14:textId="77777777" w:rsidR="004433F3" w:rsidRPr="004D453A" w:rsidRDefault="004433F3" w:rsidP="00800908">
            <w:pPr>
              <w:rPr>
                <w:rFonts w:ascii="Arial" w:hAnsi="Arial" w:cs="Arial"/>
                <w:color w:val="000000" w:themeColor="text1"/>
                <w:sz w:val="18"/>
                <w:szCs w:val="18"/>
              </w:rPr>
            </w:pPr>
            <w:r w:rsidRPr="004D453A">
              <w:rPr>
                <w:rFonts w:ascii="Arial" w:hAnsi="Arial" w:cs="Arial"/>
                <w:color w:val="000000" w:themeColor="text1"/>
                <w:sz w:val="18"/>
                <w:szCs w:val="18"/>
              </w:rPr>
              <w:t> </w:t>
            </w:r>
          </w:p>
        </w:tc>
        <w:tc>
          <w:tcPr>
            <w:tcW w:w="2161" w:type="pct"/>
            <w:tcBorders>
              <w:top w:val="nil"/>
              <w:left w:val="nil"/>
              <w:bottom w:val="nil"/>
              <w:right w:val="nil"/>
            </w:tcBorders>
            <w:shd w:val="clear" w:color="auto" w:fill="auto"/>
            <w:vAlign w:val="bottom"/>
            <w:hideMark/>
          </w:tcPr>
          <w:p w14:paraId="10519BA7" w14:textId="77777777" w:rsidR="004433F3" w:rsidRPr="004D453A" w:rsidRDefault="004433F3" w:rsidP="00800908">
            <w:pPr>
              <w:rPr>
                <w:rFonts w:ascii="Arial" w:hAnsi="Arial" w:cs="Arial"/>
                <w:color w:val="000000" w:themeColor="text1"/>
                <w:sz w:val="18"/>
                <w:szCs w:val="18"/>
              </w:rPr>
            </w:pPr>
          </w:p>
        </w:tc>
        <w:tc>
          <w:tcPr>
            <w:tcW w:w="469" w:type="pct"/>
            <w:tcBorders>
              <w:top w:val="nil"/>
              <w:left w:val="nil"/>
              <w:bottom w:val="nil"/>
              <w:right w:val="nil"/>
            </w:tcBorders>
            <w:shd w:val="clear" w:color="000000" w:fill="FFFFFF"/>
            <w:vAlign w:val="bottom"/>
            <w:hideMark/>
          </w:tcPr>
          <w:p w14:paraId="25CD003B" w14:textId="77777777" w:rsidR="004433F3" w:rsidRPr="004D453A" w:rsidRDefault="004433F3" w:rsidP="00800908">
            <w:pPr>
              <w:rPr>
                <w:rFonts w:ascii="Arial" w:hAnsi="Arial" w:cs="Arial"/>
                <w:color w:val="000000" w:themeColor="text1"/>
                <w:sz w:val="18"/>
                <w:szCs w:val="18"/>
              </w:rPr>
            </w:pPr>
            <w:r w:rsidRPr="004D453A">
              <w:rPr>
                <w:rFonts w:ascii="Arial" w:hAnsi="Arial" w:cs="Arial"/>
                <w:color w:val="000000" w:themeColor="text1"/>
                <w:sz w:val="18"/>
                <w:szCs w:val="18"/>
              </w:rPr>
              <w:t> </w:t>
            </w:r>
          </w:p>
        </w:tc>
      </w:tr>
      <w:tr w:rsidR="004433F3" w:rsidRPr="004D453A" w14:paraId="79DAAA7A" w14:textId="77777777" w:rsidTr="003B1705">
        <w:trPr>
          <w:trHeight w:val="1296"/>
        </w:trPr>
        <w:tc>
          <w:tcPr>
            <w:tcW w:w="1046" w:type="pct"/>
            <w:tcBorders>
              <w:top w:val="nil"/>
              <w:left w:val="nil"/>
              <w:bottom w:val="nil"/>
              <w:right w:val="nil"/>
            </w:tcBorders>
            <w:shd w:val="clear" w:color="000000" w:fill="FFFFFF"/>
            <w:hideMark/>
          </w:tcPr>
          <w:p w14:paraId="2C70D2F0" w14:textId="77777777" w:rsidR="004433F3" w:rsidRPr="004D453A" w:rsidRDefault="004433F3" w:rsidP="00800908">
            <w:pPr>
              <w:ind w:left="288"/>
              <w:rPr>
                <w:rFonts w:ascii="Arial" w:hAnsi="Arial" w:cs="Arial"/>
                <w:color w:val="000000" w:themeColor="text1"/>
                <w:sz w:val="18"/>
                <w:szCs w:val="18"/>
              </w:rPr>
            </w:pPr>
            <w:r w:rsidRPr="004D453A">
              <w:rPr>
                <w:rFonts w:ascii="Arial" w:hAnsi="Arial" w:cs="Arial"/>
                <w:color w:val="000000" w:themeColor="text1"/>
                <w:sz w:val="18"/>
                <w:szCs w:val="18"/>
              </w:rPr>
              <w:t xml:space="preserve">Added sugars </w:t>
            </w:r>
          </w:p>
        </w:tc>
        <w:tc>
          <w:tcPr>
            <w:tcW w:w="1324" w:type="pct"/>
            <w:tcBorders>
              <w:top w:val="nil"/>
              <w:left w:val="nil"/>
              <w:bottom w:val="nil"/>
              <w:right w:val="nil"/>
            </w:tcBorders>
            <w:shd w:val="clear" w:color="000000" w:fill="FFFFFF"/>
            <w:hideMark/>
          </w:tcPr>
          <w:p w14:paraId="7F590931" w14:textId="77777777" w:rsidR="004433F3" w:rsidRPr="004D453A" w:rsidRDefault="004433F3" w:rsidP="00800908">
            <w:pPr>
              <w:rPr>
                <w:rFonts w:ascii="Arial" w:hAnsi="Arial" w:cs="Arial"/>
                <w:color w:val="000000" w:themeColor="text1"/>
                <w:sz w:val="18"/>
                <w:szCs w:val="18"/>
              </w:rPr>
            </w:pPr>
            <w:r w:rsidRPr="004D453A">
              <w:rPr>
                <w:rFonts w:ascii="Arial" w:hAnsi="Arial" w:cs="Arial"/>
                <w:color w:val="000000" w:themeColor="text1"/>
                <w:sz w:val="18"/>
                <w:szCs w:val="18"/>
              </w:rPr>
              <w:t>Sugar-sweetened soda, punch, lemonade, fruit drinks, chocolate candy bars, other mixed candy bars, candy without chocolate, jams, jellies, preserves, syrup or honey, dried or canned fruit</w:t>
            </w:r>
          </w:p>
        </w:tc>
        <w:tc>
          <w:tcPr>
            <w:tcW w:w="2161" w:type="pct"/>
            <w:tcBorders>
              <w:top w:val="nil"/>
              <w:left w:val="nil"/>
              <w:bottom w:val="nil"/>
              <w:right w:val="nil"/>
            </w:tcBorders>
            <w:shd w:val="clear" w:color="000000" w:fill="FFFFFF"/>
            <w:hideMark/>
          </w:tcPr>
          <w:p w14:paraId="15C28BFF" w14:textId="0C6D565E" w:rsidR="004433F3" w:rsidRPr="00615CA1" w:rsidRDefault="003B1705" w:rsidP="00800908">
            <w:pPr>
              <w:rPr>
                <w:rFonts w:ascii="Arial" w:hAnsi="Arial" w:cs="Arial"/>
                <w:color w:val="000000" w:themeColor="text1"/>
                <w:sz w:val="18"/>
                <w:szCs w:val="18"/>
              </w:rPr>
            </w:pPr>
            <w:r w:rsidRPr="004D453A">
              <w:rPr>
                <w:rFonts w:ascii="Arial" w:hAnsi="Arial" w:cs="Arial"/>
                <w:color w:val="000000" w:themeColor="text1"/>
                <w:sz w:val="18"/>
                <w:szCs w:val="18"/>
              </w:rPr>
              <w:t xml:space="preserve">Sparse in nutrients; induce postprandial hyperglycemia, which act as stressful stimuli through subsequent </w:t>
            </w:r>
            <w:r w:rsidRPr="004D453A">
              <w:rPr>
                <w:rFonts w:ascii="Arial" w:hAnsi="Arial" w:cs="Arial"/>
                <w:color w:val="000000" w:themeColor="text1"/>
                <w:sz w:val="18"/>
                <w:szCs w:val="18"/>
                <w:shd w:val="clear" w:color="auto" w:fill="FFFFFF"/>
              </w:rPr>
              <w:t xml:space="preserve">repeated mild postprandial hypoglycemia </w:t>
            </w:r>
            <w:r w:rsidRPr="004D453A">
              <w:rPr>
                <w:rFonts w:ascii="Arial" w:hAnsi="Arial" w:cs="Arial"/>
                <w:color w:val="000000" w:themeColor="text1"/>
                <w:sz w:val="18"/>
                <w:szCs w:val="18"/>
                <w:shd w:val="clear" w:color="auto" w:fill="FFFFFF"/>
              </w:rPr>
              <w:fldChar w:fldCharType="begin" w:fldLock="1"/>
            </w:r>
            <w:r w:rsidR="00C248BD" w:rsidRPr="004D453A">
              <w:rPr>
                <w:rFonts w:ascii="Arial" w:hAnsi="Arial" w:cs="Arial"/>
                <w:color w:val="000000" w:themeColor="text1"/>
                <w:sz w:val="18"/>
                <w:szCs w:val="18"/>
                <w:shd w:val="clear" w:color="auto" w:fill="FFFFFF"/>
              </w:rPr>
              <w:instrText>ADDIN CSL_CITATION {"citationItems":[{"id":"ITEM-1","itemData":{"abstract":"Background: Diets rich in whole-grain cereals and foods with a low glycemic index may protect against type 2 diabetes, but the underlying molecular mechanisms are unknown. Objective: The main objective was to test whether 2 different carbohydrate modifications-a rye-pasta diet characterized by a low postprandial insulin response and an oat-wheat-potato diet characterized by a high postprandial insulin response-affect gene expression in subcutaneous adipose tissue (SAT) in persons with the metabolic syndrome. Design: We assessed the effect of carbohydrate modification on SAT gene expression in 47 subjects [24 men and 23 women with a mean (SD) age of 55 6 y] with the features of the metabolic syndrome in a parallel study design. The subjects had a mean (SD) body mass index (kg/m 2) of 32.1 3.8 and a 2-h plasma glucose concentration of 8.0 2.3 mmol/L. Adipose tissue biopsies were performed, and oral-glucose-tolerance tests and other biochemical measurements were conducted before and after the intervention. Results: We detected 71 down-regulated genes in the rye-pasta group, including genes linked to insulin signaling and apoptosis. In contrast, the 12-wk oat-wheat-potato diet up-regulated 62 genes related to stress, cytokine-chemokine-mediated immunity, and the interleukin pathway. The insulinogenic index improved after the rye-pasta diet (P 0.004) but not after the oat-wheat-potato diet.","author":[{"dropping-particle":"","family":"Kallio","given":"Petteri","non-dropping-particle":"","parse-names":false,"suffix":""},{"dropping-particle":"","family":"Kolehmainen","given":"Marjukka","non-dropping-particle":"","parse-names":false,"suffix":""},{"dropping-particle":"","family":"Laaksonen","given":"David E","non-dropping-particle":"","parse-names":false,"suffix":""},{"dropping-particle":"","family":"Kekäläinen","given":"Jani","non-dropping-particle":"","parse-names":false,"suffix":""},{"dropping-particle":"","family":"Salopuro","given":"Titta","non-dropping-particle":"","parse-names":false,"suffix":""},{"dropping-particle":"","family":"Sivenius","given":"Katariina","non-dropping-particle":"","parse-names":false,"suffix":""},{"dropping-particle":"","family":"Pulkkinen","given":"Leena","non-dropping-particle":"","parse-names":false,"suffix":""},{"dropping-particle":"","family":"Mykkänen","given":"Hannu M","non-dropping-particle":"","parse-names":false,"suffix":""},{"dropping-particle":"","family":"Niskanen","given":"Leo","non-dropping-particle":"","parse-names":false,"suffix":""},{"dropping-particle":"","family":"Uusitupa","given":"Matti","non-dropping-particle":"","parse-names":false,"suffix":""},{"dropping-particle":"","family":"Poutanen","given":"Kaisa S","non-dropping-particle":"","parse-names":false,"suffix":""}],"container-title":"Am J Clin Nutr","id":"ITEM-1","issue":"5","issued":{"date-parts":[["2007"]]},"page":"1417-1427","title":"Dietary carbohydrate modification induces alterations in gene expression in abdominal subcutaneous adipose tissue in persons with the metabolic syndrome: the FUNGENUT Study","type":"article-journal","volume":"85"},"uris":["http://www.mendeley.com/documents/?uuid=29bc3c5e-b555-3ed9-9e6c-fdabda6c1c39"]}],"mendeley":{"formattedCitation":"(1)","plainTextFormattedCitation":"(1)","previouslyFormattedCitation":"(1)"},"properties":{"noteIndex":0},"schema":"https://github.com/citation-style-language/schema/raw/master/csl-citation.json"}</w:instrText>
            </w:r>
            <w:r w:rsidRPr="004D453A">
              <w:rPr>
                <w:rFonts w:ascii="Arial" w:hAnsi="Arial" w:cs="Arial"/>
                <w:color w:val="000000" w:themeColor="text1"/>
                <w:sz w:val="18"/>
                <w:szCs w:val="18"/>
                <w:shd w:val="clear" w:color="auto" w:fill="FFFFFF"/>
              </w:rPr>
              <w:fldChar w:fldCharType="separate"/>
            </w:r>
            <w:r w:rsidR="00341FF0" w:rsidRPr="004D453A">
              <w:rPr>
                <w:rFonts w:ascii="Arial" w:hAnsi="Arial" w:cs="Arial"/>
                <w:noProof/>
                <w:color w:val="000000" w:themeColor="text1"/>
                <w:sz w:val="18"/>
                <w:szCs w:val="18"/>
                <w:shd w:val="clear" w:color="auto" w:fill="FFFFFF"/>
              </w:rPr>
              <w:t>(1)</w:t>
            </w:r>
            <w:r w:rsidRPr="004D453A">
              <w:rPr>
                <w:rFonts w:ascii="Arial" w:hAnsi="Arial" w:cs="Arial"/>
                <w:color w:val="000000" w:themeColor="text1"/>
                <w:sz w:val="18"/>
                <w:szCs w:val="18"/>
                <w:shd w:val="clear" w:color="auto" w:fill="FFFFFF"/>
              </w:rPr>
              <w:fldChar w:fldCharType="end"/>
            </w:r>
            <w:r w:rsidRPr="00615CA1">
              <w:rPr>
                <w:rFonts w:ascii="Arial" w:hAnsi="Arial" w:cs="Arial"/>
                <w:color w:val="000000" w:themeColor="text1"/>
                <w:sz w:val="18"/>
                <w:szCs w:val="18"/>
                <w:shd w:val="clear" w:color="auto" w:fill="FFFFFF"/>
              </w:rPr>
              <w:t xml:space="preserve"> and reduce nitric oxide availability (plays role in regulation of inflammatory response </w:t>
            </w:r>
            <w:r w:rsidRPr="004D453A">
              <w:rPr>
                <w:rFonts w:ascii="Arial" w:hAnsi="Arial" w:cs="Arial"/>
                <w:color w:val="000000" w:themeColor="text1"/>
                <w:sz w:val="18"/>
                <w:szCs w:val="18"/>
                <w:shd w:val="clear" w:color="auto" w:fill="FFFFFF"/>
              </w:rPr>
              <w:fldChar w:fldCharType="begin" w:fldLock="1"/>
            </w:r>
            <w:r w:rsidR="00C248BD" w:rsidRPr="004D453A">
              <w:rPr>
                <w:rFonts w:ascii="Arial" w:hAnsi="Arial" w:cs="Arial"/>
                <w:color w:val="000000" w:themeColor="text1"/>
                <w:sz w:val="18"/>
                <w:szCs w:val="18"/>
                <w:shd w:val="clear" w:color="auto" w:fill="FFFFFF"/>
              </w:rPr>
              <w:instrText>ADDIN CSL_CITATION {"citationItems":[{"id":"ITEM-1","itemData":{"abstract":"Nitric oxide (NO) and reactive oxygen species exert multiple modulating effects on inflammation and play a key role in the regulation of immune responses. They affect virtually every step of the development of inflammation. Low concentrations of nitric oxide produced by constitutive and neuronal nitric oxide synthases inhibit adhesion molecule expression, cytokine and chemokine synthesis and leukocyte adhesion and transmigration. Large amounts of NO, generated primarily by iNOS can be toxic and pro-inflammatory. Actions of nitric oxide are however not dependent primarily on the enzymatic source, but rather on the cellular context, NO concentration (dependent on the distance from NO source) and initial priming of immune cells. These observations may explain difficulties in determining the exact role of NO in Th1 and Th2 lymphocyte balance in normal immune responses and in allergic disease. Similarly superoxide anion produced by NAD(P)H oxidases present in all cell types participating in inflammation (leukocytes, endothelial and other vascular cells etc) may lead to toxic effects, when produced at high levels during oxidative burst, but may also modulate inflammation in a far more discrete way, when continuously produced at low levels by NOXs (non-phagocytic oxidases). The effects of both nitric oxide and superoxide in immune regulation are exerted through multiple mechanisms, which include interaction with cell signalling systems like cGMP, cAMP, G-protein, JAK/STAT or MAPK dependent signal transduction pathways. They may also lead to modification of transcription factors activity and in this way modulate the expression of multiple other mediators of inflammation. Moreover genetic polymorphisms exist within genes encoding enzymes producing both NO and superoxide. The potential role of these polymorphisms in inflammation and susceptibility to infection is discussed. Along with studies showing increasing role of NO and free radicals in mediating inflammatory responses drugs which interfere with these systems are being introduced in the treatment of inflammation. These include statins, angiotensin receptor blockers, NAD(P)H oxidase inhibitors, NO-aspirin and others. In conclusion in this mini-review we discuss the mechanisms of nitric oxide and superoxide dependent modulation of inflammatory reactions in experimental animals and humans. We also discuss potential roles of nitric oxide as a mediator of allergic inflammation.","author":[{"dropping-particle":"","family":"Guzik","given":"TJ","non-dropping-particle":"","parse-names":false,"suffix":""},{"dropping-particle":"","family":"Korbut","given":"R","non-dropping-particle":"","parse-names":false,"suffix":""},{"dropping-particle":"","family":"Adamek-Guzik","given":"T","non-dropping-particle":"","parse-names":false,"suffix":""}],"container-title":"Journal of Physiology and Pharmacology","id":"ITEM-1","issue":"4","issued":{"date-parts":[["2003"]]},"page":"469-487","title":"Nitric oxide and superoxide in inflammation and immune regulation","type":"article-journal","volume":"54"},"uris":["http://www.mendeley.com/documents/?uuid=5ee9372b-320d-39c5-9d3d-e764db2894f4"]}],"mendeley":{"formattedCitation":"(2)","plainTextFormattedCitation":"(2)","previouslyFormattedCitation":"(2)"},"properties":{"noteIndex":0},"schema":"https://github.com/citation-style-language/schema/raw/master/csl-citation.json"}</w:instrText>
            </w:r>
            <w:r w:rsidRPr="004D453A">
              <w:rPr>
                <w:rFonts w:ascii="Arial" w:hAnsi="Arial" w:cs="Arial"/>
                <w:color w:val="000000" w:themeColor="text1"/>
                <w:sz w:val="18"/>
                <w:szCs w:val="18"/>
                <w:shd w:val="clear" w:color="auto" w:fill="FFFFFF"/>
              </w:rPr>
              <w:fldChar w:fldCharType="separate"/>
            </w:r>
            <w:r w:rsidR="00341FF0" w:rsidRPr="004D453A">
              <w:rPr>
                <w:rFonts w:ascii="Arial" w:hAnsi="Arial" w:cs="Arial"/>
                <w:noProof/>
                <w:color w:val="000000" w:themeColor="text1"/>
                <w:sz w:val="18"/>
                <w:szCs w:val="18"/>
                <w:shd w:val="clear" w:color="auto" w:fill="FFFFFF"/>
              </w:rPr>
              <w:t>(2)</w:t>
            </w:r>
            <w:r w:rsidRPr="004D453A">
              <w:rPr>
                <w:rFonts w:ascii="Arial" w:hAnsi="Arial" w:cs="Arial"/>
                <w:color w:val="000000" w:themeColor="text1"/>
                <w:sz w:val="18"/>
                <w:szCs w:val="18"/>
                <w:shd w:val="clear" w:color="auto" w:fill="FFFFFF"/>
              </w:rPr>
              <w:fldChar w:fldCharType="end"/>
            </w:r>
            <w:r w:rsidRPr="00615CA1">
              <w:rPr>
                <w:rFonts w:ascii="Arial" w:hAnsi="Arial" w:cs="Arial"/>
                <w:color w:val="000000" w:themeColor="text1"/>
                <w:sz w:val="18"/>
                <w:szCs w:val="18"/>
                <w:shd w:val="clear" w:color="auto" w:fill="FFFFFF"/>
              </w:rPr>
              <w:t xml:space="preserve">); elevate pro-inflammatory free fatty acid levels </w:t>
            </w:r>
            <w:r w:rsidRPr="004D453A">
              <w:rPr>
                <w:rFonts w:ascii="Arial" w:hAnsi="Arial" w:cs="Arial"/>
                <w:color w:val="000000" w:themeColor="text1"/>
                <w:sz w:val="18"/>
                <w:szCs w:val="18"/>
                <w:shd w:val="clear" w:color="auto" w:fill="FFFFFF"/>
              </w:rPr>
              <w:fldChar w:fldCharType="begin" w:fldLock="1"/>
            </w:r>
            <w:r w:rsidR="00C248BD" w:rsidRPr="004D453A">
              <w:rPr>
                <w:rFonts w:ascii="Arial" w:hAnsi="Arial" w:cs="Arial"/>
                <w:color w:val="000000" w:themeColor="text1"/>
                <w:sz w:val="18"/>
                <w:szCs w:val="18"/>
                <w:shd w:val="clear" w:color="auto" w:fill="FFFFFF"/>
              </w:rPr>
              <w:instrText>ADDIN CSL_CITATION {"citationItems":[{"id":"ITEM-1","itemData":{"DOI":"10.1016/j.jacc.2006.03.052","ISBN":"0735-1097","ISSN":"07351097","PMID":"16904534","abstract":"Reducing the incidence of coronary heart disease with diet is possible. The main dietary strategies include adequate omega-3 fatty acids intake, reduction of saturated and trans-fats, and consumption of a diet high in fruits, vegetables, nuts, and whole grains and low in refined grains. Each of these strategies may be associated with lower generation of inflammation. This review examines the epidemiologic and clinical evidence concerning diet and inflammation. Dietary patterns high in refined starches, sugar, and saturated and trans-fatty acids, poor in natural antioxidants and fiber from fruits, vegetables, and whole grains, and poor in omega-3 fatty acids may cause an activation of the innate immune system, most likely by an excessive production of proinflammatory cytokines associated with a reduced production of anti-inflammatory cytokines. The whole diet approach seems particularly promising to reduce the inflammation associated with the metabolic syndrome. The choice of healthy sources of carbohydrate, fat, and protein, associated with regular physical activity and avoidance of smoking, is critical to fighting the war against chronic disease. Western dietary patterns warm up inflammation, while prudent dietary patterns cool it down. © 2006 American College of Cardiology Foundation.","author":[{"dropping-particle":"","family":"Giugliano","given":"Dario","non-dropping-particle":"","parse-names":false,"suffix":""},{"dropping-particle":"","family":"Ceriello","given":"Antonio","non-dropping-particle":"","parse-names":false,"suffix":""},{"dropping-particle":"","family":"Esposito","given":"Katherine","non-dropping-particle":"","parse-names":false,"suffix":""}],"container-title":"Journal of the American College of Cardiology","id":"ITEM-1","issue":"4","issued":{"date-parts":[["2006"]]},"page":"677-685","title":"The effects of diet on inflammation: emphasis on the metabolic syndrome","type":"article-journal","volume":"48"},"uris":["http://www.mendeley.com/documents/?uuid=59017308-cdbe-426f-b2b5-5efaa1d49272"]}],"mendeley":{"formattedCitation":"(3)","plainTextFormattedCitation":"(3)","previouslyFormattedCitation":"(3)"},"properties":{"noteIndex":0},"schema":"https://github.com/citation-style-language/schema/raw/master/csl-citation.json"}</w:instrText>
            </w:r>
            <w:r w:rsidRPr="004D453A">
              <w:rPr>
                <w:rFonts w:ascii="Arial" w:hAnsi="Arial" w:cs="Arial"/>
                <w:color w:val="000000" w:themeColor="text1"/>
                <w:sz w:val="18"/>
                <w:szCs w:val="18"/>
                <w:shd w:val="clear" w:color="auto" w:fill="FFFFFF"/>
              </w:rPr>
              <w:fldChar w:fldCharType="separate"/>
            </w:r>
            <w:r w:rsidR="00341FF0" w:rsidRPr="004D453A">
              <w:rPr>
                <w:rFonts w:ascii="Arial" w:hAnsi="Arial" w:cs="Arial"/>
                <w:noProof/>
                <w:color w:val="000000" w:themeColor="text1"/>
                <w:sz w:val="18"/>
                <w:szCs w:val="18"/>
                <w:shd w:val="clear" w:color="auto" w:fill="FFFFFF"/>
              </w:rPr>
              <w:t>(3)</w:t>
            </w:r>
            <w:r w:rsidRPr="004D453A">
              <w:rPr>
                <w:rFonts w:ascii="Arial" w:hAnsi="Arial" w:cs="Arial"/>
                <w:color w:val="000000" w:themeColor="text1"/>
                <w:sz w:val="18"/>
                <w:szCs w:val="18"/>
                <w:shd w:val="clear" w:color="auto" w:fill="FFFFFF"/>
              </w:rPr>
              <w:fldChar w:fldCharType="end"/>
            </w:r>
            <w:r w:rsidRPr="00615CA1">
              <w:rPr>
                <w:rFonts w:ascii="Arial" w:hAnsi="Arial" w:cs="Arial"/>
                <w:color w:val="000000" w:themeColor="text1"/>
                <w:sz w:val="18"/>
                <w:szCs w:val="18"/>
                <w:shd w:val="clear" w:color="auto" w:fill="FFFFFF"/>
              </w:rPr>
              <w:t>;</w:t>
            </w:r>
            <w:r w:rsidRPr="004D453A">
              <w:rPr>
                <w:rFonts w:ascii="Arial" w:hAnsi="Arial" w:cs="Arial"/>
                <w:color w:val="000000" w:themeColor="text1"/>
                <w:sz w:val="18"/>
                <w:szCs w:val="18"/>
              </w:rPr>
              <w:t xml:space="preserve"> produce oxidative stress through oxidation of membrane lipids, proteins, lipoproteins, and DNA </w:t>
            </w:r>
            <w:r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{"citationItems":[{"id":"ITEM-1","itemData":{"DOI":"10.1001/jama.287.18.2414","ISSN":"0098-7484","PMID":"11988062","abstract":"The glycemic index was proposed in 1981 as an alternative system for classifying carbohydrate-containing food. Since then, several hundred scientific articles and numerous popular diet books have been published on the topic. However, the clinical significance of the glycemic index remains the subject of debate. The purpose of this review is to examine the physiological effects of the glycemic index and the relevance of these effects in preventing and treating obesity, diabetes, and cardiovascular disease.","author":[{"dropping-particle":"","family":"Ludwig","given":"David S.","non-dropping-particle":"","parse-names":false,"suffix":""}],"container-title":"JAMA","id":"ITEM-1","issue":"18","issued":{"date-parts":[["2002","5","8"]]},"page":"2414-2423","title":"The glycemic index: physiological mechanisms relating to obesity, diabetes, and cardiovascular disease","type":"article-journal","volume":"287"},"uris":["http://www.mendeley.com/documents/?uuid=a6281640-e43e-4f14-8c23-3153ac5b2309"]}],"mendeley":{"formattedCitation":"(4)","plainTextFormattedCitation":"(4)","previouslyFormattedCitation":"(4)"},"properties":{"noteIndex":0},"schema":"https://github.com/citation-style-language/schema/raw/master/csl-citation.json"}</w:instrText>
            </w:r>
            <w:r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(4)</w:t>
            </w:r>
            <w:r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63817E64" w14:textId="77777777" w:rsidR="004433F3" w:rsidRPr="004D453A" w:rsidRDefault="004433F3" w:rsidP="00800908">
            <w:pPr>
              <w:jc w:val="center"/>
              <w:rPr>
                <w:rFonts w:ascii="Arial" w:hAnsi="Arial" w:cs="Arial"/>
                <w:color w:val="000000" w:themeColor="text1"/>
                <w:sz w:val="18"/>
                <w:szCs w:val="18"/>
              </w:rPr>
            </w:pPr>
            <w:r w:rsidRPr="004D453A">
              <w:rPr>
                <w:rFonts w:ascii="Arial" w:hAnsi="Arial" w:cs="Arial"/>
                <w:color w:val="000000" w:themeColor="text1"/>
                <w:sz w:val="18"/>
                <w:szCs w:val="18"/>
              </w:rPr>
              <w:t>0.56</w:t>
            </w:r>
          </w:p>
        </w:tc>
      </w:tr>
      <w:tr w:rsidR="004433F3" w:rsidRPr="004D453A" w14:paraId="4F405825" w14:textId="77777777" w:rsidTr="003B1705">
        <w:trPr>
          <w:trHeight w:val="864"/>
        </w:trPr>
        <w:tc>
          <w:tcPr>
            <w:tcW w:w="1046" w:type="pct"/>
            <w:tcBorders>
              <w:top w:val="nil"/>
              <w:left w:val="nil"/>
              <w:bottom w:val="nil"/>
              <w:right w:val="nil"/>
            </w:tcBorders>
            <w:shd w:val="clear" w:color="000000" w:fill="FFFFFF"/>
            <w:hideMark/>
          </w:tcPr>
          <w:p w14:paraId="54CAF697" w14:textId="77777777" w:rsidR="004433F3" w:rsidRPr="004D453A" w:rsidRDefault="004433F3" w:rsidP="00800908">
            <w:pPr>
              <w:ind w:left="288"/>
              <w:rPr>
                <w:rFonts w:ascii="Arial" w:hAnsi="Arial" w:cs="Arial"/>
                <w:color w:val="000000" w:themeColor="text1"/>
                <w:sz w:val="18"/>
                <w:szCs w:val="18"/>
              </w:rPr>
            </w:pPr>
            <w:r w:rsidRPr="004D453A">
              <w:rPr>
                <w:rFonts w:ascii="Arial" w:hAnsi="Arial" w:cs="Arial"/>
                <w:color w:val="000000" w:themeColor="text1"/>
                <w:sz w:val="18"/>
                <w:szCs w:val="18"/>
              </w:rPr>
              <w:t>Apples and berries</w:t>
            </w:r>
          </w:p>
        </w:tc>
        <w:tc>
          <w:tcPr>
            <w:tcW w:w="1324" w:type="pct"/>
            <w:tcBorders>
              <w:top w:val="nil"/>
              <w:left w:val="nil"/>
              <w:bottom w:val="nil"/>
              <w:right w:val="nil"/>
            </w:tcBorders>
            <w:shd w:val="clear" w:color="000000" w:fill="FFFFFF"/>
            <w:hideMark/>
          </w:tcPr>
          <w:p w14:paraId="0962EAD5" w14:textId="77777777" w:rsidR="004433F3" w:rsidRPr="004D453A" w:rsidRDefault="004433F3" w:rsidP="00800908">
            <w:pPr>
              <w:rPr>
                <w:rFonts w:ascii="Arial" w:hAnsi="Arial" w:cs="Arial"/>
                <w:color w:val="000000" w:themeColor="text1"/>
                <w:sz w:val="18"/>
                <w:szCs w:val="18"/>
              </w:rPr>
            </w:pPr>
            <w:r w:rsidRPr="004D453A">
              <w:rPr>
                <w:rFonts w:ascii="Arial" w:hAnsi="Arial" w:cs="Arial"/>
                <w:color w:val="000000" w:themeColor="text1"/>
                <w:sz w:val="18"/>
                <w:szCs w:val="18"/>
              </w:rPr>
              <w:t>Fresh apples, pears, apple juice or cider, strawberries, blueberries, raspberries, cherries</w:t>
            </w:r>
          </w:p>
        </w:tc>
        <w:tc>
          <w:tcPr>
            <w:tcW w:w="2161" w:type="pct"/>
            <w:tcBorders>
              <w:top w:val="nil"/>
              <w:left w:val="nil"/>
              <w:bottom w:val="nil"/>
              <w:right w:val="nil"/>
            </w:tcBorders>
            <w:shd w:val="clear" w:color="auto" w:fill="auto"/>
            <w:hideMark/>
          </w:tcPr>
          <w:p w14:paraId="32D7970A" w14:textId="528E2E8F" w:rsidR="004433F3" w:rsidRPr="00615CA1" w:rsidRDefault="004433F3" w:rsidP="00800908">
            <w:pPr>
              <w:rPr>
                <w:rFonts w:ascii="Arial" w:hAnsi="Arial" w:cs="Arial"/>
                <w:color w:val="000000" w:themeColor="text1"/>
                <w:sz w:val="18"/>
                <w:szCs w:val="18"/>
              </w:rPr>
            </w:pPr>
            <w:r w:rsidRPr="004D453A">
              <w:rPr>
                <w:rFonts w:ascii="Arial" w:hAnsi="Arial" w:cs="Arial"/>
                <w:color w:val="000000" w:themeColor="text1"/>
                <w:sz w:val="18"/>
                <w:szCs w:val="18"/>
              </w:rPr>
              <w:t>Contain flavonoids (e.g., anthocyanins, quercetin, and phenolic acids) that suppress pro-inflammatory cytokine production and are powerful antioxidants; potentially increase postprandial plasma antioxidant capacity</w:t>
            </w:r>
            <w:r w:rsidR="00D30AE9" w:rsidRPr="004D453A">
              <w:rPr>
                <w:rFonts w:ascii="Arial" w:hAnsi="Arial" w:cs="Arial"/>
                <w:color w:val="000000" w:themeColor="text1"/>
                <w:sz w:val="18"/>
                <w:szCs w:val="18"/>
              </w:rPr>
              <w:t xml:space="preserve"> </w:t>
            </w:r>
            <w:r w:rsidR="00D30AE9"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{"citationItems":[{"id":"ITEM-1","itemData":{"DOI":"10.1080/07315724.2007.10719599","ISSN":"0731-5724","abstract":"Objective: Determine 1) if consumption of a meal of different fruits or berries increases plasma hydrophilic (H-) or lipophilic (L-) antioxidant capacity (AOC) measured as Oxygen Radical Absorbance Capacity (ORAC FL); 2) if including macronutrients in the meal alters postprandial changes in AOC; and 3) if preliminary recommendations can be developed for antioxidant intake. Methods: Changes in plasma AOC following consumption of a single meal of berries/fruits (blueberry, dried plum, dried plum juice, grape, cherry, kiwifruit and strawberry) were studied in 5 clinical trials with 6-10 subjects per experiment. In two studies with blueberry or grape, additional macronutrients (carbohydrate, fat, protein) were included in the control and treatment meals. Blood samples collected before and after the meal were analyzed for AOC. Results: Consumption of dried plums or dried plum juice did not alter either the H-or L-AOC area under the curve (AUC). Consumption of blueberry in 2 studies and of mixed grape powder [12.5 (Study #1), 39.9 (Study #4) and 8.6 (Study #5) mmole Trolox Equivalents (TE) AOC, respectively] increased hydrophilic AOC AUC. L-AOC increased following a meal of blueberry containing 12.5 mmole TE AOC (Study #1). Consumption of 280 g of cherries (4.5 mmol TE AOC) increased plasma L-AOC but not H-AOC. The AOC in the control groups in which additional macronutrients (Studies #4 and #5) were added decreased from the postprandial baseline AOC measurement. Conclusion: We have demonstrated that consumption of certain berries and fruits such as blueberries, mixed grape and kiwifruit, was associated with increased plasma AOC in the postprandial state and consumption of an energy source of macronutrients containing no antioxidants was associated with a decline in plasma AOC. However, without further long term clinical studies, one cannot necessarily translate increased plasma AOC into a potential decreased risk of chronic degenerative disease. Preliminary estimates of antioxidant needs based upon energy intake were developed. Consumption of high antioxidant foods with each meal is recommended in order to prevent periods of postprandial oxidative stress.","author":[{"dropping-particle":"","family":"Prior","given":"Ronald L.","non-dropping-particle":"","parse-names":false,"suffix":""},{"dropping-particle":"","family":"Gu","given":"Liwei","non-dropping-particle":"","parse-names":false,"suffix":""},{"dropping-particle":"","family":"Wu","given":"Xianli","non-dropping-particle":"","parse-names":false,"suffix":""},{"dropping-particle":"","family":"Jacob","given":"Robert A.","non-dropping-particle":"","parse-names":false,"suffix":""},{"dropping-particle":"","family":"Sotoudeh","given":"Gity","non-dropping-particle":"","parse-names":false,"suffix":""},{"dropping-particle":"","family":"Kader","given":"Adel A.","non-dropping-particle":"","parse-names":false,"suffix":""},{"dropping-particle":"","family":"Cook","given":"Richard A.","non-dropping-particle":"","parse-names":false,"suffix":""}],"container-title":"Journal of the American College of Nutrition","id":"ITEM-1","issue":"2","issued":{"date-parts":[["2007","4"]]},"page":"170-181","title":"Plasma antioxidant capacity changes following a meal as a measure of the ability of a food to alter in vivo antioxidant status","type":"article-journal","volume":"26"},"uris":["http://www.mendeley.com/documents/?uuid=3f598700-cc42-3c3a-a223-aba8681c517a"]},{"id":"ITEM-2","itemData":{"DOI":"10.3945/jn.113.182659","ISSN":"0022-3166","abstract":"Apples are rich in polyphenols, which provide antioxidant properties, mediation of cellular processes such as inflammation, and modulation of gut microbiota. In this study we compared genetically engineered apples with increased flavonoids [myeloblastis transcription factor 10 (MYB10)] with nontransformed apples from the same genotype, ''Royal Gala'' (RG), and a control diet with no apple. Compared with the RG diet, the MYB10 diet contained elevated concentrations of the flavonoid subclasses anthocyanins, flavanol monomers (epicatechin) and oligomers (procyanidin B2), and flavonols (quercetin glycosides), but other plant secondary metabolites were largely unaltered. We used these apples to investigate the effects of dietary flavonoids on inflammation and gut microbiota in 2 mouse feeding trials. In trial 1, male mice were fed a control diet or diets supplemented with 20% MYB10 apple flesh and peel (MYB-FP) or RG apple flesh and peel (RG-FP) for 7 d. In trial 2, male mice were fed MYB-FP or RG-FP diets or diets supplemented with 20% MYB10 apple flesh or RG apple flesh for 7 or 21 d. In trial 1, the transcription levels of inflammation-linked genes in mice showed decreases of &gt;2-fold for interleukin-2 receptor (Il2rb), chemokine receptor 2 (Ccr2), chemokine ligand 10 (Cxcl10), and chemokine receptor 10 (Ccr10) at 7 d for the MYB-FP diet compared with the RG-FP diet (P &lt; 0.05). In trial 2, the inflammation marker prostaglandin E 2 (PGE 2) in the plasma of mice fed the MYB-FP diet at 21 d was reduced by 10-fold (P &lt; 0.01) compared with the RG-FP diet. In colonic microbiota, the number of total bacteria for mice fed the MYB-FP diet was 6% higher than for mice fed the control diet at 21 d (P = 0.01). In summary, high-flavonoid apple was associated with decreases in some inflammation markers and changes in gut microbiota when fed to healthy mice.","author":[{"dropping-particle":"V","family":"Espley","given":"Richard","non-dropping-particle":"","parse-names":false,"suffix":""},{"dropping-particle":"","family":"Butts","given":"Christine A","non-dropping-particle":"","parse-names":false,"suffix":""},{"dropping-particle":"","family":"Laing","given":"William A","non-dropping-particle":"","parse-names":false,"suffix":""},{"dropping-particle":"","family":"Martell","given":"Sheridan","non-dropping-particle":"","parse-names":false,"suffix":""},{"dropping-particle":"","family":"Smith","given":"Hannah","non-dropping-particle":"","parse-names":false,"suffix":""},{"dropping-particle":"","family":"McGhie","given":"Tony K.","non-dropping-particle":"","parse-names":false,"suffix":""},{"dropping-particle":"","family":"Zhang","given":"Jingli","non-dropping-particle":"","parse-names":false,"suffix":""},{"dropping-particle":"","family":"Paturi","given":"Gunaranjan","non-dropping-particle":"","parse-names":false,"suffix":""},{"dropping-particle":"","family":"Hedderley","given":"Duncan","non-dropping-particle":"","parse-names":false,"suffix":""},{"dropping-particle":"","family":"Bovy","given":"Arnaud","non-dropping-particle":"","parse-names":false,"suffix":""},{"dropping-particle":"","family":"Schouten","given":"Henk J","non-dropping-particle":"","parse-names":false,"suffix":""},{"dropping-particle":"","family":"Putterill","given":"Joanna","non-dropping-particle":"","parse-names":false,"suffix":""},{"dropping-particle":"","family":"Allan","given":"Andrew C","non-dropping-particle":"","parse-names":false,"suffix":""},{"dropping-particle":"","family":"Hellens","given":"Roger P","non-dropping-particle":"","parse-names":false,"suffix":""}],"container-title":"The Journal of Nutrition","id":"ITEM-2","issue":"2","issued":{"date-parts":[["2014","2","1"]]},"page":"146-154","title":"Dietary flavonoids from modified apple reduce inflammation markers and modulate gut microbiota in mice","type":"article-journal","volume":"144"},"uris":["http://www.mendeley.com/documents/?uuid=bbb319a9-c4d0-343c-915a-8ae13bd509d8"]},{"id":"ITEM-3","itemData":{"DOI":"10.3305/nh.2013.28.4.6580","ISSN":"0212-1611","abstract":"Resumen Antecedentes: Una adecuada ingesta de vegetales pre-viene el desarrollo de enfermedades degenerativas, prin-cipalmente debido a sus compuestos antioxidantes. Objetivo: Evaluamos el efecto in vivo en los niños obe-sos de un nuevo producto alimenticio hecho de manzanas deshidratadas enriquecidas con zumo de mandarina mediante impregnación a vacío. Métodos: Estudio prospectivo longitudinal de cuatro semanas de duración. Se estudiaron 41 niños obesos que suplementaron su dieta habitual con 40 g/día del producto desarrollado. Se determinaron parámetros antropométri-cos (índice de masa corporal, circunferencia de la cin-tura) y estimación de la de grasa corporal con impedancia bioeléctrica. La ingesta dietética se evaluó por cues-tionario. Se registraron factores de riesgo metabólico (presión sanguínea, perfil lipídico, glucosa y resistencia insulínica). El estado oxidante se investigó mediante la capacidad antioxidante total del plasma y la 8-hydrox-ideoxiguanosina (marcador de daño oxidativo al ADN) y como marcadores de inflamación valoramos la proteína C-reactiva ultrasensible, el factor de necrosis tumoral-α y las interleukinas 6 y 1-α. Las mediciones se recogieron al inicio y al final del período de intervención. Resultados: Encontramos una mejoría significativa en la presión arterial sistólica y en el perfil lipídico después del período de intervención. Igualmente demostramos un aumento significativo de la capacidad antioxidante del plasma, una reducción del daño oxidativo del ADN y de los marcadores inflamatorios. Conclusión: La adición a la dieta del producto elabo-rado con manzana deshidratada, y enriquecido con zumo de mandarina mediante impregnación al vacío, contri-buye a mejorar el estado oxidante e inflamatorio en los niños obesos, así como diversos factores de riesgo cardio-metabólico. Abstract Background: A favorable effect over development of degenerative diseases is derived of an adecuate intake of fruit and vegetables, mainly due to their antioxidant compounds Objectives: The goal of this study was to test the effect in vivo over oxidant status and inflammation in obese children of a novel food product made of dried apples enriched with mandarin juice by vacuum impregnation. Methods: A four-week intervention study was conducted in 41 obese children (&gt; 2 standard deviation score-body mass index). Participants were instructed to follow their usual diet supplemented with 40 g/day of the developed product. Anthropometric parameters were…","author":[{"dropping-particle":"","family":"Codoñer-Franch","given":"Pilar","non-dropping-particle":"","parse-names":false,"suffix":""},{"dropping-particle":"","family":"Betoret","given":"Ester","non-dropping-particle":"","parse-names":false,"suffix":""},{"dropping-particle":"","family":"Betoret","given":"Noelia","non-dropping-particle":"","parse-names":false,"suffix":""},{"dropping-particle":"","family":"López-Jaén","given":"Ana B","non-dropping-particle":"","parse-names":false,"suffix":""},{"dropping-particle":"","family":"Valls-Belles","given":"Victoria","non-dropping-particle":"","parse-names":false,"suffix":""},{"dropping-particle":"","family":"Fito","given":"Pedro","non-dropping-particle":"","parse-names":false,"suffix":""}],"container-title":"Nutr Hosp.","id":"ITEM-3","issue":"3","issued":{"date-parts":[["2013"]]},"page":"1177-1183","title":"Dried apples enriched with mandarin juice by vacuum impregnation improve antioxidant capacity and decrease inflammation in obese children","type":"article-journal","volume":"28"},"uris":["http://www.mendeley.com/documents/?uuid=3bc396c2-8c9f-33c8-80f0-80bb7b8204d3"]}],"mendeley":{"formattedCitation":"(5–7)","plainTextFormattedCitation":"(5–7)","previouslyFormattedCitation":"(5–7)"},"properties":{"noteIndex":0},"schema":"https://github.com/citation-style-language/schema/raw/master/csl-citation.json"}</w:instrText>
            </w:r>
            <w:r w:rsidR="00D30AE9"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(5–7)</w:t>
            </w:r>
            <w:r w:rsidR="00D30AE9"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13CA342D" w14:textId="77777777" w:rsidR="004433F3" w:rsidRPr="004D453A" w:rsidRDefault="004433F3" w:rsidP="00800908">
            <w:pPr>
              <w:jc w:val="center"/>
              <w:rPr>
                <w:rFonts w:ascii="Arial" w:hAnsi="Arial" w:cs="Arial"/>
                <w:color w:val="000000" w:themeColor="text1"/>
                <w:sz w:val="18"/>
                <w:szCs w:val="18"/>
              </w:rPr>
            </w:pPr>
            <w:r w:rsidRPr="004D453A">
              <w:rPr>
                <w:rFonts w:ascii="Arial" w:hAnsi="Arial" w:cs="Arial"/>
                <w:color w:val="000000" w:themeColor="text1"/>
                <w:sz w:val="18"/>
                <w:szCs w:val="18"/>
              </w:rPr>
              <w:t>-0.65</w:t>
            </w:r>
          </w:p>
        </w:tc>
      </w:tr>
      <w:tr w:rsidR="003B1705" w:rsidRPr="004D453A" w14:paraId="27BE7772" w14:textId="77777777" w:rsidTr="003B1705">
        <w:trPr>
          <w:trHeight w:val="1152"/>
        </w:trPr>
        <w:tc>
          <w:tcPr>
            <w:tcW w:w="1046" w:type="pct"/>
            <w:tcBorders>
              <w:top w:val="nil"/>
              <w:left w:val="nil"/>
              <w:bottom w:val="nil"/>
              <w:right w:val="nil"/>
            </w:tcBorders>
            <w:shd w:val="clear" w:color="000000" w:fill="FFFFFF"/>
            <w:hideMark/>
          </w:tcPr>
          <w:p w14:paraId="72826D50"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Coffee and tea</w:t>
            </w:r>
          </w:p>
        </w:tc>
        <w:tc>
          <w:tcPr>
            <w:tcW w:w="1324" w:type="pct"/>
            <w:tcBorders>
              <w:top w:val="nil"/>
              <w:left w:val="nil"/>
              <w:bottom w:val="nil"/>
              <w:right w:val="nil"/>
            </w:tcBorders>
            <w:shd w:val="clear" w:color="000000" w:fill="FFFFFF"/>
            <w:hideMark/>
          </w:tcPr>
          <w:p w14:paraId="10A88928"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Coffee (decaffeinated and regular), herbal and non-herbal tea</w:t>
            </w:r>
          </w:p>
        </w:tc>
        <w:tc>
          <w:tcPr>
            <w:tcW w:w="2161" w:type="pct"/>
            <w:tcBorders>
              <w:top w:val="nil"/>
              <w:left w:val="nil"/>
              <w:bottom w:val="nil"/>
              <w:right w:val="nil"/>
            </w:tcBorders>
            <w:shd w:val="clear" w:color="auto" w:fill="auto"/>
            <w:hideMark/>
          </w:tcPr>
          <w:p w14:paraId="2CA27702" w14:textId="2E172F2B" w:rsidR="003B1705" w:rsidRPr="00615CA1" w:rsidRDefault="003B1705" w:rsidP="003B1705">
            <w:pPr>
              <w:rPr>
                <w:rFonts w:ascii="Arial" w:hAnsi="Arial" w:cs="Arial"/>
                <w:color w:val="000000"/>
                <w:sz w:val="18"/>
                <w:szCs w:val="18"/>
              </w:rPr>
            </w:pPr>
            <w:r w:rsidRPr="004D453A">
              <w:rPr>
                <w:rFonts w:ascii="Arial" w:hAnsi="Arial" w:cs="Arial"/>
                <w:color w:val="000000" w:themeColor="text1"/>
                <w:sz w:val="18"/>
                <w:szCs w:val="18"/>
              </w:rPr>
              <w:t xml:space="preserve">Tea contains flavonoids and antioxidants (e.g., epicatechin and quercetin) </w:t>
            </w:r>
            <w:r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{"citationItems":[{"id":"ITEM-1","itemData":{"DOI":"10.3945/jn.115.211888","ISSN":"0022-3166","abstract":"Background: Consumption of flavonoid-rich foods such as cocoa and tea may reduce cardiovascular disease risk. The","author":[{"dropping-particle":"","family":"Dower","given":"James I","non-dropping-particle":"","parse-names":false,"suffix":""},{"dropping-particle":"","family":"Geleijnse","given":"Johanna M","non-dropping-particle":"","parse-names":false,"suffix":""},{"dropping-particle":"","family":"Gijsbers","given":"Lieke","non-dropping-particle":"","parse-names":false,"suffix":""},{"dropping-particle":"","family":"Schalkwijk","given":"Casper","non-dropping-particle":"","parse-names":false,"suffix":""},{"dropping-particle":"","family":"Kromhout","given":"Daan","non-dropping-particle":"","parse-names":false,"suffix":""},{"dropping-particle":"","family":"Hollman","given":"Peter C","non-dropping-particle":"","parse-names":false,"suffix":""}],"container-title":"The Journal of Nutrition","id":"ITEM-1","issue":"7","issued":{"date-parts":[["2015","7","1"]]},"page":"1459-1463","title":"Supplementation of the pure flavonoids epicatechin and quercetin affects some biomarkers of endothelial dysfunction and inflammation in (pre)hypertensive adults: a randomized double-blind, placebo-controlled, crossover trial","type":"article-journal","volume":"145"},"uris":["http://www.mendeley.com/documents/?uuid=d248143a-c4e0-35ba-875c-de05e232226b"]}],"mendeley":{"formattedCitation":"(8)","plainTextFormattedCitation":"(8)","previouslyFormattedCitation":"(8)"},"properties":{"noteIndex":0},"schema":"https://github.com/citation-style-language/schema/raw/master/csl-citation.json"}</w:instrText>
            </w:r>
            <w:r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(8)</w:t>
            </w:r>
            <w:r w:rsidRPr="004D453A">
              <w:rPr>
                <w:rFonts w:ascii="Arial" w:hAnsi="Arial" w:cs="Arial"/>
                <w:color w:val="000000" w:themeColor="text1"/>
                <w:sz w:val="18"/>
                <w:szCs w:val="18"/>
              </w:rPr>
              <w:fldChar w:fldCharType="end"/>
            </w:r>
            <w:r w:rsidRPr="00615CA1">
              <w:rPr>
                <w:rFonts w:ascii="Arial" w:hAnsi="Arial" w:cs="Arial"/>
                <w:color w:val="000000" w:themeColor="text1"/>
                <w:sz w:val="18"/>
                <w:szCs w:val="18"/>
              </w:rPr>
              <w:t>; cof</w:t>
            </w:r>
            <w:r w:rsidRPr="004D453A">
              <w:rPr>
                <w:rFonts w:ascii="Arial" w:hAnsi="Arial" w:cs="Arial"/>
                <w:color w:val="000000" w:themeColor="text1"/>
                <w:sz w:val="18"/>
                <w:szCs w:val="18"/>
              </w:rPr>
              <w:t xml:space="preserve">fee contains phytochemicals and antioxidants, such as </w:t>
            </w:r>
            <w:proofErr w:type="spellStart"/>
            <w:r w:rsidRPr="004D453A">
              <w:rPr>
                <w:rFonts w:ascii="Arial" w:hAnsi="Arial" w:cs="Arial"/>
                <w:color w:val="000000" w:themeColor="text1"/>
                <w:sz w:val="18"/>
                <w:szCs w:val="18"/>
              </w:rPr>
              <w:t>javamide</w:t>
            </w:r>
            <w:proofErr w:type="spellEnd"/>
            <w:r w:rsidRPr="004D453A">
              <w:rPr>
                <w:rFonts w:ascii="Arial" w:hAnsi="Arial" w:cs="Arial"/>
                <w:color w:val="000000" w:themeColor="text1"/>
                <w:sz w:val="18"/>
                <w:szCs w:val="18"/>
              </w:rPr>
              <w:t xml:space="preserve">; </w:t>
            </w:r>
            <w:r w:rsidRPr="004D453A">
              <w:rPr>
                <w:rFonts w:ascii="Calibri" w:hAnsi="Calibri" w:cs="Calibri"/>
                <w:color w:val="000000" w:themeColor="text1"/>
                <w:sz w:val="18"/>
                <w:szCs w:val="18"/>
              </w:rPr>
              <w:t>﻿</w:t>
            </w:r>
            <w:r w:rsidRPr="004D453A">
              <w:rPr>
                <w:rFonts w:ascii="Arial" w:hAnsi="Arial" w:cs="Arial"/>
                <w:color w:val="000000" w:themeColor="text1"/>
                <w:sz w:val="18"/>
                <w:szCs w:val="18"/>
              </w:rPr>
              <w:t xml:space="preserve">both coffee and tea contain varying amounts of caffeine which inhibit secretion of IL-1β induced by adenine and N4-acetylcytidine </w:t>
            </w:r>
            <w:r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{"citationItems":[{"id":"ITEM-1","itemData":{"DOI":"10.1021/acs.jafc.8b01885","ISSN":"0021-8561","abstract":"Recent studies have suggested positive benefits of coffee consumption on inflammation-related diseases, such as liver diseases and diabetes, where activated lymphocytes and TNF-α are critically implicated. Interestingly, some reports suggested that javamide-II found in coffee may have anti-inflammatory activity greater than that of caffeine, but there is limited information about its effect on TNF-α production by activated lymphocytes. Therefore, the inhibitory effect of javamide-II on TNF-α was investigated in PMA/PHA-treated lymphocytic Jurkat cells. At 5 μM, javamide-II, not caffeine, inhibited TNF-α production in the cells (45 ± 4%, P &lt; 0.001). To elucidate the underlying mechanism, the phosphorylation of MAP kinases (ERK, p38, and JNK) was investigated in the Jurkat cells. Javamide-II had little effect on JNK or p38 phosphorylation, but javamide-II (&lt;20 μM) decreased ERK phosphorylation, consequently reducing TNF-α mRNA expression in the cells (P &lt; 0.001). The involvement of ERK phosphorylation was a...","author":[{"dropping-particle":"","family":"Park","given":"Jae B.","non-dropping-particle":"","parse-names":false,"suffix":""}],"container-title":"Journal of Agricultural and Food Chemistry","id":"ITEM-1","issue":"26","issued":{"date-parts":[["2018","7","5"]]},"page":"6782-6789","title":"Javamide-II found in coffee is better than caffeine at suppressing TNF-α production in PMA/PHA-treated lymphocytic jurkat cells","type":"article-journal","volume":"66"},"uris":["http://www.mendeley.com/documents/?uuid=bdaf2b84-4742-3d38-9642-aceaf5961ef5"]},{"id":"ITEM-2","itemData":{"DOI":"10.1038/ni.3754","abstract":"Quantitative and qualitative aspects of nutrition have a profound effect on leukocytes and thereby affect proinflammatory carcinogenic effects or anticancer immune responses. As a result, nutrition affects the incidence, natural progression and therapeutic response of malignant diseases, both in humans and in preclinical animal models. Here we discuss the molecular mechanisms through which alimentary cues modulate metabolic, microbial and neuroendocrine circuitries and thus affect the probability of developing premalignant lesions that progress to clinically manifested disease and the response to therapeutic intervention. We examine each of the connections that compose the triangle of nutrition, immunological and inflammatory reactions and cancer while focusing on the mechanistic aspects of these relationships","author":[{"dropping-particle":"","family":"Zitvogel","given":"Laurence","non-dropping-particle":"","parse-names":false,"suffix":""},{"dropping-particle":"","family":"Pietrocola","given":"Federico","non-dropping-particle":"","parse-names":false,"suffix":""},{"dropping-particle":"","family":"Kroemer","given":"Guido","non-dropping-particle":"","parse-names":false,"suffix":""}],"container-title":"Nature Immunology","id":"ITEM-2","issue":"8","issued":{"date-parts":[["2017"]]},"page":"843-850","title":"Nutrition, inflammation and cancer","type":"article-journal","volume":"18"},"uris":["http://www.mendeley.com/documents/?uuid=2cf2a4bf-5db3-4cf7-9d1a-7dd5620a78be"]}],"mendeley":{"formattedCitation":"(9,10)","plainTextFormattedCitation":"(9,10)","previouslyFormattedCitation":"(9,10)"},"properties":{"noteIndex":0},"schema":"https://github.com/citation-style-language/schema/raw/master/csl-citation.json"}</w:instrText>
            </w:r>
            <w:r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(9,10)</w:t>
            </w:r>
            <w:r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6FBC5965"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-0.25</w:t>
            </w:r>
          </w:p>
        </w:tc>
      </w:tr>
      <w:tr w:rsidR="003B1705" w:rsidRPr="004D453A" w14:paraId="7F9E7452" w14:textId="77777777" w:rsidTr="003B1705">
        <w:trPr>
          <w:trHeight w:val="720"/>
        </w:trPr>
        <w:tc>
          <w:tcPr>
            <w:tcW w:w="1046" w:type="pct"/>
            <w:tcBorders>
              <w:top w:val="nil"/>
              <w:left w:val="nil"/>
              <w:bottom w:val="nil"/>
              <w:right w:val="nil"/>
            </w:tcBorders>
            <w:shd w:val="clear" w:color="000000" w:fill="FFFFFF"/>
            <w:hideMark/>
          </w:tcPr>
          <w:p w14:paraId="50F91EB7" w14:textId="77777777" w:rsidR="003B1705" w:rsidRPr="004D453A" w:rsidRDefault="003B1705" w:rsidP="003B1705">
            <w:pPr>
              <w:ind w:left="432" w:hanging="144"/>
              <w:rPr>
                <w:rFonts w:ascii="Arial" w:hAnsi="Arial" w:cs="Arial"/>
                <w:color w:val="000000" w:themeColor="text1"/>
                <w:sz w:val="18"/>
                <w:szCs w:val="18"/>
              </w:rPr>
            </w:pPr>
            <w:r w:rsidRPr="004D453A">
              <w:rPr>
                <w:rFonts w:ascii="Arial" w:hAnsi="Arial" w:cs="Arial"/>
                <w:color w:val="000000" w:themeColor="text1"/>
                <w:sz w:val="18"/>
                <w:szCs w:val="18"/>
              </w:rPr>
              <w:t>Deep yellow or orange vegetables and fruit</w:t>
            </w:r>
          </w:p>
        </w:tc>
        <w:tc>
          <w:tcPr>
            <w:tcW w:w="1324" w:type="pct"/>
            <w:tcBorders>
              <w:top w:val="nil"/>
              <w:left w:val="nil"/>
              <w:bottom w:val="nil"/>
              <w:right w:val="nil"/>
            </w:tcBorders>
            <w:shd w:val="clear" w:color="000000" w:fill="FFFFFF"/>
            <w:hideMark/>
          </w:tcPr>
          <w:p w14:paraId="001C2535"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Cantaloupe, peaches, carrots, dark yellow or orange squash, figs</w:t>
            </w:r>
          </w:p>
        </w:tc>
        <w:tc>
          <w:tcPr>
            <w:tcW w:w="2161" w:type="pct"/>
            <w:tcBorders>
              <w:top w:val="nil"/>
              <w:left w:val="nil"/>
              <w:bottom w:val="nil"/>
              <w:right w:val="nil"/>
            </w:tcBorders>
            <w:shd w:val="clear" w:color="000000" w:fill="FFFFFF"/>
            <w:hideMark/>
          </w:tcPr>
          <w:p w14:paraId="52CC03BF" w14:textId="3BC553F9"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 xml:space="preserve">Contain pro-vitamin A carotenoids (e.g., </w:t>
            </w:r>
            <w:r w:rsidRPr="00615CA1">
              <w:rPr>
                <w:rFonts w:ascii="Arial" w:hAnsi="Arial" w:cs="Arial"/>
                <w:color w:val="000000" w:themeColor="text1"/>
                <w:sz w:val="18"/>
                <w:szCs w:val="18"/>
              </w:rPr>
              <w:sym w:font="Symbol" w:char="F062"/>
            </w:r>
            <w:r w:rsidRPr="00615CA1">
              <w:rPr>
                <w:rFonts w:ascii="Arial" w:hAnsi="Arial" w:cs="Arial"/>
                <w:color w:val="000000" w:themeColor="text1"/>
                <w:sz w:val="18"/>
                <w:szCs w:val="18"/>
              </w:rPr>
              <w:t xml:space="preserve">-carotene and </w:t>
            </w:r>
            <w:r w:rsidRPr="004D453A">
              <w:rPr>
                <w:rFonts w:ascii="Arial" w:eastAsia="Arial Unicode MS" w:hAnsi="Arial" w:cs="Arial"/>
                <w:color w:val="000000" w:themeColor="text1"/>
                <w:sz w:val="18"/>
                <w:szCs w:val="18"/>
              </w:rPr>
              <w:t>α</w:t>
            </w:r>
            <w:r w:rsidRPr="004D453A">
              <w:rPr>
                <w:rFonts w:ascii="Arial" w:hAnsi="Arial" w:cs="Arial"/>
                <w:color w:val="000000" w:themeColor="text1"/>
                <w:sz w:val="18"/>
                <w:szCs w:val="18"/>
              </w:rPr>
              <w:t xml:space="preserve">-carotene), which have a conjugated double-bond structure making them strong antioxidants </w:t>
            </w:r>
            <w:r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10.1016/j.nutres.2014.07.010","ISSN":"02715317","author":[{"dropping-particle":"","family":"Kaulmann","given":"Anouk","non-dropping-particle":"","parse-names":false,"suffix":""},{"dropping-particle":"","family":"Bohn","given":"Torsten","non-dropping-particle":"","parse-names":false,"suffix":""}],"container-title":"Nutrition Research","id":"ITEM-1","issue":"11","issued":{"date-parts":[["2014","11"]]},"page":"907-929","title":"Carotenoids, inflammation, and oxidative stress—implications of cellular signaling pathways and relation to chronic disease prevention","type":"article-journal","volume":"34"},"uris":["http://www.mendeley.com/documents/?uuid=18a31f75-cfef-38c3-bffa-002cafedef03"]}],"mendeley":{"formattedCitation":"(11)","plainTextFormattedCitation":"(11)","previouslyFormattedCitation":"(11)"},"properties":{"noteIndex":0},"schema":"https://github.com/citation-style-language/schema/raw/master/csl-citation.json"}</w:instrText>
            </w:r>
            <w:r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(11)</w:t>
            </w:r>
            <w:r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77B897A4"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-0.57</w:t>
            </w:r>
          </w:p>
        </w:tc>
      </w:tr>
      <w:tr w:rsidR="003B1705" w:rsidRPr="004D453A" w14:paraId="56192C92" w14:textId="77777777" w:rsidTr="003B1705">
        <w:trPr>
          <w:trHeight w:val="720"/>
        </w:trPr>
        <w:tc>
          <w:tcPr>
            <w:tcW w:w="1046" w:type="pct"/>
            <w:tcBorders>
              <w:top w:val="nil"/>
              <w:left w:val="nil"/>
              <w:bottom w:val="nil"/>
              <w:right w:val="nil"/>
            </w:tcBorders>
            <w:shd w:val="clear" w:color="000000" w:fill="FFFFFF"/>
            <w:hideMark/>
          </w:tcPr>
          <w:p w14:paraId="7CE176D4"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 xml:space="preserve">Fish </w:t>
            </w:r>
          </w:p>
        </w:tc>
        <w:tc>
          <w:tcPr>
            <w:tcW w:w="1324" w:type="pct"/>
            <w:tcBorders>
              <w:top w:val="nil"/>
              <w:left w:val="nil"/>
              <w:bottom w:val="nil"/>
              <w:right w:val="nil"/>
            </w:tcBorders>
            <w:shd w:val="clear" w:color="000000" w:fill="FFFFFF"/>
            <w:hideMark/>
          </w:tcPr>
          <w:p w14:paraId="7098ABC2"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Tuna fish, salmon, other light and dark meat fish, breaded fish cakes or fish sticks</w:t>
            </w:r>
          </w:p>
        </w:tc>
        <w:tc>
          <w:tcPr>
            <w:tcW w:w="2161" w:type="pct"/>
            <w:tcBorders>
              <w:top w:val="nil"/>
              <w:left w:val="nil"/>
              <w:bottom w:val="nil"/>
              <w:right w:val="nil"/>
            </w:tcBorders>
            <w:shd w:val="clear" w:color="auto" w:fill="auto"/>
            <w:hideMark/>
          </w:tcPr>
          <w:p w14:paraId="2C021E59" w14:textId="58589DC1" w:rsidR="003B1705" w:rsidRPr="00615CA1" w:rsidRDefault="003B1705" w:rsidP="003B1705">
            <w:pPr>
              <w:rPr>
                <w:rFonts w:ascii="Arial" w:hAnsi="Arial" w:cs="Arial"/>
                <w:color w:val="000000"/>
                <w:sz w:val="18"/>
                <w:szCs w:val="18"/>
              </w:rPr>
            </w:pPr>
            <w:r w:rsidRPr="004D453A">
              <w:rPr>
                <w:rFonts w:ascii="Arial" w:hAnsi="Arial" w:cs="Arial"/>
                <w:color w:val="000000" w:themeColor="text1"/>
                <w:sz w:val="18"/>
                <w:szCs w:val="18"/>
              </w:rPr>
              <w:t>Contain Ω-3 fatty acids, which compete with pro-inflammatory Ω-6 fatty acids by synthesizing eicosanoids and suppress the capacity of monocytes to synthesize IL-1β and TNF-</w:t>
            </w:r>
            <m:oMath>
              <m:r>
                <w:rPr>
                  <w:rFonts w:ascii="Cambria Math" w:hAnsi="Cambria Math" w:cs="Arial"/>
                  <w:color w:val="000000" w:themeColor="text1"/>
                  <w:sz w:val="18"/>
                  <w:szCs w:val="18"/>
                </w:rPr>
                <m:t xml:space="preserve">α </m:t>
              </m:r>
            </m:oMath>
            <w:r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{"citationItems":[{"id":"ITEM-1","itemData":{"DOI":"10.1080/07315724.2002.10719248","ISSN":"0731-5724","PMID":"12480795","abstract":"Among the fatty acids, it is the omega-3 polyunsaturated fatty acids (PUFA) which possess the most potent immunomodulatory activities, and among the omega-3 PUFA, those from fish oil-eicosapentaenoic acid (EPA) and docosahexaenoic acid (DHA)--are more biologically potent than alpha-linolenic acid (ALA). Some of the effects of omega-3 PUFA are brought about by modulation of the amount and types of eicosanoids made, and other effects are elicited by eicosanoid-independent mechanisms, including actions upon intracellular signaling pathways, transcription factor activity and gene expression. Animal experiments and clinical intervention studies indicate that omega-3 fatty acids have anti-inflammatory properties and, therefore, might be useful in the management of inflammatory and autoimmune diseases. Coronary heart disease, major depression, aging and cancer are characterized by an increased level of interleukin 1 (IL-1), a proinflammatory cytokine. Similarly, arthritis, Crohn's disease, ulcerative colitis and lupus erythematosis are autoimmune diseases characterized by a high level of IL-1 and the proinflammatory leukotriene LTB(4) produced by omega-6 fatty acids. There have been a number of clinical trials assessing the benefits of dietary supplementation with fish oils in several inflammatory and autoimmune diseases in humans, including rheumatoid arthritis, Crohn's disease, ulcerative colitis, psoriasis, lupus erythematosus, multiple sclerosis and migraine headaches. Many of the placebo-controlled trials of fish oil in chronic inflammatory diseases reveal significant benefit, including decreased disease activity and a lowered use of anti-inflammatory drugs.","author":[{"dropping-particle":"","family":"Simopoulos","given":"Artemis P","non-dropping-particle":"","parse-names":false,"suffix":""}],"container-title":"Journal of the American College of Nutrition","id":"ITEM-1","issue":"6","issued":{"date-parts":[["2002","12"]]},"page":"495-505","title":"Omega-3 fatty acids in inflammation and autoimmune diseases.","type":"article-journal","volume":"21"},"uris":["http://www.mendeley.com/documents/?uuid=c6b09b97-fa1a-4f99-ad14-6742a3c2142b"]},{"id":"ITEM-2","itemData":{"DOI":"10.3390/nu2030355","ISSN":"2072-6643","abstract":"Long chain fatty acids influence inflammation through a variety of mechanisms; many of these are mediated by, or at least associated with, changes in fatty acid composition of cell membranes. Changes in these compositions can modify membrane fluidity, cell signaling leading to altered gene expression, and the pattern of lipid mediator production. Cell involved in the inflammatory response are typically rich in the n-6 fatty acid arachidonic acid, but the contents of arachidonic acid and of the n-3 fatty acids eicosapentaenoic acid (EPA) and docosahexaenoic acid (DHA) can be altered through oral administration of EPA and DHA. Eicosanoids produced from arachidonic acid have roles in inflammation. EPA also gives rise to eicosanoids and these often have differing properties from those of arachidonic acid-derived eicosanoids. EPA and DHA give rise to newly discovered resolvins which are anti-inflammatory and inflammation resolving. Increased membrane content of EPA and DHA (and decreased arachidonic acid content) results in a changed pattern of production of eicosanoids and resolvins. Changing the fatty acid composition of cells involved in the inflammatory response also affects production of peptide mediators of inflammation (adhesion molecules, cytokines etc.). Thus, the fatty acid composition of cells involved in the inflammatory response influences their function; the contents of arachidonic acid, EPA and DHA appear to be especially important. The anti-inflammatory effects of marine n-3 PUFAs suggest that they may be useful as therapeutic agents in disorders with an inflammatory component.","author":[{"dropping-particle":"","family":"Calder","given":"Philip C","non-dropping-particle":"","parse-names":false,"suffix":""}],"container-title":"Nutrients","id":"ITEM-2","issue":"3","issued":{"date-parts":[["2010","3","18"]]},"page":"355-374","title":"Omega-3 fatty Acids and inflammatory processes","type":"article-journal","volume":"2"},"uris":["http://www.mendeley.com/documents/?uuid=5faa35af-b7e1-3e2f-8e70-1e2487fd27ad"]},{"id":"ITEM-3","itemData":{"DOI":"10.1016/j.jacc.2006.03.052","ISBN":"0735-1097","ISSN":"07351097","PMID":"16904534","abstract":"Reducing the incidence of coronary heart disease with diet is possible. The main dietary strategies include adequate omega-3 fatty acids intake, reduction of saturated and trans-fats, and consumption of a diet high in fruits, vegetables, nuts, and whole grains and low in refined grains. Each of these strategies may be associated with lower generation of inflammation. This review examines the epidemiologic and clinical evidence concerning diet and inflammation. Dietary patterns high in refined starches, sugar, and saturated and trans-fatty acids, poor in natural antioxidants and fiber from fruits, vegetables, and whole grains, and poor in omega-3 fatty acids may cause an activation of the innate immune system, most likely by an excessive production of proinflammatory cytokines associated with a reduced production of anti-inflammatory cytokines. The whole diet approach seems particularly promising to reduce the inflammation associated with the metabolic syndrome. The choice of healthy sources of carbohydrate, fat, and protein, associated with regular physical activity and avoidance of smoking, is critical to fighting the war against chronic disease. Western dietary patterns warm up inflammation, while prudent dietary patterns cool it down. © 2006 American College of Cardiology Foundation.","author":[{"dropping-particle":"","family":"Giugliano","given":"Dario","non-dropping-particle":"","parse-names":false,"suffix":""},{"dropping-particle":"","family":"Ceriello","given":"Antonio","non-dropping-particle":"","parse-names":false,"suffix":""},{"dropping-particle":"","family":"Esposito","given":"Katherine","non-dropping-particle":"","parse-names":false,"suffix":""}],"container-title":"Journal of the American College of Cardiology","id":"ITEM-3","issue":"4","issued":{"date-parts":[["2006"]]},"page":"677-685","title":"The effects of diet on inflammation: emphasis on the metabolic syndrome","type":"article-journal","volume":"48"},"uris":["http://www.mendeley.com/documents/?uuid=59017308-cdbe-426f-b2b5-5efaa1d49272"]}],"mendeley":{"formattedCitation":"(3,12,13)","plainTextFormattedCitation":"(3,12,13)","previouslyFormattedCitation":"(3,12,13)"},"properties":{"noteIndex":0},"schema":"https://github.com/citation-style-language/schema/raw/master/csl-citation.json"}</w:instrText>
            </w:r>
            <w:r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(3,12,13)</w:t>
            </w:r>
            <w:r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68531352"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-0.08</w:t>
            </w:r>
          </w:p>
        </w:tc>
      </w:tr>
      <w:tr w:rsidR="003B1705" w:rsidRPr="004D453A" w14:paraId="2DBB6CAD" w14:textId="77777777" w:rsidTr="003B1705">
        <w:trPr>
          <w:trHeight w:val="1152"/>
        </w:trPr>
        <w:tc>
          <w:tcPr>
            <w:tcW w:w="1046" w:type="pct"/>
            <w:tcBorders>
              <w:top w:val="nil"/>
              <w:left w:val="nil"/>
              <w:bottom w:val="nil"/>
              <w:right w:val="nil"/>
            </w:tcBorders>
            <w:shd w:val="clear" w:color="000000" w:fill="FFFFFF"/>
            <w:hideMark/>
          </w:tcPr>
          <w:p w14:paraId="1ECFB994"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 xml:space="preserve">High-fat dairy </w:t>
            </w:r>
          </w:p>
        </w:tc>
        <w:tc>
          <w:tcPr>
            <w:tcW w:w="1324" w:type="pct"/>
            <w:tcBorders>
              <w:top w:val="nil"/>
              <w:left w:val="nil"/>
              <w:bottom w:val="nil"/>
              <w:right w:val="nil"/>
            </w:tcBorders>
            <w:shd w:val="clear" w:color="000000" w:fill="FFFFFF"/>
            <w:hideMark/>
          </w:tcPr>
          <w:p w14:paraId="220F22C2"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Whole milk, 2% milk, cream, high-fat ice cream, high-fat yogurt, cream cheese, other high-fat cheeses</w:t>
            </w:r>
          </w:p>
        </w:tc>
        <w:tc>
          <w:tcPr>
            <w:tcW w:w="2161" w:type="pct"/>
            <w:tcBorders>
              <w:top w:val="nil"/>
              <w:left w:val="nil"/>
              <w:bottom w:val="nil"/>
              <w:right w:val="nil"/>
            </w:tcBorders>
            <w:shd w:val="clear" w:color="000000" w:fill="FFFFFF"/>
            <w:hideMark/>
          </w:tcPr>
          <w:p w14:paraId="39B52499" w14:textId="61CD7A3C"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 xml:space="preserve">Contains calcium, which binds bile acids and free fatty acids, decreasing oxidative damage in the gut; dairy fat contains fatty acids with potential inflammation-reducing properties, such as CLA, </w:t>
            </w:r>
            <w:r w:rsidRPr="004D453A">
              <w:rPr>
                <w:rFonts w:ascii="Arial" w:hAnsi="Arial" w:cs="Arial"/>
                <w:i/>
                <w:color w:val="000000" w:themeColor="text1"/>
                <w:sz w:val="18"/>
                <w:szCs w:val="18"/>
              </w:rPr>
              <w:t>cis-</w:t>
            </w:r>
            <w:r w:rsidRPr="004D453A">
              <w:rPr>
                <w:rFonts w:ascii="Arial" w:hAnsi="Arial" w:cs="Arial"/>
                <w:color w:val="000000" w:themeColor="text1"/>
                <w:sz w:val="18"/>
                <w:szCs w:val="18"/>
              </w:rPr>
              <w:t xml:space="preserve"> and </w:t>
            </w:r>
            <w:r w:rsidRPr="004D453A">
              <w:rPr>
                <w:rFonts w:ascii="Arial" w:hAnsi="Arial" w:cs="Arial"/>
                <w:i/>
                <w:color w:val="000000" w:themeColor="text1"/>
                <w:sz w:val="18"/>
                <w:szCs w:val="18"/>
              </w:rPr>
              <w:t>trans-</w:t>
            </w:r>
            <w:r w:rsidRPr="004D453A">
              <w:rPr>
                <w:rFonts w:ascii="Arial" w:hAnsi="Arial" w:cs="Arial"/>
                <w:color w:val="000000" w:themeColor="text1"/>
                <w:sz w:val="18"/>
                <w:szCs w:val="18"/>
              </w:rPr>
              <w:t xml:space="preserve">palmitoleic acid, butyric acid, phytanic acid, and alpha-linolenic acid </w:t>
            </w:r>
            <w:r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{"citationItems":[{"id":"ITEM-1","itemData":{"ISSN":"0008-5472","PMID":"8764120","abstract":"Dietary calcium may reduce the risk of colon cancer, probably by precipitating cytotoxic surfactants, such as secondary bile acids, in the colonic lumen. We previously showed that milk mineral, an important source of calcium, decreases metabolic risk factors and colonic proliferation in rats. We now report the effects of the habitual intake of milk calcium on metabolic risk factors in healthy subjects. A double-blind, cross-over metabolic study was performed in 13 healthy males. Placebo milk products (calcium, 3 mM) were compared with regular milk products (calcium, 30 mm). In each 1-week period, the habitual diet was recorded, and urine and feces were collected for 1 and 3 days, respectively. Milk calcium significantly increased fecal pH and fecal excretion of phosphate (132%), total fat (139%), free fatty acids (195%), and bile acids (141%), indicating intestinal complexation. In fecal water, the concentrations of long-chain fatty acids, secondary bile acids (deoxycholic and lithocholic acid), neutral sterols, and phospholipids were about halved (P &lt;0.05). Consistent with these changes in soluble hydrophobic surfactants, calcium decreased the cytotoxicity of fecal water from 68 +/- 9 to 28 +/- 12% (P &lt; 0.005). Calcium in milk products precipitates luminal cytotoxic surfactants and thus inhibits colonic cytotoxicity. Therefore, habitual dietary calcium may contribute to a nutritional modulation of colon cancer risk.","author":[{"dropping-particle":"","family":"Govers","given":"M J","non-dropping-particle":"","parse-names":false,"suffix":""},{"dropping-particle":"","family":"Termont","given":"D S","non-dropping-particle":"","parse-names":false,"suffix":""},{"dropping-particle":"","family":"Lapré","given":"J A","non-dropping-particle":"","parse-names":false,"suffix":""},{"dropping-particle":"","family":"Kleibeuker","given":"J H","non-dropping-particle":"","parse-names":false,"suffix":""},{"dropping-particle":"","family":"Vonk","given":"R J","non-dropping-particle":"","parse-names":false,"suffix":""},{"dropping-particle":"","family":"Meer","given":"R","non-dropping-particle":"Van der","parse-names":false,"suffix":""}],"container-title":"Cancer research","id":"ITEM-1","issue":"14","issued":{"date-parts":[["1996","7","15"]]},"page":"3270-5","title":"Calcium in milk products precipitates intestinal fatty acids and secondary bile acids and thus inhibits colonic cytotoxicity in humans.","type":"article-journal","volume":"56"},"uris":["http://www.mendeley.com/documents/?uuid=de81894c-05ec-31bc-acdd-c886dec015dd"]},{"id":"ITEM-2","itemData":{"DOI":"10.1093/aje/kwt007","ISSN":"0002-9262","abstract":"Identifying associations of risk factors sharing the same pathway with disease risk is complicated by small individual effects and intercorrelated components; this can be addressed by creating comprehensive exposure scores. We developed and validated 3 novel weighting methods (literature review–derived, study data–based, and a Bayesian method that combines prior knowledge with study data) to incorporate components into a pathway score for oxidative balance in addition to a commonly used method that assumes all components con-tribute equally to the score. We illustrate our method using pooled data from 3 US case-control studies of spora-dic colorectal adenoma (1991–2002). We created 4 oxidative balance scores (OBS) to reflect combined summary measures of dietary and nondietary antioxidant and prooxidant exposures. A higher score represents a predominance of antioxidant exposures over prooxidant exposures. In the pooled data, the odds ratios com-paring the highest tertile of OBS with the lowest for adenoma risk ranged from 0.38 to 0.54 for the 4 measures; all were statistically significant. These findings suggest that 1) OBS are indicators of oxidative balance and may be inversely associated with colorectal adenoma risk and 2) using comprehensive exposure scores may be preferable to investigating individual component-disease associations for complex exposures, such as oxidative balance.","author":[{"dropping-particle":"","family":"Dash","given":"Chiranjeev","non-dropping-particle":"","parse-names":false,"suffix":""},{"dropping-particle":"","family":"Goodman","given":"Michael","non-dropping-particle":"","parse-names":false,"suffix":""},{"dropping-particle":"","family":"Flanders","given":"W. D.","non-dropping-particle":"","parse-names":false,"suffix":""},{"dropping-particle":"","family":"Mink","given":"Pamela J","non-dropping-particle":"","parse-names":false,"suffix":""},{"dropping-particle":"","family":"McCullough","given":"Marjorie L","non-dropping-particle":"","parse-names":false,"suffix":""},{"dropping-particle":"","family":"Bostick","given":"Roberd M","non-dropping-particle":"","parse-names":false,"suffix":""}],"container-title":"American Journal of Epidemiology","id":"ITEM-2","issue":"4","issued":{"date-parts":[["2013","8","15"]]},"note":"NULL","page":"610-624","title":"Using pathway-specific comprehensive exposure scores in epidemiology: application to oxidative balance in a pooled case-control study of incident, sporadic colorectal adenomas","type":"article-journal","volume":"178"},"uris":["http://www.mendeley.com/documents/?uuid=94e8b7fd-c3e0-38cc-b05c-ef087800537f"]},{"id":"ITEM-3","itemData":{"DOI":"10.1007/s00394-012-0418-1","ISSN":"1436-6207","abstract":"Purpose To comprehensively review the data on the relationship between the consumption of dairy fat and high-fat dairy foods, obesity, and cardiometabolic disease. Methods We have conducted a systematic literature review of observational studies on the relationship between dairy fat and high-fat dairy foods, obesity, and cardio-metabolic disease. We have integrated these findings with data from controlled studies showing effects of several minor dairy fatty acids on adiposity and cardiometabolic risk factors, and data on how bovine feeding practices influence the composition of dairy fat. Results In 11 of 16 studies, high-fat dairy intake was inversely associated with measures of adiposity. Studies examining the relationship between high-fat dairy consumption and metabolic health reported either an inverse or no association. Studies investigating the connection between high-fat dairy intake and diabetes or cardiovas-cular disease incidence were inconsistent. We discuss factors that may have contributed to the variability between studies, including differences in (1) the potential for residual confounding; (2) the types of high-fat dairy foods consumed; and (3) bovine feeding practices (pasture-vs. grain-based) known to influence the composition of dairy fat. Conclusions The observational evidence does not support the hypothesis that dairy fat or high-fat dairy foods contribute to obesity or cardiometabolic risk, and suggests that high-fat dairy consumption within typical dietary patterns is inversely associated with obesity risk. Although not conclusive, these findings may provide a rationale for future research into the bioactive properties of dairy fat and the impact of bovine feeding practices on the health effects of dairy fat.","author":[{"dropping-particle":"","family":"Kratz","given":"Mario","non-dropping-particle":"","parse-names":false,"suffix":""},{"dropping-particle":"","family":"Baars","given":"Ton","non-dropping-particle":"","parse-names":false,"suffix":""},{"dropping-particle":"","family":"Guyenet","given":"Stephan","non-dropping-particle":"","parse-names":false,"suffix":""}],"container-title":"European Journal of Nutrition","id":"ITEM-3","issue":"1","issued":{"date-parts":[["2013","2","19"]]},"page":"1-24","title":"The relationship between high-fat dairy consumption and obesity, cardiovascular, and metabolic disease","type":"article-journal","volume":"52"},"uris":["http://www.mendeley.com/documents/?uuid=5521360b-8e10-3ca5-9a12-10dbcc5ed2b2"]}],"mendeley":{"formattedCitation":"(14–16)","plainTextFormattedCitation":"(14–16)","previouslyFormattedCitation":"(14–16)"},"properties":{"noteIndex":0},"schema":"https://github.com/citation-style-language/schema/raw/master/csl-citation.json"}</w:instrText>
            </w:r>
            <w:r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(14–16)</w:t>
            </w:r>
            <w:r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7549DD4B"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-0.14</w:t>
            </w:r>
          </w:p>
        </w:tc>
      </w:tr>
      <w:tr w:rsidR="003B1705" w:rsidRPr="004D453A" w14:paraId="3D14D106" w14:textId="77777777" w:rsidTr="003B1705">
        <w:trPr>
          <w:trHeight w:val="1620"/>
        </w:trPr>
        <w:tc>
          <w:tcPr>
            <w:tcW w:w="1046" w:type="pct"/>
            <w:tcBorders>
              <w:top w:val="nil"/>
              <w:left w:val="nil"/>
              <w:bottom w:val="nil"/>
              <w:right w:val="nil"/>
            </w:tcBorders>
            <w:shd w:val="clear" w:color="000000" w:fill="FFFFFF"/>
            <w:hideMark/>
          </w:tcPr>
          <w:p w14:paraId="0A44E804" w14:textId="77777777" w:rsidR="003B1705" w:rsidRPr="004D453A" w:rsidRDefault="003B1705" w:rsidP="003B1705">
            <w:pPr>
              <w:ind w:left="432" w:hanging="144"/>
              <w:rPr>
                <w:rFonts w:ascii="Arial" w:hAnsi="Arial" w:cs="Arial"/>
                <w:color w:val="000000" w:themeColor="text1"/>
                <w:sz w:val="18"/>
                <w:szCs w:val="18"/>
              </w:rPr>
            </w:pPr>
            <w:r w:rsidRPr="004D453A">
              <w:rPr>
                <w:rFonts w:ascii="Arial" w:hAnsi="Arial" w:cs="Arial"/>
                <w:color w:val="000000" w:themeColor="text1"/>
                <w:sz w:val="18"/>
                <w:szCs w:val="18"/>
              </w:rPr>
              <w:t>Leafy greens and cruciferous vegetables</w:t>
            </w:r>
          </w:p>
        </w:tc>
        <w:tc>
          <w:tcPr>
            <w:tcW w:w="1324" w:type="pct"/>
            <w:tcBorders>
              <w:top w:val="nil"/>
              <w:left w:val="nil"/>
              <w:bottom w:val="nil"/>
              <w:right w:val="nil"/>
            </w:tcBorders>
            <w:shd w:val="clear" w:color="000000" w:fill="FFFFFF"/>
            <w:hideMark/>
          </w:tcPr>
          <w:p w14:paraId="108599A7"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Kale, spinach, lettuce (iceberg, head, romaine, or leaf), broccoli, Brussels sprouts, cabbage, cauliflower, parsley, watercress</w:t>
            </w:r>
          </w:p>
        </w:tc>
        <w:tc>
          <w:tcPr>
            <w:tcW w:w="2161" w:type="pct"/>
            <w:tcBorders>
              <w:top w:val="nil"/>
              <w:left w:val="nil"/>
              <w:bottom w:val="nil"/>
              <w:right w:val="nil"/>
            </w:tcBorders>
            <w:shd w:val="clear" w:color="000000" w:fill="FFFFFF"/>
            <w:hideMark/>
          </w:tcPr>
          <w:p w14:paraId="706457FC" w14:textId="0C449242"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 xml:space="preserve">Contain variety of potent antioxidants (e.g., </w:t>
            </w:r>
            <w:r w:rsidRPr="004D453A">
              <w:rPr>
                <w:rFonts w:ascii="Arial" w:eastAsia="Arial Unicode MS" w:hAnsi="Arial" w:cs="Arial"/>
                <w:color w:val="000000" w:themeColor="text1"/>
                <w:sz w:val="18"/>
                <w:szCs w:val="18"/>
              </w:rPr>
              <w:t>β</w:t>
            </w:r>
            <w:r w:rsidRPr="004D453A">
              <w:rPr>
                <w:rFonts w:ascii="Arial" w:hAnsi="Arial" w:cs="Arial"/>
                <w:color w:val="000000" w:themeColor="text1"/>
                <w:sz w:val="18"/>
                <w:szCs w:val="18"/>
              </w:rPr>
              <w:t xml:space="preserve">-carotene, folacin, magnesium, calcium, </w:t>
            </w:r>
            <w:proofErr w:type="spellStart"/>
            <w:r w:rsidRPr="004D453A">
              <w:rPr>
                <w:rFonts w:ascii="Arial" w:hAnsi="Arial" w:cs="Arial"/>
                <w:color w:val="000000" w:themeColor="text1"/>
                <w:sz w:val="18"/>
                <w:szCs w:val="18"/>
              </w:rPr>
              <w:t>glucosinolates</w:t>
            </w:r>
            <w:proofErr w:type="spellEnd"/>
            <w:r w:rsidRPr="004D453A">
              <w:rPr>
                <w:rFonts w:ascii="Arial" w:hAnsi="Arial" w:cs="Arial"/>
                <w:color w:val="000000" w:themeColor="text1"/>
                <w:sz w:val="18"/>
                <w:szCs w:val="18"/>
              </w:rPr>
              <w:t>, isothiocyanates, lutein, and indoles); contain flavonoids and polyphenols, which activate the transcription factor, Nuclear factor-erythroid 2 (NF-E2)-related factor 2 (Nrf2), which plays a key role in cellular protection against oxidative stress and inflammation</w:t>
            </w:r>
            <w:r w:rsidR="00852A7B" w:rsidRPr="004D453A">
              <w:rPr>
                <w:rFonts w:ascii="Arial" w:hAnsi="Arial" w:cs="Arial"/>
                <w:color w:val="000000" w:themeColor="text1"/>
                <w:sz w:val="18"/>
                <w:szCs w:val="18"/>
              </w:rPr>
              <w:t xml:space="preserve"> </w:t>
            </w:r>
            <w:r w:rsidR="00852A7B"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{"citationItems":[{"id":"ITEM-1","itemData":{"DOI":"10.1155/2017/8254289","abstract":"Early embryonic loss and adverse birth outcomes are the major reproductive disorders that affect both human and animals. The LPS induces inflammation by interacting with robust cellular mechanism which was considered as a plethora of numerous reproductive disorders such as fetal resorption, preterm birth, teratogenicity, intrauterine growth restriction, abortion, neural tube defects, fetal demise, and skeletal development retardation. LPS-triggered overproduction of free radicals leads to oxidative stress which mediates inflammation via stimulation of NF-κB and PPARγ transcription factors. Flavonoids, which exist in copious amounts in nature, possess a wide array of functions; their supplementation during pregnancy activates Nrf2 signaling pathway which encounters pregnancy disorders. It was further presumed that the development of strong antioxidant uterine environment during gestation can alleviate diseases which appear at adult stages. The purpose of this review is to focus on modulatory properties of flavonoids on oxidative stress-mediated pregnancy insult and abnormal outcomes and role of Nrf2 activation in pregnancy disorders. These findings would be helpful for providing new insights in ameliorating oxidative stress-induced pregnancy disorders.","author":[{"dropping-particle":"","family":"Hussain","given":"Tarique","non-dropping-particle":"","parse-names":false,"suffix":""},{"dropping-particle":"","family":"Tan","given":"Bie","non-dropping-particle":"","parse-names":false,"suffix":""},{"dropping-particle":"","family":"Liu","given":"Gang","non-dropping-particle":"","parse-names":false,"suffix":""},{"dropping-particle":"","family":"Murtaza","given":"Ghulam","non-dropping-particle":"","parse-names":false,"suffix":""},{"dropping-particle":"","family":"Rahu","given":"Najma","non-dropping-particle":"","parse-names":false,"suffix":""},{"dropping-particle":"","family":"Saleem","given":"Muhammad","non-dropping-particle":"","parse-names":false,"suffix":""},{"dropping-particle":"","family":"Yin","given":"Yulong","non-dropping-particle":"","parse-names":false,"suffix":""}],"container-title":"Oxidative Medicine and Cellular Longevity","id":"ITEM-1","issued":{"date-parts":[["2017"]]},"page":"1-14","title":"Modulatory mechanism of polyphenols and Nrf2 Signaling Pathway in LPS challenged pregnancy disorders","type":"article-journal","volume":"2017"},"uris":["http://www.mendeley.com/documents/?uuid=02b39ad9-4520-3ce9-8e9e-0212fd35149b"]},{"id":"ITEM-2","itemData":{"DOI":"10.1186/s12944-018-0723-7","abstract":"Background: In addition to the actual composition of the diet (i.e. nutrient composition, food groups), the omega-6/omega-3 fatty acid ratio has been demonstrated to influence the tissue fatty acid profile and subsequently the risk for cardiovascular and other diseases. Likewise, the consumption of green leafy vegetables (GLVs) may favorably reduce the risks associated with disease. Although an ~ 3:1 omega-6/omega-3 fatty acid ratio (ω-6/ω-3 FAR) is recommended, the typical American diet has an ~ 25:1 ω-6/ω-3 FAR. Previous research affirms the ability of collard greens (CG), purslane (PL), and sweet potato greens (SPG) to improve the hepatic profile of spontaneously hypertensive rats (SHRs). The aim of the present study was to determine the influence of GLVs, incorporated (4%) into diets with a 25:1 ω-6/ω-3 FAR, on the erythrocyte fatty acid profile of male SHRs. Methods: SHRs (N = 50) were randomly assigned to one of five dietary groups-standardized control (AIN-76A), Control (25:1 ω-6/ω-3 FAR), CG (25:1 ω-6/ω-3 FAR + 4% CG), PL (25:1 ω-6/ω-3 FAR + 4% PL) or SPG (25:1 ω-6/ω-3 FAR + 4% SPG). Following 6 weeks consumption of diets, SHRs erythrocyte fatty acid profiles were determined by gas-liquid chromatography.","author":[{"dropping-particle":"","family":"Johnson","given":"Melissa","non-dropping-particle":"","parse-names":false,"suffix":""},{"dropping-particle":"","family":"Pace","given":"Ralphenia D","non-dropping-particle":"","parse-names":false,"suffix":""},{"dropping-particle":"","family":"Mcelhenney","given":"Wendell H","non-dropping-particle":"","parse-names":false,"suffix":""}],"container-title":"Lipids in health and disease","id":"ITEM-2","issue":"140","issued":{"date-parts":[["2018"]]},"title":"Green leafy vegetables in diets with a 25:1 omega-6/omega-3 fatty acid ratio modify the erythrocyte fatty acid profile of spontaneously hypertensive rats","type":"article-journal","volume":"17"},"uris":["http://www.mendeley.com/documents/?uuid=115f7e54-79b6-307f-b2c1-d041f558b419"]},{"id":"ITEM-3","itemData":{"DOI":"10.1093/ajcn/73.4.673","ISSN":"0002-9165","PMID":"11273841","abstract":"The vascular endothelium is the primary site of dysfunction in many diseases, particularly cardiovascular disease. A variety of risk factors, including smoking, hypercholesterolemia, hyperhomocysteinemia, hypertension, and diabetes mellitus, adversely affect endothelial function. Emerging evidence suggests an important role of dietary factors in modulating endothelial function. In particular, n-3 fatty acids, antioxidant vitamins (especially vitamins E and C), folic acid, and L-arginine appear to have beneficial effects on vascular endothelial function, either by decreasing endothelial activation or by improving endothelium-dependent vasodilation in patients at high risk of cardiovascular disease as well as in healthy subjects. These effects may serve as one potential mechanism through which these nutrients reduce the risk of cardiovascular disease, as observed in epidemiologic studies and several clinical trials. This article reviews clinical and experimental evidence regarding the role of these nutrients in modulating endothelial function and their potential to prevent cardiovascular disease.","author":[{"dropping-particle":"","family":"Brown","given":"A A","non-dropping-particle":"","parse-names":false,"suffix":""},{"dropping-particle":"","family":"Hu","given":"F B","non-dropping-particle":"","parse-names":false,"suffix":""}],"container-title":"The American journal of clinical nutrition","id":"ITEM-3","issue":"4","issued":{"date-parts":[["2001","4"]]},"page":"673-86","title":"Dietary modulation of endothelial function: implications for cardiovascular disease.","type":"article-journal","volume":"73"},"uris":["http://www.mendeley.com/documents/?uuid=022f75da-0b6a-3553-a176-e92e250802a1"]},{"id":"ITEM-4","itemData":{"DOI":"10.1016/s0014-827x(01)01111-9","ISSN":"0014-827X","PMID":"11680812","abstract":"The anti-inflammatory activities of three flavonoids were investigated in rats using the Mizushima et al. model of acute and chronic inflammation. Intraperitoneal administration of rutin, quercetin (flavonols) and hesperidin (flavanone), given at daily doses equivalent to 80 mg/kg, inhibited both acute and chronic phases of this experimental model of inflammation. Rutin was the most active in the chronic phase.","author":[{"dropping-particle":"","family":"Guardia","given":"Teresita","non-dropping-particle":"","parse-names":false,"suffix":""},{"dropping-particle":"","family":"Rotelli","given":"Alejandra Ester","non-dropping-particle":"","parse-names":false,"suffix":""},{"dropping-particle":"","family":"Juarez","given":"A O","non-dropping-particle":"","parse-names":false,"suffix":""},{"dropping-particle":"","family":"Pelzer","given":"Lilian Eugenia","non-dropping-particle":"","parse-names":false,"suffix":""}],"container-title":"Farmaco (Societa chimica italiana : 1989)","id":"ITEM-4","issue":"9","issued":{"date-parts":[["2001","9"]]},"page":"683-7","title":"Anti-inflammatory properties of plant flavonoids. Effects of rutin, quercetin and hesperidin on adjuvant arthritis in rat.","type":"article-journal","volume":"56"},"uris":["http://www.mendeley.com/documents/?uuid=a462d63b-0d0a-3e33-bad3-53b8944d441e"]},{"id":"ITEM-5","itemData":{"DOI":"10.1016/j.metabol.2010.06.020","ISBN":"1532-8600 (Electronic)\r0026-0495 (Linking)","PMID":"20727555","abstract":"Folate deficiency can cause age-related disease. Folic acid (FA) has been used in studies aiming at disease prevention. Recently, unmetabolized FA in plasma raised public health concerns; but numerous studies used FA for disease prevention. Concentrations of the folate forms FA, 5-methyltetrahydrofolate (5-MTHF), and tetrahydrofolate (THF) were measured before and after 3-week placebo or FA 5 mg, vitamin B6 40 mg, and cyanocobalamin 2 mg per day administrated to 74 older adults (median age, 82 years). Concentrations of 5-MTHF and total homocysteine (tHcy) (r = -0.392) and S-adenosylmethionine (r = 0.329) were correlated at baseline. Twenty-six percent of the elderly subjects had unmetabolized FA in plasma at the start, and concentrations of FA were increased after 3 weeks of FA treatment (median FA = 0.08 nmol/L at baseline and 15.3 nmol/L at the end of the treatment in the vitamin group). Folic acid caused a 10- and a 5-fold increase in 5-MTHF and THF, respectively, and lowered tHcy (median tHcy = 17.2 mumol/L at baseline vs 9.0 mumol/L after treatment). Concentrations of unmetabolized FA were positively related to those of 5-MTHF and THF. People showed wide variations in folate forms at baseline, but these were reduced after FA treatment. Folic acid given to older adults is mostly converted to THF and 5-MTHF and lowered concentrations of tHcy, but caused a substantial increase in unmetabolized FA in the plasma.","author":[{"dropping-particle":"","family":"Obeid","given":"R","non-dropping-particle":"","parse-names":false,"suffix":""},{"dropping-particle":"","family":"Kirsch","given":"S H","non-dropping-particle":"","parse-names":false,"suffix":""},{"dropping-particle":"","family":"Kasoha","given":"M","non-dropping-particle":"","parse-names":false,"suffix":""},{"dropping-particle":"","family":"Eckert","given":"R","non-dropping-particle":"","parse-names":false,"suffix":""},{"dropping-particle":"","family":"Herrmann","given":"W","non-dropping-particle":"","parse-names":false,"suffix":""}],"container-title":"Metabolism","id":"ITEM-5","issue":"5","issued":{"date-parts":[["2011"]]},"note":"Obeid, Rima\nKirsch, Susanne H\nKasoha, Mariz\nEckert, Rudolf\nHerrmann, Wolfgang\neng\nRandomized Controlled Trial\n2010/08/24 06:00\nMetabolism. 2011 May;60(5):673-80. doi: 10.1016/j.metabol.2010.06.020. Epub 2010 Aug 19.","page":"673-680","title":"Concentrations of unmetabolized folic acid and primary folate forms in plasma after folic acid treatment in older adults","type":"article-journal","volume":"60"},"uris":["http://www.mendeley.com/documents/?uuid=339f900f-2c3e-4482-9289-d3e7e2d37417"]},{"id":"ITEM-6","itemData":{"DOI":"10.3390/nu8100594","ISSN":"2072-6643","abstract":"Folic acid intake has increased to high levels in many countries, raising concerns about possible adverse effects, including disturbances to energy and lipid metabolism. Our aim was to investigate the effects of excess folic acid (EFA) intake compared to adequate folic acid (AFA) intake on metabolic health in a rodent model. We conducted these investigations in the setting of either a 15% energy low fat (LF) diet or 60% energy high fat (HF) diet. There was no difference in weight gain, fat mass, or glucose tolerance in EFA-fed rats compared to AFA-fed rats when they were fed a LF diet. However, rats fed EFA in combination with a HF diet had significantly greater weight gain and fat mass compared to rats fed AFA (p &lt; 0.05). Gene expression analysis showed increased mRNA levels of peroxisome proliferator-activated receptor γ (PPARγ) and some of its target genes in adipose tissue of high fat-excess folic acid (HF-EFA) fed rats. Inflammation was increased in HF-EFA fed rats, associated with impaired glucose tolerance compared to high fat-adequate folic acid (HF-AFA) fed rats (p &lt; 0.05). In addition, folic acid induced PPARγ expression and triglyceride accumulation in 3T3-L1 cells. Our results suggest that excess folic acid may exacerbate weight gain, fat accumulation, and inflammation caused by consumption of a HF diet.","author":[{"dropping-particle":"","family":"Kelly","given":"Karen","non-dropping-particle":"","parse-names":false,"suffix":""},{"dropping-particle":"","family":"Kennelly","given":"John","non-dropping-particle":"","parse-names":false,"suffix":""},{"dropping-particle":"","family":"Ordonez","given":"Marta","non-dropping-particle":"","parse-names":false,"suffix":""},{"dropping-particle":"","family":"Nelson","given":"Randal","non-dropping-particle":"","parse-names":false,"suffix":""},{"dropping-particle":"","family":"Leonard","given":"Kelly","non-dropping-particle":"","parse-names":false,"suffix":""},{"dropping-particle":"","family":"Stabler","given":"Sally","non-dropping-particle":"","parse-names":false,"suffix":""},{"dropping-particle":"","family":"Gomez-Muñoz","given":"Antonio","non-dropping-particle":"","parse-names":false,"suffix":""},{"dropping-particle":"","family":"Field","given":"Catherine","non-dropping-particle":"","parse-names":false,"suffix":""},{"dropping-particle":"","family":"Jacobs","given":"René","non-dropping-particle":"","parse-names":false,"suffix":""}],"container-title":"Nutrients","id":"ITEM-6","issue":"10","issued":{"date-parts":[["2016","9","23"]]},"page":"594","title":"Excess folic acid increases lipid storage, weight gain, and adipose tissue inflammation in high fat diet-fed rats","type":"article-journal","volume":"8"},"uris":["http://www.mendeley.com/documents/?uuid=0fff266b-8fb9-37f4-9b62-473a6e2aa438"]},{"id":"ITEM-7","itemData":{"abstract":"Objective: Oxidative stress and inflammation play an important role in pathogenesis of alcohol-induced liver injury. The present study was designed to investigate the protective role of Lutein against alcohol-induced liver injury. Treatment: Wistar rats weighing 150-200 g were divided into 3 groups, control, EtOH treatment, Lutein fol-lowed by EtOH treatment. Ethanol-treated rats received EtOH [5 g/kg body weight] by gavage every 12 hours for a total of 3 doses. For Lutein pre-treatment, Lutein at a dose of 40 mg/kg was dissolved in the EtOH and gavaged 30 mins before EtOH treatment. Methods: Oxidative stress markers-(reactive oxygen species, lipid peroxidation, protein carbonyls and sulfhydryls content), liver markers (ALT, AST, ALP and LDH) were determined. Antioxidant enzyme activities and its master regulator Nrf-2 expression were analyzed. Further, inflammatory proteins NF-κB, COX-2, iNOS and inflammatory cytokines (TNF-α, MCP-1, IL-1β, IL-6) were analyzed. Results: The results showed significant decrease in oxidative stress markers and liver markers in the lutein pre-treatment. Lutein treatment down regulated inflammatory proteins and cytokines with concomitant up regulation in Nrf-2 levels and antioxidant enzymic activi-ties. Conclusion: The present study showed that Lutein treatment exerted potent antioxidant and anti-inflammatory property and offered significant cytoprotection against alcohol-induced liver injury.","author":[{"dropping-particle":"","family":"Du","given":"Shi-Yu","non-dropping-particle":"","parse-names":false,"suffix":""},{"dropping-particle":"","family":"Zhang","given":"Yan-Li","non-dropping-particle":"","parse-names":false,"suffix":""},{"dropping-particle":"","family":"Bai","given":"Ru-Xue","non-dropping-particle":"","parse-names":false,"suffix":""},{"dropping-particle":"","family":"Ai","given":"Zheng-Lin","non-dropping-particle":"","parse-names":false,"suffix":""},{"dropping-particle":"","family":"Xie","given":"Bu-Shan","non-dropping-particle":"","parse-names":false,"suffix":""},{"dropping-particle":"","family":"Yang","given":"Hua-Yuan","non-dropping-particle":"","parse-names":false,"suffix":""}],"container-title":"Int J Clin Exp Med","id":"ITEM-7","issue":"6","issued":{"date-parts":[["2015"]]},"page":"8785-8793","title":"Lutein prevents alcohol-induced liver disease in rats by modulating oxidative stress and inflammation","type":"article-journal","volume":"8"},"uris":["http://www.mendeley.com/documents/?uuid=a54ab608-f734-37b1-922b-12a4e0f08b25"]},{"id":"ITEM-8","itemData":{"DOI":"10.1016/j.atherosclerosis.2013.01.021","ISBN":"0021-9150","ISSN":"1879-1484","PMID":"23398944","abstract":"OBJECTIVE: The aim of this study was to determine whether lutein affected biomarkers related to cardiovascular diseases (CVD) in healthy nonsmokers.\\n\\nMETHODS: A randomized, double-blind, placebo-controlled trial of lutein supplementation was conducted in healthy nonsmokers. 117 eligible subjects were randomly assigned to receive 10 or 20 mg/d of lutein or placebo for 12 weeks. Levels of plasma carotenoid concentrations, total antioxidant capacity (TAOC), the lipoprotein profile, and antioxidant enzymes activities were determined at baseline and at 6, and 12 weeks after the initiation of treatment. Biomarkers of oxidative damage to protein and lipids, and C-reactive protein (CRP) concentrations were measured at baseline and after supplementation.\\n\\nRESULTS: Plasma lutein and TAOC significantly increased in both active treatment groups during 12 weeks. A significant reduction was found in malondialdehyde in the 20 mg lutein group. CRP concentration decreased in a dose-dependent manner for lutein supplementation, and there was a significant between-group difference in CRP between the 20 mg lutein and the placebo group. Serum CRP was directly related to the change in plasma lutein and TAOC for both active treatment groups.\\n\\nCONCLUSION: The results support the possibility that lutein supplementation reduce biomarkers of CVD risk via decreased lipid peroxidation and inflammatory response by increasing plasma lutein concentrations and antioxidant capacity.","author":[{"dropping-particle":"","family":"Wang","given":"Ming-Xu","non-dropping-particle":"","parse-names":false,"suffix":""},{"dropping-particle":"","family":"Jiao","given":"Jia-Hui","non-dropping-particle":"","parse-names":false,"suffix":""},{"dropping-particle":"","family":"Li","given":"Ze-Yu","non-dropping-particle":"","parse-names":false,"suffix":""},{"dropping-particle":"","family":"Liu","given":"Ru-Ru","non-dropping-particle":"","parse-names":false,"suffix":""},{"dropping-particle":"","family":"Shi","given":"Qiang","non-dropping-particle":"","parse-names":false,"suffix":""},{"dropping-particle":"","family":"Ma","given":"Le","non-dropping-particle":"","parse-names":false,"suffix":""}],"container-title":"Atherosclerosis","id":"ITEM-8","issue":"2","issued":{"date-parts":[["2013"]]},"page":"380-5","title":"Lutein supplementation reduces plasma lipid peroxidation and C-reactive protein in healthy nonsmokers.","type":"article-journal","volume":"227"},"uris":["http://www.mendeley.com/documents/?uuid=0db56700-2e72-43bc-ae73-d45fca104ac7"]},{"id":"ITEM-9","itemData":{"DOI":"10.1111/nure.12133","ISSN":"00296643","author":[{"dropping-particle":"","family":"Johnson","given":"Elizabeth J","non-dropping-particle":"","parse-names":false,"suffix":""}],"container-title":"Nutrition Reviews","id":"ITEM-9","issue":"9","issued":{"date-parts":[["2014","9"]]},"page":"605-612","title":"Role of lutein and zeaxanthin in visual and cognitive function throughout the lifespan","type":"article-journal","volume":"72"},"uris":["http://www.mendeley.com/documents/?uuid=572fa3d6-7ab7-33dd-b737-bc74313c2108"]},{"id":"ITEM-10","itemData":{"DOI":"10.1039/c4fo00606b","ISSN":"2042-650X","PMID":"25469663","abstract":"In the present study, we appraise the anti-inflammatory efficacy of lutein oxidative degradation derivatives mediated through UV-irradiation over lutein in counteracting the inflammation induced by lipopolysaccharide (LPS) in rats (n = 5 per group). UV-irradiated lutein fragments were identified as anhydrolutein (B, C40H54O), 2,6,6-trimethylcyclohexa-1,4-dienylium (M1, C9H13), (2E,4E,6E,8E)-9-(4-hydroxy-2,6,6-trimethylcyclohex-1-1en-1-yl)-3,7-dimethylnona-2,4,6,8-tetraen-1-ylium (M2, C20H29O), 4-[(1E,3E,5E,7E)-3,7,-dimethyldeca-1,3,5,7-tetraen-1-yl]-3,5,5-methylcyclohex-3-en-1-ol (M3, C21H30O) and zeaxanthin (M4, C40H56O) and its isomers as 13'-Z zeaxanthin, 13'-Z lutein, all-trans zeaxanthin, and 9-Z lutein. Induction of inflammation by LPS significantly increased the production of nitrites (3.3 fold in the serum and 2.6 fold in the liver), prostaglandin E2 (26 fold in the serum), and pro-inflammatory cytokines like tumor necrosis factor-α (6.6 fold in the serum), and interleukin-6 (4.8 fold in the serum). Oxidative derivatives of lutein, especially M1, M2 and M3, ameliorated acute inflammation in rats by inhibiting the production of nitrites, malondialdehyde (MDA), PGE2, TNF-α, and IL-6 cytokines more efficiently than lutein in rats. The anti-inflammatory mechanism of derivatives might be related to the decrease of inflammatory cytokines and the increase of antioxidant enzymes (superoxide dismutase, catalase, glutathione peroxidase, glutathione S transferase, glutathione reductase), which would result in the reduction of iNOS, COX-2 and MDA and subsequently inflammatory responses.","author":[{"dropping-particle":"","family":"Nidhi","given":"Bhatiwada","non-dropping-particle":"","parse-names":false,"suffix":""},{"dropping-particle":"","family":"Sharavana","given":"Gurunathan","non-dropping-particle":"","parse-names":false,"suffix":""},{"dropping-particle":"","family":"Ramaprasad","given":"Talahalli R","non-dropping-particle":"","parse-names":false,"suffix":""},{"dropping-particle":"","family":"Vallikannan","given":"Baskaran","non-dropping-particle":"","parse-names":false,"suffix":""}],"container-title":"Food &amp; function","id":"ITEM-10","issue":"2","issued":{"date-parts":[["2015"]]},"page":"450-60","title":"Lutein derived fragments exhibit higher antioxidant and anti-inflammatory properties than lutein in lipopolysaccharide induced inflammation in rats.","type":"article-journal","volume":"6"},"uris":["http://www.mendeley.com/documents/?uuid=38c59d92-fbe4-475c-a2e2-9405ea31e933"]},{"id":"ITEM-11","itemData":{"DOI":"10.1136/bjo.82.8.907","ISSN":"0007-1161","PMID":"9828775","abstract":"BACKGROUND It has been suggested that eating green leafy vegetables, which are rich in lutein and zeaxanthin, may decrease the risk for age related macular degeneration. The goal of this study was to analyse various fruits and vegetables to establish which ones contain lutein and/or zeaxanthin and can serve as possible dietary supplements for these carotenoids. METHODS Homogenates of 33 fruits and vegetables, two fruit juices, and egg yolk were used for extraction of the carotenoids with hexane. Measurement of the different carotenoids and their isomers was carried out by high performance liquid chromatography using a single column with an isocratic run, and a diode array detector. RESULTS Egg yolk and maize (corn) contained the highest mole percentage (% of total) of lutein and zeaxanthin (more than 85% of the total carotenoids). Maize was the vegetable with the highest quantity of lutein (60% of total) and orange pepper was the vegetable with the highest amount of zeaxanthin (37% of total). Substantial amounts of lutein and zeaxanthin (30-50%) were also present in kiwi fruit, grapes, spinach, orange juice, zucchini (or vegetable marrow), and different kinds of squash. The results show that there are fruits and vegetables of various colours with a relatively high content of lutein and zeaxanthin. CONCLUSIONS Most of the dark green leafy vegetables, previously recommended for a higher intake of lutein and zeaxanthin, have 15-47% of lutein, but a very low content (0-3%) of zeaxanthin. Our study shows that fruits and vegetables of various colours can be consumed to increase dietary intake of lutein and zeaxanthin.","author":[{"dropping-particle":"","family":"Sommerburg","given":"O","non-dropping-particle":"","parse-names":false,"suffix":""},{"dropping-particle":"","family":"Keunen","given":"J E","non-dropping-particle":"","parse-names":false,"suffix":""},{"dropping-particle":"","family":"Bird","given":"A C","non-dropping-particle":"","parse-names":false,"suffix":""},{"dropping-particle":"","family":"Kuijk","given":"F J","non-dropping-particle":"van","parse-names":false,"suffix":""}],"container-title":"The British journal of ophthalmology","id":"ITEM-11","issue":"8","issued":{"date-parts":[["1998","8"]]},"page":"907-10","title":"Fruits and vegetables that are sources for lutein and zeaxanthin: the macular pigment in human eyes.","type":"article-journal","volume":"82"},"uris":["http://www.mendeley.com/documents/?uuid=f0abfd61-aea5-4fb9-92a5-c6805e0b0f66"]}],"mendeley":{"formattedCitation":"(17–27)","plainTextFormattedCitation":"(17–27)","previouslyFormattedCitation":"(17–27)"},"properties":{"noteIndex":0},"schema":"https://github.com/citation-style-language/schema/raw/master/csl-citation.json"}</w:instrText>
            </w:r>
            <w:r w:rsidR="00852A7B" w:rsidRPr="004D453A">
              <w:rPr>
                <w:rFonts w:ascii="Arial" w:hAnsi="Arial" w:cs="Arial"/>
                <w:color w:val="000000" w:themeColor="text1"/>
                <w:sz w:val="18"/>
                <w:szCs w:val="18"/>
              </w:rPr>
              <w:fldChar w:fldCharType="separate"/>
            </w:r>
            <w:r w:rsidR="00E41B39" w:rsidRPr="004D453A">
              <w:rPr>
                <w:rFonts w:ascii="Arial" w:hAnsi="Arial" w:cs="Arial"/>
                <w:noProof/>
                <w:color w:val="000000" w:themeColor="text1"/>
                <w:sz w:val="18"/>
                <w:szCs w:val="18"/>
              </w:rPr>
              <w:t>(17–27)</w:t>
            </w:r>
            <w:r w:rsidR="00852A7B"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549040DA"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-0.14</w:t>
            </w:r>
          </w:p>
        </w:tc>
      </w:tr>
      <w:tr w:rsidR="003B1705" w:rsidRPr="004D453A" w14:paraId="1F50CB5F" w14:textId="77777777" w:rsidTr="003B1705">
        <w:trPr>
          <w:trHeight w:val="864"/>
        </w:trPr>
        <w:tc>
          <w:tcPr>
            <w:tcW w:w="1046" w:type="pct"/>
            <w:tcBorders>
              <w:top w:val="nil"/>
              <w:left w:val="nil"/>
              <w:bottom w:val="nil"/>
              <w:right w:val="nil"/>
            </w:tcBorders>
            <w:shd w:val="clear" w:color="000000" w:fill="FFFFFF"/>
            <w:hideMark/>
          </w:tcPr>
          <w:p w14:paraId="62A3A73F"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lastRenderedPageBreak/>
              <w:t>Legumes</w:t>
            </w:r>
          </w:p>
        </w:tc>
        <w:tc>
          <w:tcPr>
            <w:tcW w:w="1324" w:type="pct"/>
            <w:tcBorders>
              <w:top w:val="nil"/>
              <w:left w:val="nil"/>
              <w:bottom w:val="nil"/>
              <w:right w:val="nil"/>
            </w:tcBorders>
            <w:shd w:val="clear" w:color="000000" w:fill="FFFFFF"/>
            <w:hideMark/>
          </w:tcPr>
          <w:p w14:paraId="3B541472"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String beans, peas, lima beans, lentils, and beans (excluding soybeans)</w:t>
            </w:r>
          </w:p>
        </w:tc>
        <w:tc>
          <w:tcPr>
            <w:tcW w:w="2161" w:type="pct"/>
            <w:tcBorders>
              <w:top w:val="nil"/>
              <w:left w:val="nil"/>
              <w:bottom w:val="nil"/>
              <w:right w:val="nil"/>
            </w:tcBorders>
            <w:shd w:val="clear" w:color="000000" w:fill="FFFFFF"/>
            <w:hideMark/>
          </w:tcPr>
          <w:p w14:paraId="23A13D38" w14:textId="21DDEAA2"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Contain folacin, iron, isoflavones, protein, vitamin B6, and have a high antioxidant capacity; rich in fiber, which is associated with beneficial alterations to the gut microbiota, reducing immune response in the gu</w:t>
            </w:r>
            <w:r w:rsidR="00852A7B" w:rsidRPr="004D453A">
              <w:rPr>
                <w:rFonts w:ascii="Arial" w:hAnsi="Arial" w:cs="Arial"/>
                <w:color w:val="000000" w:themeColor="text1"/>
                <w:sz w:val="18"/>
                <w:szCs w:val="18"/>
              </w:rPr>
              <w:t xml:space="preserve">t </w:t>
            </w:r>
            <w:r w:rsidR="00852A7B"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{"citationItems":[{"id":"ITEM-1","itemData":{"DOI":"10.1093/ajcn/73.4.673","ISSN":"0002-9165","PMID":"11273841","abstract":"The vascular endothelium is the primary site of dysfunction in many diseases, particularly cardiovascular disease. A variety of risk factors, including smoking, hypercholesterolemia, hyperhomocysteinemia, hypertension, and diabetes mellitus, adversely affect endothelial function. Emerging evidence suggests an important role of dietary factors in modulating endothelial function. In particular, n-3 fatty acids, antioxidant vitamins (especially vitamins E and C), folic acid, and L-arginine appear to have beneficial effects on vascular endothelial function, either by decreasing endothelial activation or by improving endothelium-dependent vasodilation in patients at high risk of cardiovascular disease as well as in healthy subjects. These effects may serve as one potential mechanism through which these nutrients reduce the risk of cardiovascular disease, as observed in epidemiologic studies and several clinical trials. This article reviews clinical and experimental evidence regarding the role of these nutrients in modulating endothelial function and their potential to prevent cardiovascular disease.","author":[{"dropping-particle":"","family":"Brown","given":"A A","non-dropping-particle":"","parse-names":false,"suffix":""},{"dropping-particle":"","family":"Hu","given":"F B","non-dropping-particle":"","parse-names":false,"suffix":""}],"container-title":"The American journal of clinical nutrition","id":"ITEM-1","issue":"4","issued":{"date-parts":[["2001","4"]]},"page":"673-86","title":"Dietary modulation of endothelial function: implications for cardiovascular disease.","type":"article-journal","volume":"73"},"uris":["http://www.mendeley.com/documents/?uuid=022f75da-0b6a-3553-a176-e92e250802a1"]},{"id":"ITEM-2","itemData":{"DOI":"10.1038/ni.3754","abstract":"Quantitative and qualitative aspects of nutrition have a profound effect on leukocytes and thereby affect proinflammatory carcinogenic effects or anticancer immune responses. As a result, nutrition affects the incidence, natural progression and therapeutic response of malignant diseases, both in humans and in preclinical animal models. Here we discuss the molecular mechanisms through which alimentary cues modulate metabolic, microbial and neuroendocrine circuitries and thus affect the probability of developing premalignant lesions that progress to clinically manifested disease and the response to therapeutic intervention. We examine each of the connections that compose the triangle of nutrition, immunological and inflammatory reactions and cancer while focusing on the mechanistic aspects of these relationships","author":[{"dropping-particle":"","family":"Zitvogel","given":"Laurence","non-dropping-particle":"","parse-names":false,"suffix":""},{"dropping-particle":"","family":"Pietrocola","given":"Federico","non-dropping-particle":"","parse-names":false,"suffix":""},{"dropping-particle":"","family":"Kroemer","given":"Guido","non-dropping-particle":"","parse-names":false,"suffix":""}],"container-title":"Nature Immunology","id":"ITEM-2","issue":"8","issued":{"date-parts":[["2017"]]},"page":"843-850","title":"Nutrition, inflammation and cancer","type":"article-journal","volume":"18"},"uris":["http://www.mendeley.com/documents/?uuid=2cf2a4bf-5db3-4cf7-9d1a-7dd5620a78be"]},{"id":"ITEM-3","itemData":{"DOI":"10.3945/jn.109.114249","ISBN":"1541-6100 (Electronic)\r0022-3166 (Linking)","PMID":"19889807","abstract":"The Legume Inflammation Feeding Experiment is, to our knowledge, the first randomized crossover feeding trial testing the effects of a legume-enriched, low-glycemic index (GI) diet among men characterized for colorectal adenomas and insulin resistance (IR) status. This study was designed to test the effects of a legume-enriched diet compared with a healthy American (HA) diet under weight-stable conditions. The primary objective was to assess effects on C-reactive protein (CRP) and C-peptide levels. The secondary objective was to assess changes by IR status or history of adenomas. A total of 64 men who completed a colonoscopy within the previous 2 y consumed 2 diets in random order each for 4 wk separated by a washout period. The diets were a legume-enriched (250 g/d), low-GI (GI 38) diet and a high-GI (GI 69) HA diet. We measured fasting glucose, insulin, C-peptide, CRP, and soluble tumor necrosis factor-alpha receptors I and II (sTNFRI/II) at the beginning and end of the diet periods. Participants who consumed both the legume and HA diets had favorably improved CRP (-20.2 and -18.3%) and sTNFRI (-3.7 and -4.4%) concentrations, respectively. The sTNFRII concentrations declined marginally during the legume diet period (-3.8%; P = 0.060) and significantly during the HA diet period (-5.1%; P &lt; 0.001). Fasting glucose increased significantly during both the legume (+1.8%) and HA (-2.2%) diet periods. Only the changes in glucose differed between the diet periods. Serum C-peptide and plasma insulin levels did not change in participants consuming either diet. Healthful dietary changes can improve biomarkers of IR and inflammation.","author":[{"dropping-particle":"","family":"Hartman","given":"T J","non-dropping-particle":"","parse-names":false,"suffix":""},{"dropping-particle":"","family":"Albert","given":"P S","non-dropping-particle":"","parse-names":false,"suffix":""},{"dropping-particle":"","family":"Zhang","given":"Z","non-dropping-particle":"","parse-names":false,"suffix":""},{"dropping-particle":"","family":"Bagshaw","given":"D","non-dropping-particle":"","parse-names":false,"suffix":""},{"dropping-particle":"","family":"Kris-Etherton","given":"P M","non-dropping-particle":"","parse-names":false,"suffix":""},{"dropping-particle":"","family":"Ulbrecht","given":"J","non-dropping-particle":"","parse-names":false,"suffix":""},{"dropping-particle":"","family":"Miller","given":"C K","non-dropping-particle":"","parse-names":false,"suffix":""},{"dropping-particle":"","family":"Bobe","given":"G","non-dropping-particle":"","parse-names":false,"suffix":""},{"dropping-particle":"","family":"Colburn","given":"N H","non-dropping-particle":"","parse-names":false,"suffix":""},{"dropping-particle":"","family":"Lanza","given":"E","non-dropping-particle":"","parse-names":false,"suffix":""}],"container-title":"J Nutr","id":"ITEM-3","issue":"1","issued":{"date-parts":[["2010"]]},"note":"Hartman, Terryl J\nAlbert, Paul S\nZhang, Zhiying\nBagshaw, Deborah\nKris-Etherton, Penny M\nUlbrecht, Jan\nMiller, Carla K\nBobe, Gerd\nColburn, Nancy H\nLanza, Elaine\neng\nM01 RR010732/RR/NCRR NIH HHS/\nM01 RR 10732/RR/NCRR NIH HHS/\nRandomized Controlled Trial\nResearch Support, N.I.H., Extramural\n2009/11/06 06:00\nJ Nutr. 2010 Jan;140(1):60-7. doi: 10.3945/jn.109.114249. Epub 2009 Nov 4.","page":"60-67","title":"Consumption of a legume-enriched, low-glycemic index diet is associated with biomarkers of insulin resistance and inflammation among men at risk for colorectal cancer","type":"article-journal","volume":"140"},"uris":["http://www.mendeley.com/documents/?uuid=d2f26264-b122-487b-b464-8d7918c28305"]}],"mendeley":{"formattedCitation":"(10,20,28)","plainTextFormattedCitation":"(10,20,28)","previouslyFormattedCitation":"(10,20,28)"},"properties":{"noteIndex":0},"schema":"https://github.com/citation-style-language/schema/raw/master/csl-citation.json"}</w:instrText>
            </w:r>
            <w:r w:rsidR="00852A7B" w:rsidRPr="004D453A">
              <w:rPr>
                <w:rFonts w:ascii="Arial" w:hAnsi="Arial" w:cs="Arial"/>
                <w:color w:val="000000" w:themeColor="text1"/>
                <w:sz w:val="18"/>
                <w:szCs w:val="18"/>
              </w:rPr>
              <w:fldChar w:fldCharType="separate"/>
            </w:r>
            <w:r w:rsidR="000B1368" w:rsidRPr="004D453A">
              <w:rPr>
                <w:rFonts w:ascii="Arial" w:hAnsi="Arial" w:cs="Arial"/>
                <w:noProof/>
                <w:color w:val="000000" w:themeColor="text1"/>
                <w:sz w:val="18"/>
                <w:szCs w:val="18"/>
              </w:rPr>
              <w:t>(10,20,28)</w:t>
            </w:r>
            <w:r w:rsidR="00852A7B"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7BB66515"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-0.04</w:t>
            </w:r>
          </w:p>
        </w:tc>
      </w:tr>
      <w:tr w:rsidR="003B1705" w:rsidRPr="004D453A" w14:paraId="776DCA07" w14:textId="77777777" w:rsidTr="003B1705">
        <w:trPr>
          <w:trHeight w:val="720"/>
        </w:trPr>
        <w:tc>
          <w:tcPr>
            <w:tcW w:w="1046" w:type="pct"/>
            <w:tcBorders>
              <w:top w:val="nil"/>
              <w:left w:val="nil"/>
              <w:bottom w:val="nil"/>
              <w:right w:val="nil"/>
            </w:tcBorders>
            <w:shd w:val="clear" w:color="000000" w:fill="FFFFFF"/>
            <w:hideMark/>
          </w:tcPr>
          <w:p w14:paraId="7996AEFC"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 xml:space="preserve">Low-fat dairy </w:t>
            </w:r>
          </w:p>
        </w:tc>
        <w:tc>
          <w:tcPr>
            <w:tcW w:w="1324" w:type="pct"/>
            <w:tcBorders>
              <w:top w:val="nil"/>
              <w:left w:val="nil"/>
              <w:bottom w:val="nil"/>
              <w:right w:val="nil"/>
            </w:tcBorders>
            <w:shd w:val="clear" w:color="000000" w:fill="FFFFFF"/>
            <w:hideMark/>
          </w:tcPr>
          <w:p w14:paraId="24C3F196"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Skim milk, 1% milk, low-fat yogurt, low-fat ice cream, low-fat cottage or ricotta cheese, low-fat cheeses</w:t>
            </w:r>
          </w:p>
        </w:tc>
        <w:tc>
          <w:tcPr>
            <w:tcW w:w="2161" w:type="pct"/>
            <w:tcBorders>
              <w:top w:val="nil"/>
              <w:left w:val="nil"/>
              <w:bottom w:val="nil"/>
              <w:right w:val="nil"/>
            </w:tcBorders>
            <w:shd w:val="clear" w:color="000000" w:fill="FFFFFF"/>
            <w:hideMark/>
          </w:tcPr>
          <w:p w14:paraId="0C17BAAC"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Similar mechanisms to high-fat dairy (see mechanisms above), with lower fat content</w:t>
            </w:r>
          </w:p>
        </w:tc>
        <w:tc>
          <w:tcPr>
            <w:tcW w:w="469" w:type="pct"/>
            <w:tcBorders>
              <w:top w:val="nil"/>
              <w:left w:val="nil"/>
              <w:bottom w:val="nil"/>
              <w:right w:val="nil"/>
            </w:tcBorders>
            <w:shd w:val="clear" w:color="000000" w:fill="FFFFFF"/>
            <w:hideMark/>
          </w:tcPr>
          <w:p w14:paraId="05610E49"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-0.12</w:t>
            </w:r>
          </w:p>
        </w:tc>
      </w:tr>
      <w:tr w:rsidR="003B1705" w:rsidRPr="004D453A" w14:paraId="3256580F" w14:textId="77777777" w:rsidTr="003B1705">
        <w:trPr>
          <w:trHeight w:val="1170"/>
        </w:trPr>
        <w:tc>
          <w:tcPr>
            <w:tcW w:w="1046" w:type="pct"/>
            <w:tcBorders>
              <w:top w:val="nil"/>
              <w:left w:val="nil"/>
              <w:bottom w:val="nil"/>
              <w:right w:val="nil"/>
            </w:tcBorders>
            <w:shd w:val="clear" w:color="000000" w:fill="FFFFFF"/>
            <w:hideMark/>
          </w:tcPr>
          <w:p w14:paraId="49EC61A2"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 xml:space="preserve">Nuts </w:t>
            </w:r>
          </w:p>
        </w:tc>
        <w:tc>
          <w:tcPr>
            <w:tcW w:w="1324" w:type="pct"/>
            <w:tcBorders>
              <w:top w:val="nil"/>
              <w:left w:val="nil"/>
              <w:bottom w:val="nil"/>
              <w:right w:val="nil"/>
            </w:tcBorders>
            <w:shd w:val="clear" w:color="000000" w:fill="FFFFFF"/>
            <w:hideMark/>
          </w:tcPr>
          <w:p w14:paraId="0C6A5DB2"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Peanut butter, peanuts, other nuts</w:t>
            </w:r>
          </w:p>
        </w:tc>
        <w:tc>
          <w:tcPr>
            <w:tcW w:w="2161" w:type="pct"/>
            <w:tcBorders>
              <w:top w:val="nil"/>
              <w:left w:val="nil"/>
              <w:bottom w:val="nil"/>
              <w:right w:val="nil"/>
            </w:tcBorders>
            <w:shd w:val="clear" w:color="000000" w:fill="FFFFFF"/>
            <w:hideMark/>
          </w:tcPr>
          <w:p w14:paraId="679920F8" w14:textId="7F10E63B"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Contain Ω -3 fatty acids</w:t>
            </w:r>
            <w:r w:rsidR="00852A7B" w:rsidRPr="004D453A">
              <w:rPr>
                <w:rFonts w:ascii="Arial" w:hAnsi="Arial" w:cs="Arial"/>
                <w:color w:val="000000" w:themeColor="text1"/>
                <w:sz w:val="18"/>
                <w:szCs w:val="18"/>
              </w:rPr>
              <w:t xml:space="preserve"> </w:t>
            </w:r>
            <w:r w:rsidR="00852A7B"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{"citationItems":[{"id":"ITEM-1","itemData":{"DOI":"10.1080/07315724.2002.10719248","ISSN":"0731-5724","PMID":"12480795","abstract":"Among the fatty acids, it is the omega-3 polyunsaturated fatty acids (PUFA) which possess the most potent immunomodulatory activities, and among the omega-3 PUFA, those from fish oil-eicosapentaenoic acid (EPA) and docosahexaenoic acid (DHA)--are more biologically potent than alpha-linolenic acid (ALA). Some of the effects of omega-3 PUFA are brought about by modulation of the amount and types of eicosanoids made, and other effects are elicited by eicosanoid-independent mechanisms, including actions upon intracellular signaling pathways, transcription factor activity and gene expression. Animal experiments and clinical intervention studies indicate that omega-3 fatty acids have anti-inflammatory properties and, therefore, might be useful in the management of inflammatory and autoimmune diseases. Coronary heart disease, major depression, aging and cancer are characterized by an increased level of interleukin 1 (IL-1), a proinflammatory cytokine. Similarly, arthritis, Crohn's disease, ulcerative colitis and lupus erythematosis are autoimmune diseases characterized by a high level of IL-1 and the proinflammatory leukotriene LTB(4) produced by omega-6 fatty acids. There have been a number of clinical trials assessing the benefits of dietary supplementation with fish oils in several inflammatory and autoimmune diseases in humans, including rheumatoid arthritis, Crohn's disease, ulcerative colitis, psoriasis, lupus erythematosus, multiple sclerosis and migraine headaches. Many of the placebo-controlled trials of fish oil in chronic inflammatory diseases reveal significant benefit, including decreased disease activity and a lowered use of anti-inflammatory drugs.","author":[{"dropping-particle":"","family":"Simopoulos","given":"Artemis P","non-dropping-particle":"","parse-names":false,"suffix":""}],"container-title":"Journal of the American College of Nutrition","id":"ITEM-1","issue":"6","issued":{"date-parts":[["2002","12"]]},"page":"495-505","title":"Omega-3 fatty acids in inflammation and autoimmune diseases.","type":"article-journal","volume":"21"},"uris":["http://www.mendeley.com/documents/?uuid=c6b09b97-fa1a-4f99-ad14-6742a3c2142b"]},{"id":"ITEM-2","itemData":{"DOI":"10.1111/j.1753-4887.2010.00287.x","ISBN":"1753-4887 (Electronic)\r0029-6643 (Linking)","PMID":"20500789","abstract":"Omega-6 (n-6) and omega-3 (n-3) polyunsaturated fatty acids (PUFA) are precursors of potent lipid mediators, termed eicosanoids, which play an important role in the regulation of inflammation. Eicosanoids derived from n-6 PUFAs (e.g., arachidonic acid) have proinflammatory and immunoactive functions, whereas eicosanoids derived from n-3 PUFAs [e.g., eicosapentaenoic acid (EPA) and docosahexaenoic acid (DHA)] have anti-inflammatory properties, traditionally attributed to their ability to inhibit the formation of n-6 PUFA-derived eicosanoids. While the typical Western diet has a much greater ratio of n-6 PUFAs compared with n-3 PUFAs, research has shown that by increasing the ratio of n-3 to n-6 fatty acids in the diet, and consequently favoring the production of EPA in the body, or by increasing the dietary intake of EPA and DHA through consumption of fatty fish or fish-oil supplements, reductions may be achieved in the incidence of many chronic diseases that involve inflammatory processes; most notably, these include cardiovascular diseases, inflammatory bowel disease (IBD), cancer, and rheumatoid arthritis, but psychiatric and neurodegenerative illnesses are other examples.","author":[{"dropping-particle":"","family":"Wall","given":"R","non-dropping-particle":"","parse-names":false,"suffix":""},{"dropping-particle":"","family":"Ross","given":"R P","non-dropping-particle":"","parse-names":false,"suffix":""},{"dropping-particle":"","family":"Fitzgerald","given":"G F","non-dropping-particle":"","parse-names":false,"suffix":""},{"dropping-particle":"","family":"Stanton","given":"C","non-dropping-particle":"","parse-names":false,"suffix":""}],"container-title":"Nutr Rev","id":"ITEM-2","issue":"5","issued":{"date-parts":[["2010"]]},"note":"Wall, Rebecca\nRoss, R Paul\nFitzgerald, Gerald F\nStanton, Catherine\neng\nResearch Support, Non-U.S. Gov't\nReview\n2010/05/27 06:00\nNutr Rev. 2010 May;68(5):280-9. doi: 10.1111/j.1753-4887.2010.00287.x.","page":"280-289","title":"Fatty acids from fish: the anti-inflammatory potential of long-chain omega-3 fatty acids","type":"article-journal","volume":"68"},"uris":["http://www.mendeley.com/documents/?uuid=dcfbcff6-aa81-439d-8f2e-184f2ba7557d"]},{"id":"ITEM-3","itemData":{"abstract":"The beneficial effects of nut consumption on cardiovascular disease (CVD) have been widely documented. These protective effects are mainly attributed to the role of nuts in the metabolism of lipids and lipoproteins. As chronic inflammation is a key early stage in the atherosclerotic process that predicts future CVD events and is closely related to the pathogenesis of insulin resistance, many recent studies have focused on the potential effect of nut consumption on inflammation and insulin resistance. Through different mechanisms, some components of nuts such as magnesium, fiber, α-linolenic acid, L-arginine, antioxidants and MUFA may protect against in-flammation and insulin resistance. This review evaluates the epidemiologic and experimental evidence in hu-mans demonstrating an association between nut consumption and these two emergent cardio-protective mecha-nisms. INTRODUCTION A large body of evidence from epidemiological studies and controlled clinical trials demonstrates the multiple beneficial effects of nut consumption on CVD and other chronic conditions. In the past two decades, the favorable effect of nut consumption on plasma lipids and lipopro-teins appeared to be one of the main mechanisms ac-counting for the cardiovascular benefits observed. 1,2 In recent years, however, researchers have primarily focused on studying other novel cardio-protective mechanisms of nuts, including decreasing susceptibility to LDL oxidation, decreasing inflammation processes, improving endothe-lial function and decreasing insulin resistance. 3 The pur-pose of this article is to review the epidemiologic and experimental evidence in human studies that show an association between nut consumption, inflammation and insulin resistance. Chronic inflammation is a key early stage in the atherosclerotic process that predicts future CVD events. 2,4","author":[{"dropping-particle":"","family":"Casas-Agustench","given":"Patricia","non-dropping-particle":"","parse-names":false,"suffix":""},{"dropping-particle":"","family":"Bulló","given":"Mònica","non-dropping-particle":"","parse-names":false,"suffix":""},{"dropping-particle":"","family":"Salas-Salvadó","given":"Jordi","non-dropping-particle":"","parse-names":false,"suffix":""}],"container-title":"Asia Pac J Clin Nutr","id":"ITEM-3","issue":"1","issued":{"date-parts":[["2010"]]},"page":"124-130","title":"Nuts, inflammation and insulin resistance","type":"article-journal","volume":"19"},"uris":["http://www.mendeley.com/documents/?uuid=2cc2b49d-12a2-3cc7-85b4-6f8e607d415d"]},{"id":"ITEM-4","itemData":{"DOI":"10.1016/j.jacc.2006.03.052","ISBN":"0735-1097","ISSN":"07351097","PMID":"16904534","abstract":"Reducing the incidence of coronary heart disease with diet is possible. The main dietary strategies include adequate omega-3 fatty acids intake, reduction of saturated and trans-fats, and consumption of a diet high in fruits, vegetables, nuts, and whole grains and low in refined grains. Each of these strategies may be associated with lower generation of inflammation. This review examines the epidemiologic and clinical evidence concerning diet and inflammation. Dietary patterns high in refined starches, sugar, and saturated and trans-fatty acids, poor in natural antioxidants and fiber from fruits, vegetables, and whole grains, and poor in omega-3 fatty acids may cause an activation of the innate immune system, most likely by an excessive production of proinflammatory cytokines associated with a reduced production of anti-inflammatory cytokines. The whole diet approach seems particularly promising to reduce the inflammation associated with the metabolic syndrome. The choice of healthy sources of carbohydrate, fat, and protein, associated with regular physical activity and avoidance of smoking, is critical to fighting the war against chronic disease. Western dietary patterns warm up inflammation, while prudent dietary patterns cool it down. © 2006 American College of Cardiology Foundation.","author":[{"dropping-particle":"","family":"Giugliano","given":"Dario","non-dropping-particle":"","parse-names":false,"suffix":""},{"dropping-particle":"","family":"Ceriello","given":"Antonio","non-dropping-particle":"","parse-names":false,"suffix":""},{"dropping-particle":"","family":"Esposito","given":"Katherine","non-dropping-particle":"","parse-names":false,"suffix":""}],"container-title":"Journal of the American College of Cardiology","id":"ITEM-4","issue":"4","issued":{"date-parts":[["2006"]]},"page":"677-685","title":"The effects of diet on inflammation: emphasis on the metabolic syndrome","type":"article-journal","volume":"48"},"uris":["http://www.mendeley.com/documents/?uuid=59017308-cdbe-426f-b2b5-5efaa1d49272"]}],"mendeley":{"formattedCitation":"(3,12,29,30)","plainTextFormattedCitation":"(3,12,29,30)","previouslyFormattedCitation":"(3,12,29,30)"},"properties":{"noteIndex":0},"schema":"https://github.com/citation-style-language/schema/raw/master/csl-citation.json"}</w:instrText>
            </w:r>
            <w:r w:rsidR="00852A7B" w:rsidRPr="004D453A">
              <w:rPr>
                <w:rFonts w:ascii="Arial" w:hAnsi="Arial" w:cs="Arial"/>
                <w:color w:val="000000" w:themeColor="text1"/>
                <w:sz w:val="18"/>
                <w:szCs w:val="18"/>
              </w:rPr>
              <w:fldChar w:fldCharType="separate"/>
            </w:r>
            <w:r w:rsidR="000B1368" w:rsidRPr="004D453A">
              <w:rPr>
                <w:rFonts w:ascii="Arial" w:hAnsi="Arial" w:cs="Arial"/>
                <w:noProof/>
                <w:color w:val="000000" w:themeColor="text1"/>
                <w:sz w:val="18"/>
                <w:szCs w:val="18"/>
              </w:rPr>
              <w:t>(3,12,29,30)</w:t>
            </w:r>
            <w:r w:rsidR="00852A7B" w:rsidRPr="004D453A">
              <w:rPr>
                <w:rFonts w:ascii="Arial" w:hAnsi="Arial" w:cs="Arial"/>
                <w:color w:val="000000" w:themeColor="text1"/>
                <w:sz w:val="18"/>
                <w:szCs w:val="18"/>
              </w:rPr>
              <w:fldChar w:fldCharType="end"/>
            </w:r>
            <w:r w:rsidR="00852A7B" w:rsidRPr="00615CA1">
              <w:rPr>
                <w:rFonts w:ascii="Arial" w:hAnsi="Arial" w:cs="Arial"/>
                <w:color w:val="000000" w:themeColor="text1"/>
                <w:sz w:val="18"/>
                <w:szCs w:val="18"/>
              </w:rPr>
              <w:t xml:space="preserve"> </w:t>
            </w:r>
            <w:r w:rsidRPr="004D453A">
              <w:rPr>
                <w:rFonts w:ascii="Arial" w:hAnsi="Arial" w:cs="Arial"/>
                <w:color w:val="000000" w:themeColor="text1"/>
                <w:sz w:val="18"/>
                <w:szCs w:val="18"/>
              </w:rPr>
              <w:t xml:space="preserve">(mechanisms similar to those described above in ‘Fish’) and contain </w:t>
            </w:r>
            <w:r w:rsidRPr="004D453A">
              <w:rPr>
                <w:rFonts w:ascii="Arial" w:hAnsi="Arial" w:cs="Arial"/>
                <w:i/>
                <w:iCs/>
                <w:color w:val="000000" w:themeColor="text1"/>
                <w:sz w:val="18"/>
                <w:szCs w:val="18"/>
              </w:rPr>
              <w:t>l</w:t>
            </w:r>
            <w:r w:rsidRPr="004D453A">
              <w:rPr>
                <w:rFonts w:ascii="Arial" w:hAnsi="Arial" w:cs="Arial"/>
                <w:color w:val="000000" w:themeColor="text1"/>
                <w:sz w:val="18"/>
                <w:szCs w:val="18"/>
              </w:rPr>
              <w:t>-arginine</w:t>
            </w:r>
            <w:r w:rsidR="00852A7B" w:rsidRPr="004D453A">
              <w:rPr>
                <w:rFonts w:ascii="Arial" w:hAnsi="Arial" w:cs="Arial"/>
                <w:color w:val="000000" w:themeColor="text1"/>
                <w:sz w:val="18"/>
                <w:szCs w:val="18"/>
              </w:rPr>
              <w:t xml:space="preserve"> </w:t>
            </w:r>
            <w:r w:rsidR="00852A7B"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{"citationItems":[{"id":"ITEM-1","itemData":{"DOI":"10.1093/ajcn/73.4.673","ISSN":"0002-9165","PMID":"11273841","abstract":"The vascular endothelium is the primary site of dysfunction in many diseases, particularly cardiovascular disease. A variety of risk factors, including smoking, hypercholesterolemia, hyperhomocysteinemia, hypertension, and diabetes mellitus, adversely affect endothelial function. Emerging evidence suggests an important role of dietary factors in modulating endothelial function. In particular, n-3 fatty acids, antioxidant vitamins (especially vitamins E and C), folic acid, and L-arginine appear to have beneficial effects on vascular endothelial function, either by decreasing endothelial activation or by improving endothelium-dependent vasodilation in patients at high risk of cardiovascular disease as well as in healthy subjects. These effects may serve as one potential mechanism through which these nutrients reduce the risk of cardiovascular disease, as observed in epidemiologic studies and several clinical trials. This article reviews clinical and experimental evidence regarding the role of these nutrients in modulating endothelial function and their potential to prevent cardiovascular disease.","author":[{"dropping-particle":"","family":"Brown","given":"A A","non-dropping-particle":"","parse-names":false,"suffix":""},{"dropping-particle":"","family":"Hu","given":"F B","non-dropping-particle":"","parse-names":false,"suffix":""}],"container-title":"The American journal of clinical nutrition","id":"ITEM-1","issue":"4","issued":{"date-parts":[["2001","4"]]},"page":"673-86","title":"Dietary modulation of endothelial function: implications for cardiovascular disease.","type":"article-journal","volume":"73"},"uris":["http://www.mendeley.com/documents/?uuid=022f75da-0b6a-3553-a176-e92e250802a1"]}],"mendeley":{"formattedCitation":"(20)","plainTextFormattedCitation":"(20)","previouslyFormattedCitation":"(20)"},"properties":{"noteIndex":0},"schema":"https://github.com/citation-style-language/schema/raw/master/csl-citation.json"}</w:instrText>
            </w:r>
            <w:r w:rsidR="00852A7B"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(20)</w:t>
            </w:r>
            <w:r w:rsidR="00852A7B" w:rsidRPr="004D453A">
              <w:rPr>
                <w:rFonts w:ascii="Arial" w:hAnsi="Arial" w:cs="Arial"/>
                <w:color w:val="000000" w:themeColor="text1"/>
                <w:sz w:val="18"/>
                <w:szCs w:val="18"/>
              </w:rPr>
              <w:fldChar w:fldCharType="end"/>
            </w:r>
            <w:r w:rsidRPr="00615CA1">
              <w:rPr>
                <w:rFonts w:ascii="Arial" w:hAnsi="Arial" w:cs="Arial"/>
                <w:color w:val="000000" w:themeColor="text1"/>
                <w:sz w:val="18"/>
                <w:szCs w:val="18"/>
              </w:rPr>
              <w:t>, which improves endothelium-dependent dilation (precursor of the endogenous vasodilator nitric oxide) and decreases platelet aggregation and monocyte adhesion</w:t>
            </w:r>
            <w:r w:rsidR="00852A7B" w:rsidRPr="004D453A">
              <w:rPr>
                <w:rFonts w:ascii="Arial" w:hAnsi="Arial" w:cs="Arial"/>
                <w:color w:val="000000" w:themeColor="text1"/>
                <w:sz w:val="18"/>
                <w:szCs w:val="18"/>
              </w:rPr>
              <w:t xml:space="preserve"> </w:t>
            </w:r>
            <w:r w:rsidR="00852A7B"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{"citationItems":[{"id":"ITEM-1","itemData":{"DOI":"10.1093/ajcn/73.4.673","ISSN":"0002-9165","PMID":"11273841","abstract":"The vascular endothelium is the primary site of dysfunction in many diseases, particularly cardiovascular disease. A variety of risk factors, including smoking, hypercholesterolemia, hyperhomocysteinemia, hypertension, and diabetes mellitus, adversely affect endothelial function. Emerging evidence suggests an important role of dietary factors in modulating endothelial function. In particular, n-3 fatty acids, antioxidant vitamins (especially vitamins E and C), folic acid, and L-arginine appear to have beneficial effects on vascular endothelial function, either by decreasing endothelial activation or by improving endothelium-dependent vasodilation in patients at high risk of cardiovascular disease as well as in healthy subjects. These effects may serve as one potential mechanism through which these nutrients reduce the risk of cardiovascular disease, as observed in epidemiologic studies and several clinical trials. This article reviews clinical and experimental evidence regarding the role of these nutrients in modulating endothelial function and their potential to prevent cardiovascular disease.","author":[{"dropping-particle":"","family":"Brown","given":"A A","non-dropping-particle":"","parse-names":false,"suffix":""},{"dropping-particle":"","family":"Hu","given":"F B","non-dropping-particle":"","parse-names":false,"suffix":""}],"container-title":"The American journal of clinical nutrition","id":"ITEM-1","issue":"4","issued":{"date-parts":[["2001","4"]]},"page":"673-86","title":"Dietary modulation of endothelial function: implications for cardiovascular disease.","type":"article-journal","volume":"73"},"uris":["http://www.mendeley.com/documents/?uuid=022f75da-0b6a-3553-a176-e92e250802a1"]}],"mendeley":{"formattedCitation":"(20)","plainTextFormattedCitation":"(20)","previouslyFormattedCitation":"(20)"},"properties":{"noteIndex":0},"schema":"https://github.com/citation-style-language/schema/raw/master/csl-citation.json"}</w:instrText>
            </w:r>
            <w:r w:rsidR="00852A7B"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(20)</w:t>
            </w:r>
            <w:r w:rsidR="00852A7B" w:rsidRPr="004D453A">
              <w:rPr>
                <w:rFonts w:ascii="Arial" w:hAnsi="Arial" w:cs="Arial"/>
                <w:color w:val="000000" w:themeColor="text1"/>
                <w:sz w:val="18"/>
                <w:szCs w:val="18"/>
              </w:rPr>
              <w:fldChar w:fldCharType="end"/>
            </w:r>
            <w:r w:rsidRPr="00615CA1">
              <w:rPr>
                <w:rFonts w:ascii="Arial" w:hAnsi="Arial" w:cs="Arial"/>
                <w:color w:val="000000" w:themeColor="text1"/>
                <w:sz w:val="18"/>
                <w:szCs w:val="18"/>
              </w:rPr>
              <w:t xml:space="preserve"> </w:t>
            </w:r>
          </w:p>
        </w:tc>
        <w:tc>
          <w:tcPr>
            <w:tcW w:w="469" w:type="pct"/>
            <w:tcBorders>
              <w:top w:val="nil"/>
              <w:left w:val="nil"/>
              <w:bottom w:val="nil"/>
              <w:right w:val="nil"/>
            </w:tcBorders>
            <w:shd w:val="clear" w:color="000000" w:fill="FFFFFF"/>
            <w:hideMark/>
          </w:tcPr>
          <w:p w14:paraId="7892C9D8"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-0.44</w:t>
            </w:r>
          </w:p>
        </w:tc>
      </w:tr>
      <w:tr w:rsidR="003B1705" w:rsidRPr="004D453A" w14:paraId="7D8608BD" w14:textId="77777777" w:rsidTr="003B1705">
        <w:trPr>
          <w:trHeight w:val="1350"/>
        </w:trPr>
        <w:tc>
          <w:tcPr>
            <w:tcW w:w="1046" w:type="pct"/>
            <w:tcBorders>
              <w:top w:val="nil"/>
              <w:left w:val="nil"/>
              <w:bottom w:val="nil"/>
              <w:right w:val="nil"/>
            </w:tcBorders>
            <w:shd w:val="clear" w:color="000000" w:fill="FFFFFF"/>
            <w:hideMark/>
          </w:tcPr>
          <w:p w14:paraId="357D0334"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Other fruits and real fruit juices</w:t>
            </w:r>
          </w:p>
        </w:tc>
        <w:tc>
          <w:tcPr>
            <w:tcW w:w="1324" w:type="pct"/>
            <w:tcBorders>
              <w:top w:val="nil"/>
              <w:left w:val="nil"/>
              <w:bottom w:val="nil"/>
              <w:right w:val="nil"/>
            </w:tcBorders>
            <w:shd w:val="clear" w:color="000000" w:fill="FFFFFF"/>
            <w:hideMark/>
          </w:tcPr>
          <w:p w14:paraId="17F0ADDF"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Other fresh fruits than those listed above (e.g., pineapples, honeydew, grapes, kiwi, watermelon, lemon, grapefruit, and oranges), orange juice, grapefruit juice, apple juice, grape juice, and other real fruit juice</w:t>
            </w:r>
          </w:p>
        </w:tc>
        <w:tc>
          <w:tcPr>
            <w:tcW w:w="2161" w:type="pct"/>
            <w:tcBorders>
              <w:top w:val="nil"/>
              <w:left w:val="nil"/>
              <w:bottom w:val="nil"/>
              <w:right w:val="nil"/>
            </w:tcBorders>
            <w:shd w:val="clear" w:color="000000" w:fill="FFFFFF"/>
            <w:hideMark/>
          </w:tcPr>
          <w:p w14:paraId="074AFE89" w14:textId="29B9C4AB"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 xml:space="preserve">Contain antioxidants (e.g., flavonoids, such as hesperidin, naringenin, </w:t>
            </w:r>
            <w:proofErr w:type="spellStart"/>
            <w:r w:rsidRPr="004D453A">
              <w:rPr>
                <w:rFonts w:ascii="Arial" w:hAnsi="Arial" w:cs="Arial"/>
                <w:color w:val="000000" w:themeColor="text1"/>
                <w:sz w:val="18"/>
                <w:szCs w:val="18"/>
              </w:rPr>
              <w:t>neohesperidin</w:t>
            </w:r>
            <w:proofErr w:type="spellEnd"/>
            <w:r w:rsidRPr="004D453A">
              <w:rPr>
                <w:rFonts w:ascii="Arial" w:hAnsi="Arial" w:cs="Arial"/>
                <w:color w:val="000000" w:themeColor="text1"/>
                <w:sz w:val="18"/>
                <w:szCs w:val="18"/>
              </w:rPr>
              <w:t xml:space="preserve">, limonene, vitamin C, </w:t>
            </w:r>
            <w:r w:rsidRPr="004D453A">
              <w:rPr>
                <w:rFonts w:ascii="Arial" w:eastAsia="Arial Unicode MS" w:hAnsi="Arial" w:cs="Arial"/>
                <w:color w:val="000000" w:themeColor="text1"/>
                <w:sz w:val="18"/>
                <w:szCs w:val="18"/>
              </w:rPr>
              <w:t>β</w:t>
            </w:r>
            <w:r w:rsidRPr="004D453A">
              <w:rPr>
                <w:rFonts w:ascii="Arial" w:hAnsi="Arial" w:cs="Arial"/>
                <w:color w:val="000000" w:themeColor="text1"/>
                <w:sz w:val="18"/>
                <w:szCs w:val="18"/>
              </w:rPr>
              <w:t xml:space="preserve">-cryptoxanthin, plant sterols, salicylates, naringin, </w:t>
            </w:r>
            <w:proofErr w:type="spellStart"/>
            <w:r w:rsidRPr="004D453A">
              <w:rPr>
                <w:rFonts w:ascii="Arial" w:hAnsi="Arial" w:cs="Arial"/>
                <w:color w:val="000000" w:themeColor="text1"/>
                <w:sz w:val="18"/>
                <w:szCs w:val="18"/>
              </w:rPr>
              <w:t>nobelitin</w:t>
            </w:r>
            <w:proofErr w:type="spellEnd"/>
            <w:r w:rsidRPr="004D453A">
              <w:rPr>
                <w:rFonts w:ascii="Arial" w:hAnsi="Arial" w:cs="Arial"/>
                <w:color w:val="000000" w:themeColor="text1"/>
                <w:sz w:val="18"/>
                <w:szCs w:val="18"/>
              </w:rPr>
              <w:t>, and narirutin) with similar mechanisms to those described above</w:t>
            </w:r>
            <w:r w:rsidR="00852A7B" w:rsidRPr="004D453A">
              <w:rPr>
                <w:rFonts w:ascii="Arial" w:hAnsi="Arial" w:cs="Arial"/>
                <w:color w:val="000000" w:themeColor="text1"/>
                <w:sz w:val="18"/>
                <w:szCs w:val="18"/>
              </w:rPr>
              <w:t xml:space="preserve"> </w:t>
            </w:r>
            <w:r w:rsidR="00852A7B"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{"citationItems":[{"id":"ITEM-1","itemData":{"DOI":"10.2337/dc06-1458","ISBN":"1935-5548 (Electronic)\\r0149-5992 (Linking)","ISSN":"01495992","PMID":"17384340","abstract":"OBJECTIVE--We have previously shown that 300 kcal from glucose intake induces a significant increase in reactive oxygen species (ROS) generation and nuclear factor-{kappa}B (NF-{kappa}B) binding in the circulating mononuclear cells in healthy normal subjects. We hypothesized that the intake of 300 calories as orange juice or fructose, the other major carbohydrate in orange juice, would induce a significantly smaller response than that of glucose. RESEARCH DESIGN AND METHODS-- Four groups (eight subjects each) of normal-weight subjects were given a 300-cal drink of glucose (75 g), fructose (75 g), or orange juice or water sweetened with saccharin (control group) to drink, and then blood samples were collected. RESULTS--There was a significant increase in ROS generation by mononuclear cells (by 130 {+/-} 18%, P &lt; 0.001), polymorph nuclear cells (by 95 {+/-} 22%, P &lt; 0.01), and in NF-{kappa}B binding in mononuclear cells by 82 {+/-} 16% (P &lt; 0.01) over the baseline after 2 h of glucose intake. These changes were absent following fructose, orange juice, or water intake. There was significantly lower ROS generation and NF-{kappa}B binding following orange juice, fructose, and water compared with glucose (P &lt; 0.001 for all). Furthermore, incubation of mononuclear cells in vitro with 50 mmol/l of the flavonoids hesperetin or naringenin reduced ROS generation by 52 {+/-} 7% and 77 {+/-} 8% (P &lt; 0.01), respectively, while fructose or ascorbic acid did not cause any change. CONCLUSIONS--Caloric intake in the form of orange juice or fructose does not induce either oxidative or inflammatory stress, possibly due to its flavonoids content and might, therefore, represent a potentially safe energy source.","author":[{"dropping-particle":"","family":"Ghanim","given":"Husam","non-dropping-particle":"","parse-names":false,"suffix":""},{"dropping-particle":"","family":"Mohanty","given":"Priya","non-dropping-particle":"","parse-names":false,"suffix":""},{"dropping-particle":"","family":"Pathak","given":"Ram","non-dropping-particle":"","parse-names":false,"suffix":""},{"dropping-particle":"","family":"Chaudhuri","given":"Ajay","non-dropping-particle":"","parse-names":false,"suffix":""},{"dropping-particle":"","family":"Chang","given":"Ling Sia","non-dropping-particle":"","parse-names":false,"suffix":""},{"dropping-particle":"","family":"Dandona","given":"Paresh","non-dropping-particle":"","parse-names":false,"suffix":""}],"container-title":"Diabetes Care","id":"ITEM-1","issue":"6","issued":{"date-parts":[["2007"]]},"page":"1406-1411","title":"Orange juice or fructose intake does not induce oxidative and inflammatory response","type":"article-journal","volume":"30"},"uris":["http://www.mendeley.com/documents/?uuid=2506da45-6204-402c-9940-5486975578ac"]},{"id":"ITEM-2","itemData":{"abstract":"Background: Flavonoids are effective antioxidants and may pro-tect against several chronic diseases. Objective: The association between flavonoid intake and risk of several chronic diseases was studied. Design: The total dietary intakes of 10 054 men and women dur-ing the year preceding the baseline examination were determined with a dietary history method. Flavonoid intakes were estimated, mainly on the basis of the flavonoid concentrations in Finnish foods. The incident cases of the diseases considered were identi-fied from different national public health registers. Results: Persons with higher quercetin intakes had lower mortal-ity from ischemic heart disease. The relative risk (RR) between the highest and lowest quartiles was 0.79 (95% CI: 0.63, 0.99: P for trend = 0.02). The incidence of cerebrovascular disease was lower at higher kaempferol (0.70; 0.56, 0.86; P = 0.003), narin-genin (0.79; 0.64, 0.98; P = 0.06), and hesperetin (0.80; 0.64, 0.99; P = 0.008) intakes. Men with higher quercetin intakes had a lower lung cancer incidence (0.42; 0.25, 0.72; P = 0.001), and men with higher myricetin intakes had a lower prostate cancer risk (0.43; 0.22, 0.86; P = 0.002). Asthma incidence was lower at higher quercetin (0.76; 0.56, 1.01; P = 0.005), naringenin (0.69; 0.50, 0.94; P = 0.06), and hesperetin (0.64; 0.46, 0.88; P = 0.03) intakes. A trend toward a reduction in risk of type 2 diabetes was associated with higher quercetin (0.81; 0.64, 1.02; P = 0.07) and myricetin (0.79; 0.62, 1.00; P = 0.07) intakes. Conclusion: The risk of some chronic diseases may be lower at higher dietary flavonoid intakes. Am J Clin Nutr 2002;76:560–8.","author":[{"dropping-particle":"","family":"Knekt","given":"Paul","non-dropping-particle":"","parse-names":false,"suffix":""},{"dropping-particle":"","family":"Kumpulainen","given":"Jorma","non-dropping-particle":"","parse-names":false,"suffix":""},{"dropping-particle":"","family":"Järvinen","given":"Ritva","non-dropping-particle":"","parse-names":false,"suffix":""},{"dropping-particle":"","family":"Rissanen","given":"Harri","non-dropping-particle":"","parse-names":false,"suffix":""},{"dropping-particle":"","family":"Heliövaara","given":"Markku","non-dropping-particle":"","parse-names":false,"suffix":""},{"dropping-particle":"","family":"Reunanen","given":"Antti","non-dropping-particle":"","parse-names":false,"suffix":""},{"dropping-particle":"","family":"Hakulinen","given":"Timo","non-dropping-particle":"","parse-names":false,"suffix":""},{"dropping-particle":"","family":"Aromaa","given":"Arpo","non-dropping-particle":"","parse-names":false,"suffix":""}],"container-title":"Am J Clin Nutr","id":"ITEM-2","issue":"3","issued":{"date-parts":[["2002"]]},"page":"560-8","title":"Flavonoid intake and risk of chronic diseases","type":"article-journal","volume":"76"},"uris":["http://www.mendeley.com/documents/?uuid=b76aa7a9-f3ce-39bb-8a05-a78be0b53a93"]},{"id":"ITEM-3","itemData":{"DOI":"10.1016/s0014-827x(01)01111-9","ISSN":"0014-827X","PMID":"11680812","abstract":"The anti-inflammatory activities of three flavonoids were investigated in rats using the Mizushima et al. model of acute and chronic inflammation. Intraperitoneal administration of rutin, quercetin (flavonols) and hesperidin (flavanone), given at daily doses equivalent to 80 mg/kg, inhibited both acute and chronic phases of this experimental model of inflammation. Rutin was the most active in the chronic phase.","author":[{"dropping-particle":"","family":"Guardia","given":"Teresita","non-dropping-particle":"","parse-names":false,"suffix":""},{"dropping-particle":"","family":"Rotelli","given":"Alejandra Ester","non-dropping-particle":"","parse-names":false,"suffix":""},{"dropping-particle":"","family":"Juarez","given":"A O","non-dropping-particle":"","parse-names":false,"suffix":""},{"dropping-particle":"","family":"Pelzer","given":"Lilian Eugenia","non-dropping-particle":"","parse-names":false,"suffix":""}],"container-title":"Farmaco (Societa chimica italiana : 1989)","id":"ITEM-3","issue":"9","issued":{"date-parts":[["2001","9"]]},"page":"683-7","title":"Anti-inflammatory properties of plant flavonoids. Effects of rutin, quercetin and hesperidin on adjuvant arthritis in rat.","type":"article-journal","volume":"56"},"uris":["http://www.mendeley.com/documents/?uuid=a462d63b-0d0a-3e33-bad3-53b8944d441e"]},{"id":"ITEM-4","itemData":{"DOI":"10.1111/jphp.12119","ISBN":"2042-7158 (Electronic) 0022-3573 (Linking)","ISSN":"00223573","PMID":"24028624","abstract":"OBJECTIVES: Cucurbita ficifolia (characterised by its D chiro inositol (DCI) content) and of synthetic DCI on the redox state, mRNA expression and secretions of proinflammatory cytokines. Additionally, we evaluated the insulin-mimetic action of both treatments by assessing protein kinase B (PKB) activation in 3T3-L1 adipocytes. METHODS: Adipocytes were treated with C. ficifolia and synthetic DCI. The redox state was determined by spectrophotometry as changes in the reduced glutathione/oxidised glutathione (GSH/GSSG) ratio, glutathione peroxidase and glutathione reductase activities; H2 O2 levels were measured by flow cytometry. The mRNA expression and the protein level of cytokines were determinate by real-time reverse transcription polymerase chain reaction and enzyme-linked immunosorbent assay, respectively. The activation of PKB activation was detected by Western blot. KEY FINDINGS: C. ficifolia extract and synthetic DCI reduced oxidative stress by decreased H2 O2 levels, increased glutathione peroxidase activity and changes in the GSH/GSSG ratio. Furthermore, DCI decreased the mRNA expression and secretion of tumour necrosis factor-alpha, interleukin 6 (IL-6) and resistin, while C. ficifolia reduced protein levels of resistin and increased IL-6 levels. Only DCI demonstrated insulin-mimetic action. CONCLUSIONS: The antioxidant and anti-inflammatory effects of C. ficifolia extract can be explained in part by its DCI content, which modulates the GSH/GSSG ratio and contributes to a reduced proinflammatory state. C. ficifolia and DCI treatments may reduce the disturbances caused by oxidative stress. Additionally, DCI may improve insulin sensitivity through its insulin-mimetic effects.","author":[{"dropping-particle":"","family":"Fortis-Barrera","given":"Ángeles","non-dropping-particle":"","parse-names":false,"suffix":""},{"dropping-particle":"","family":"Alarcón-Aguilar","given":"Francisco Javier","non-dropping-particle":"","parse-names":false,"suffix":""},{"dropping-particle":"","family":"Banderas-Dorantes","given":"Tania","non-dropping-particle":"","parse-names":false,"suffix":""},{"dropping-particle":"","family":"Díaz-Flores","given":"Margarita","non-dropping-particle":"","parse-names":false,"suffix":""},{"dropping-particle":"","family":"Román-Ramos","given":"Rubén","non-dropping-particle":"","parse-names":false,"suffix":""},{"dropping-particle":"","family":"Cruz","given":"Miguel","non-dropping-particle":"","parse-names":false,"suffix":""},{"dropping-particle":"","family":"García-Macedo","given":"Rebeca","non-dropping-particle":"","parse-names":false,"suffix":""}],"container-title":"Journal of Pharmacy and Pharmacology","id":"ITEM-4","issue":"10","issued":{"date-parts":[["2013","10"]]},"note":"Fortis-Barrera, Angeles\nAlarcon-Aguilar, Francisco Javier\nBanderas-Dorantes, Tania\nDiaz-Flores, Margarita\nRoman-Ramos, Ruben\nCruz, Miguel\nGarcia-Macedo, Rebeca\neng\nResearch Support, Non-U.S. Gov't\nEngland\n2013/09/14 06:00\nJ Pharm Pharmacol. 2013 Oct;65(10):1563-76. doi: 10.1111/jphp.12119. Epub 2013 Aug 5.","page":"1563-1576","title":"Cucurbita ficifolia Bouché (Cucurbitaceae) and D-chiro-inositol modulate the redox state and inflammation in 3T3-L1 adipocytes","type":"article-journal","volume":"65"},"uris":["http://www.mendeley.com/documents/?uuid=d3aed30c-2f56-41c8-be88-246d60ed2cd3"]},{"id":"ITEM-5","itemData":{"ISSN":"0019-5189","PMID":"26011982","abstract":"In this study, we investigated few dietary cucurbits for anticancer activity by monitoring cytotoxic (MTT and LDH assays), apoptotic (caspase-3 and annexin-V assays), and also their anti-inflammatory effects by IL-8 cytokine assay. Aqua-alcoholic (50:50) whole extracts of cucurbits [Lagenaria siceraria (Ls), Luffa cylindrica (Lc) and Cucurbita pepo (Cp)] were evaluated in colon cancer cells (HT-29 and HCT-15) and were compared with isolated biomolecule, cucurbitacin-B (Cbit-B). MTT and LDH assays revealed that the cucurbit extracts and Cbit-B, in a concentration dependent manner, decreased the viability of HT-29 and HCT-15 cells substantially. The viability of lymphocytes was, however, only marginally decreased, yielding a potential advantage over the tumor cells. Caspase-3 assay revealed maximum apoptosis with Ls while annexin V assay demonstrated maximum efficacy of Lc in this context. These cucurbits have also shown decreased secretion of IL-8, thereby revealing their anti-inflammatory capability. The results have demonstrated the therapeutic potential of dietary cucurbits in inhibiting cancer and inflammatory cytokine.","author":[{"dropping-particle":"","family":"Sharma","given":"Dhara","non-dropping-particle":"","parse-names":false,"suffix":""},{"dropping-particle":"","family":"Rawat","given":"Indu","non-dropping-particle":"","parse-names":false,"suffix":""},{"dropping-particle":"","family":"Goel","given":"H C","non-dropping-particle":"","parse-names":false,"suffix":""}],"container-title":"Indian journal of experimental biology","id":"ITEM-5","issue":"4","issued":{"date-parts":[["2015"]]},"page":"216-21","title":"Anticancer and anti-inflammatory activities of some dietary cucurbits.","type":"article-journal","volume":"53"},"uris":["http://www.mendeley.com/documents/?uuid=b12bcc81-e486-4fd6-af0b-7b4cc825dd53"]},{"id":"ITEM-6","itemData":{"DOI":"10.1002/ibd.21320","ISSN":"1078-0998","abstract":"Background—Bromelain, a mixture of proteolytic enzymes typically derived from pineapple stem, decreases production of pro-inflammatory cytokines and leukocyte homing to sites of inflammation. We previously showed that short-term oral treatment with bromelain purified from pineapple stem decreased the severity of colonic inflammation in C57BL/6 Il10 −/− mice with chronic colitis. Since fresh pineapple fruit contains similar bromelain enzymes but at different proportions, this study aimed to determine whether long-term dietary supplementation with pineapple (supplied as juice) could decrease colon inflammation and neoplasia in Il10 −/− mice with chronic colitis as compared with bromelain derived from stem. Results—Experimental mice readily consumed fresh pineapple juice at a level that generated mean stool proteolytic activities equivalent to 16 mg bromelain purified from stem, while control mice received boiled juice with inactive enzymes. Survival was increased in the group supplemented with fresh rather than boiled juice (p = 0.01). Mice that received fresh juice also had decreased histologic colon inflammation scores and a lower incidence of inflammation-associated colonic neoplasia (35% vs. 66%; p&lt; 0.02), with fewer neoplastic lesions/colon (p = 0.05). Flow cytometric analysis of murine splenocytes exposed to fresh pineapple juice in vitro demonstrated proteolytic removal of cell surface molecules that can affect leukocyte trafficking and activation. Conclusions—These results demonstrate that long-term dietary supplementation with fresh or unpasteurized frozen pineapple juice with proteolytically active bromelain enzymes is safe and decreases inflammation severity and the incidence and multiplicity of inflammation-associated colonic neoplasia in this commonly used murine model of inflammatory bowel disease.","author":[{"dropping-particle":"","family":"Hale","given":"Laura P","non-dropping-particle":"","parse-names":false,"suffix":""},{"dropping-particle":"","family":"Chichlowski","given":"Maciej","non-dropping-particle":"","parse-names":false,"suffix":""},{"dropping-particle":"","family":"Trinh","given":"Chau T","non-dropping-particle":"","parse-names":false,"suffix":""},{"dropping-particle":"","family":"Greer","given":"Paula K","non-dropping-particle":"","parse-names":false,"suffix":""}],"container-title":"Inflammatory Bowel Diseases","id":"ITEM-6","issue":"12","issued":{"date-parts":[["2010","12"]]},"page":"2012-2021","title":"Dietary supplementation with fresh pineapple juice decreases inflammation and colonic neoplasia in IL-10-deficient mice with colitis","type":"article-journal","volume":"16"},"uris":["http://www.mendeley.com/documents/?uuid=2086bc93-c12f-3ff2-af58-ade9d3d2353a"]},{"id":"ITEM-7","itemData":{"DOI":"10.1016/j.atherosclerosis.2006.02.018","ISSN":"00219150","abstract":"Objective: Inflammation of the vessel wall is of importance in atherosclerosis. Endothelin-1 (ET-1) exerts pro-inflammatory effects and contributes to endothelial dysfunction. The objective was to test whether ET-1 impairs vascular function by increasing oxidative stress and release of pro-inflammatory cytokines in humans. Methods: Forearm blood flow (FBF) was determined in 12 young healthy males with venous occlusion plethysmography. Results: Intra-brachial infusion of ET-1 (20 pmol/min) decreased both endothelium-dependent and -independent vasodilatation (P &lt; 0.001). ET-1 also increased venous IL-6 levels (0.96 ± 0.14–1.40 ± 0.15 ng/ml; P &lt; 0.001). Administration of Vitamin C (24 mg/min) following the ET-1 infusion did not restore vascular function. However, pre-treatment with Vitamin C before ET-1 prevented the decrease in endothelium-dependent and -independent vasodilatation as well as the increase in IL-6 levels (1.20 ± 0.28 versus 1.29 ± 0.27 ng/ml; P = 0.57). Infusion of a control vasoconstrictor substance, noradrenaline (80 ng/min) for 30 min did not affect IL-6 levels. Conclusions: ET-1 impairs endothelium-dependent and -independent vasodilatation and stimulates release of IL-6 in humans in vivo. These effects are inhibited by pre-treatment with the antioxidant Vitamin C. This suggests that the mechanism by which ET-1 impairs vascular function and stimulates release of IL-6 involves increased oxidative stress.","author":[{"dropping-particle":"","family":"Böhm","given":"Felix","non-dropping-particle":"","parse-names":false,"suffix":""},{"dropping-particle":"","family":"Settergren","given":"Magnus","non-dropping-particle":"","parse-names":false,"suffix":""},{"dropping-particle":"","family":"Pernow","given":"John","non-dropping-particle":"","parse-names":false,"suffix":""}],"container-title":"Atherosclerosis","id":"ITEM-7","issue":"2","issued":{"date-parts":[["2007","2"]]},"page":"408-415","title":"Vitamin C blocks vascular dysfunction and release of interleukin-6 induced by endothelin-1 in humans in vivo","type":"article-journal","volume":"190"},"uris":["http://www.mendeley.com/documents/?uuid=2cd45e89-eb41-3e42-95b1-1ad8bbb21eab"]},{"id":"ITEM-8","itemData":{"DOI":"10.3945/an.113.005603","ISSN":"2156-5376","abstract":"Flavonoids are important natural compounds with diverse biologic activities. Citrus flavonoids constitute an important series of flavonoids. Naringin and its aglycone naringenin belong to this series of flavonoids and were found to display strong anti-inflammatory and antioxidant activities. Several lines of investigation suggest that naringin supplementation is beneficial for the treatment of obesity, diabetes, hypertension, and metabolic syndrome. A number of molecular mechanisms underlying its beneficial activities have been elucidated. However, their effect on obesity and metabolic disorder remains to be fully established. Moreover, the therapeutic uses of these flavonoids are significantly limited by the lack of adequate clinical evidence. This review aims to explore the biologic activities of these compounds, particularly on lipid metabolism in obesity, oxidative stress, and inflammation in context of metabolic syndrome.","author":[{"dropping-particle":"","family":"Alam","given":"M Ashraful","non-dropping-particle":"","parse-names":false,"suffix":""},{"dropping-particle":"","family":"Subhan","given":"Nusrat","non-dropping-particle":"","parse-names":false,"suffix":""},{"dropping-particle":"","family":"Rahman","given":"M Mahbubur","non-dropping-particle":"","parse-names":false,"suffix":""},{"dropping-particle":"","family":"Uddin","given":"Shaikh J","non-dropping-particle":"","parse-names":false,"suffix":""},{"dropping-particle":"","family":"Reza","given":"Hasan M","non-dropping-particle":"","parse-names":false,"suffix":""},{"dropping-particle":"","family":"Sarker","given":"Satyajit D","non-dropping-particle":"","parse-names":false,"suffix":""}],"container-title":"Advances in Nutrition","id":"ITEM-8","issue":"4","issued":{"date-parts":[["2014","7","1"]]},"page":"404-417","title":"Effect of citrus flavonoids, naringin and naringenin, on metabolic syndrome and their mechanisms of action","type":"article-journal","volume":"5"},"uris":["http://www.mendeley.com/documents/?uuid=cc2016ca-a14a-4e11-94fd-98c23ab451e8"]},{"id":"ITEM-9","itemData":{"DOI":"10.1016/j.intimp.2015.08.026","ISSN":"15675769","abstract":"Increasing studies indicated that Cucurbitacin E (CuE), a compound isolated from Cucurbitaceae, has been shown anti-inflammatory effect. However, the effect of CuE on rheumatoid arthritis (RA) inflammatory response and its potential molecular mechanism are still unknown. In this study, we demonstrated that CuE significantly suppressed TNF-α-induced inflammatory cytokines production interleukin-1β (IL-1β), interleukin-6 (IL-6), and interleukin-8 (IL-8) mRNA and protein expression in human synoviocyte MH7A cells. Furthermore, we found that CuE also inhibited TNF-α-induced phosphorylation of NF-κBp65, IKKα/β, and IκBα in a dose-and time-dependent manner as well as NF-κBp65 nuclear translocation. Finally, we showed that CuE blocked the upstream targets of NF-κB pathway RIP1/PI3K/Akt. Interestingly, PI3K inhibitor LY294002 completely blocked the TNF-α-induced activation of p85, Akt and the whole cascade of the NF-κB signaling components and suppressed inflammatory cytokines production in mRNA and protein levels similarly as CuE. Our studies provided the first evidence that CuE inhibited TNF-α-induced inflammatory cytokine production in human synoviocyte MH7A cells via modulation of PI3K/Akt/NF-κB pathway. These findings indicated that CuE is a potential candidate for RA therapy.","author":[{"dropping-particle":"","family":"Jia","given":"Qingyun","non-dropping-particle":"","parse-names":false,"suffix":""},{"dropping-particle":"","family":"Cheng","given":"Wenxiang","non-dropping-particle":"","parse-names":false,"suffix":""},{"dropping-particle":"","family":"Yue","given":"Ye","non-dropping-particle":"","parse-names":false,"suffix":""},{"dropping-particle":"","family":"Hu","given":"Yipping","non-dropping-particle":"","parse-names":false,"suffix":""},{"dropping-particle":"","family":"Zhang","given":"Jian","non-dropping-particle":"","parse-names":false,"suffix":""},{"dropping-particle":"","family":"Pan","given":"Xiaohua","non-dropping-particle":"","parse-names":false,"suffix":""},{"dropping-particle":"","family":"Xu","given":"Zhanwang","non-dropping-particle":"","parse-names":false,"suffix":""},{"dropping-particle":"","family":"Zhang","given":"Peng","non-dropping-particle":"","parse-names":false,"suffix":""}],"container-title":"International Immunopharmacology","id":"ITEM-9","issue":"2","issued":{"date-parts":[["2015","12"]]},"page":"884-890","publisher":"Elsevier B.V.","title":"Cucurbitacin E inhibits TNF-α-induced inflammatory cytokine production in human synoviocyte MH7A cells via suppression of PI3K/Akt/NF-κB pathways","type":"article-journal","volume":"29"},"uris":["http://www.mendeley.com/documents/?uuid=a3fb6dd0-4ad3-4171-b861-02d07e1abecd"]}],"mendeley":{"formattedCitation":"(21,31–38)","plainTextFormattedCitation":"(21,31–38)","previouslyFormattedCitation":"(21,31–38)"},"properties":{"noteIndex":0},"schema":"https://github.com/citation-style-language/schema/raw/master/csl-citation.json"}</w:instrText>
            </w:r>
            <w:r w:rsidR="00852A7B"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(21,31–38)</w:t>
            </w:r>
            <w:r w:rsidR="00852A7B"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63137BEC"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-0.16</w:t>
            </w:r>
          </w:p>
        </w:tc>
      </w:tr>
      <w:tr w:rsidR="003B1705" w:rsidRPr="004D453A" w14:paraId="6F502CD6" w14:textId="77777777" w:rsidTr="003B1705">
        <w:trPr>
          <w:trHeight w:val="690"/>
        </w:trPr>
        <w:tc>
          <w:tcPr>
            <w:tcW w:w="1046" w:type="pct"/>
            <w:tcBorders>
              <w:top w:val="nil"/>
              <w:left w:val="nil"/>
              <w:bottom w:val="nil"/>
              <w:right w:val="nil"/>
            </w:tcBorders>
            <w:shd w:val="clear" w:color="000000" w:fill="FFFFFF"/>
            <w:hideMark/>
          </w:tcPr>
          <w:p w14:paraId="1A0A2C1B"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Other vegetables</w:t>
            </w:r>
          </w:p>
        </w:tc>
        <w:tc>
          <w:tcPr>
            <w:tcW w:w="1324" w:type="pct"/>
            <w:tcBorders>
              <w:top w:val="nil"/>
              <w:left w:val="nil"/>
              <w:bottom w:val="nil"/>
              <w:right w:val="nil"/>
            </w:tcBorders>
            <w:shd w:val="clear" w:color="000000" w:fill="FFFFFF"/>
            <w:hideMark/>
          </w:tcPr>
          <w:p w14:paraId="134ABB96"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Other vegetables than those listed above (e.g., okra, green peppers, onions, zucchini, and eggplant)</w:t>
            </w:r>
          </w:p>
        </w:tc>
        <w:tc>
          <w:tcPr>
            <w:tcW w:w="2161" w:type="pct"/>
            <w:tcBorders>
              <w:top w:val="nil"/>
              <w:left w:val="nil"/>
              <w:bottom w:val="nil"/>
              <w:right w:val="nil"/>
            </w:tcBorders>
            <w:shd w:val="clear" w:color="auto" w:fill="auto"/>
            <w:hideMark/>
          </w:tcPr>
          <w:p w14:paraId="350B30AD"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Contain antioxidants and polyphenols with similar mechanisms to those described above</w:t>
            </w:r>
          </w:p>
        </w:tc>
        <w:tc>
          <w:tcPr>
            <w:tcW w:w="469" w:type="pct"/>
            <w:tcBorders>
              <w:top w:val="nil"/>
              <w:left w:val="nil"/>
              <w:bottom w:val="nil"/>
              <w:right w:val="nil"/>
            </w:tcBorders>
            <w:shd w:val="clear" w:color="000000" w:fill="FFFFFF"/>
            <w:hideMark/>
          </w:tcPr>
          <w:p w14:paraId="095725C2"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-0.16</w:t>
            </w:r>
          </w:p>
        </w:tc>
      </w:tr>
      <w:tr w:rsidR="003B1705" w:rsidRPr="004D453A" w14:paraId="6477769E" w14:textId="77777777" w:rsidTr="003B1705">
        <w:trPr>
          <w:trHeight w:val="720"/>
        </w:trPr>
        <w:tc>
          <w:tcPr>
            <w:tcW w:w="1046" w:type="pct"/>
            <w:tcBorders>
              <w:top w:val="nil"/>
              <w:left w:val="nil"/>
              <w:bottom w:val="nil"/>
              <w:right w:val="nil"/>
            </w:tcBorders>
            <w:shd w:val="clear" w:color="000000" w:fill="FFFFFF"/>
            <w:hideMark/>
          </w:tcPr>
          <w:p w14:paraId="71D4F1C5"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Poultry</w:t>
            </w:r>
          </w:p>
        </w:tc>
        <w:tc>
          <w:tcPr>
            <w:tcW w:w="1324" w:type="pct"/>
            <w:tcBorders>
              <w:top w:val="nil"/>
              <w:left w:val="nil"/>
              <w:bottom w:val="nil"/>
              <w:right w:val="nil"/>
            </w:tcBorders>
            <w:shd w:val="clear" w:color="000000" w:fill="FFFFFF"/>
            <w:hideMark/>
          </w:tcPr>
          <w:p w14:paraId="114BFF4A"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Chicken or turkey with and without skin</w:t>
            </w:r>
          </w:p>
        </w:tc>
        <w:tc>
          <w:tcPr>
            <w:tcW w:w="2161" w:type="pct"/>
            <w:tcBorders>
              <w:top w:val="nil"/>
              <w:left w:val="nil"/>
              <w:bottom w:val="nil"/>
              <w:right w:val="nil"/>
            </w:tcBorders>
            <w:shd w:val="clear" w:color="000000" w:fill="FFFFFF"/>
            <w:hideMark/>
          </w:tcPr>
          <w:p w14:paraId="2B8D82F1" w14:textId="7CE8865C"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Inversely associated with inflammation markers</w:t>
            </w:r>
            <w:r w:rsidR="00ED2972" w:rsidRPr="004D453A">
              <w:rPr>
                <w:rFonts w:ascii="Arial" w:hAnsi="Arial" w:cs="Arial"/>
                <w:color w:val="000000" w:themeColor="text1"/>
                <w:sz w:val="18"/>
                <w:szCs w:val="18"/>
              </w:rPr>
              <w:t xml:space="preserve"> </w:t>
            </w:r>
            <w:r w:rsidR="00ED2972"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{"citationItems":[{"id":"ITEM-1","itemData":{"DOI":"10.2337/dc11-1899","ISSN":"0149-5992","abstract":"OBJECTIVEdTo investigate whether intake of different types of meat is associated with circulating C-reactive protein (CRP) and risk of type 2 diabetes in a prospective cohort study. RESEARCH DESIGN AND METHODSdOur analysis included 4,366 Dutch participants who did not have diabetes at baseline. During a median follow-up period of 12.4 years, 456 diabetes cases were confirmed. Intake of red meat, processed meat, and poultry was derived from a food frequency questionnaire, and their association with serum high-sensitivity CRP was examined cross-sectionally using linear regression models. Their association with risk of type 2 diabetes was examined using multivariate Cox proportional hazards model, including age, sex, family history of diabetes, and lifestyle and dietary factors. RESULTSdAn increment of 50 g of processed meat was associated with increased CRP concentration (b processed meat = 0.12; P = 0.01), whereas intake of red meat and poultry was not. When comparing the highest to the lowest category of meat intake with respect to diabetes incidence, the adjusted relative risks were as follows: for red meat (1.42 [95% CI 1.06-1.91]), for processed meat (1.87 [1.26-2.78]), and for poultry (0.95 [0.74-1.22]). Additional analysis showed that the associations were not affected appreciably after inclusion of CRP into the model. After adjustment for BMI, however, the association for red meat attenuated to 1.18 (0.88-1.59). CONCLUSIONSdIntake of processed meat is associated with higher risk of type 2 diabetes. It appears unlikely that CRP mediates this association.","author":[{"dropping-particle":"","family":"Woudenbergh","given":"G. J.","non-dropping-particle":"van","parse-names":false,"suffix":""},{"dropping-particle":"","family":"Kuijsten","given":"Anneleen","non-dropping-particle":"","parse-names":false,"suffix":""},{"dropping-particle":"","family":"Tigcheler","given":"Basia","non-dropping-particle":"","parse-names":false,"suffix":""},{"dropping-particle":"","family":"Sijbrands","given":"Eric J G","non-dropping-particle":"","parse-names":false,"suffix":""},{"dropping-particle":"","family":"Rooij","given":"F. J. A.","non-dropping-particle":"van","parse-names":false,"suffix":""},{"dropping-particle":"","family":"Hofman","given":"Albert","non-dropping-particle":"","parse-names":false,"suffix":""},{"dropping-particle":"","family":"Witteman","given":"Jacqueline C M","non-dropping-particle":"","parse-names":false,"suffix":""},{"dropping-particle":"","family":"Feskens","given":"Edith J M","non-dropping-particle":"","parse-names":false,"suffix":""}],"container-title":"Diabetes Care","id":"ITEM-1","issue":"7","issued":{"date-parts":[["2012","7","1"]]},"page":"1499-1505","title":"Meat consumption and its association with C-reactive protein and incident type 2 diabetes: the Rotterdam Study","type":"article-journal","volume":"35"},"uris":["http://www.mendeley.com/documents/?uuid=67a72b5f-1817-3700-beaa-a33051ef3b4c"]}],"mendeley":{"formattedCitation":"(39)","plainTextFormattedCitation":"(39)","previouslyFormattedCitation":"(39)"},"properties":{"noteIndex":0},"schema":"https://github.com/citation-style-language/schema/raw/master/csl-citation.json"}</w:instrText>
            </w:r>
            <w:r w:rsidR="00ED2972"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(39)</w:t>
            </w:r>
            <w:r w:rsidR="00ED2972" w:rsidRPr="004D453A">
              <w:rPr>
                <w:rFonts w:ascii="Arial" w:hAnsi="Arial" w:cs="Arial"/>
                <w:color w:val="000000" w:themeColor="text1"/>
                <w:sz w:val="18"/>
                <w:szCs w:val="18"/>
              </w:rPr>
              <w:fldChar w:fldCharType="end"/>
            </w:r>
            <w:r w:rsidRPr="00615CA1">
              <w:rPr>
                <w:rFonts w:ascii="Arial" w:hAnsi="Arial" w:cs="Arial"/>
                <w:color w:val="000000" w:themeColor="text1"/>
                <w:sz w:val="18"/>
                <w:szCs w:val="18"/>
              </w:rPr>
              <w:t>, contain low amounts of sat</w:t>
            </w:r>
            <w:r w:rsidRPr="004D453A">
              <w:rPr>
                <w:rFonts w:ascii="Arial" w:hAnsi="Arial" w:cs="Arial"/>
                <w:color w:val="000000" w:themeColor="text1"/>
                <w:sz w:val="18"/>
                <w:szCs w:val="18"/>
              </w:rPr>
              <w:t>urated fat</w:t>
            </w:r>
            <w:r w:rsidR="00ED2972" w:rsidRPr="004D453A">
              <w:rPr>
                <w:rFonts w:ascii="Arial" w:hAnsi="Arial" w:cs="Arial"/>
                <w:color w:val="000000" w:themeColor="text1"/>
                <w:sz w:val="18"/>
                <w:szCs w:val="18"/>
              </w:rPr>
              <w:t xml:space="preserve"> </w:t>
            </w:r>
            <w:r w:rsidR="00ED2972"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{"citationItems":[{"id":"ITEM-1","itemData":{"DOI":"10.3945/jn.114.201236","ISSN":"0022-3166","abstract":"Background: A healthy diet rich in fish, fruit, and vegetables, but moderate in alcohol and low in dairy products and meat, has been associated with","author":[{"dropping-particle":"","family":"Bussel","given":"Bas CT","non-dropping-particle":"van","parse-names":false,"suffix":""},{"dropping-particle":"","family":"Henry","given":"Ronald Ma","non-dropping-particle":"","parse-names":false,"suffix":""},{"dropping-particle":"","family":"Ferreira","given":"Isabel","non-dropping-particle":"","parse-names":false,"suffix":""},{"dropping-particle":"","family":"Greevenbroek","given":"Marleen MJ","non-dropping-particle":"van","parse-names":false,"suffix":""},{"dropping-particle":"","family":"Kallen","given":"Carla JH","non-dropping-particle":"van der","parse-names":false,"suffix":""},{"dropping-particle":"","family":"Twisk","given":"Jos Wr","non-dropping-particle":"","parse-names":false,"suffix":""},{"dropping-particle":"","family":"Feskens","given":"Edith Jm","non-dropping-particle":"","parse-names":false,"suffix":""},{"dropping-particle":"","family":"Schalkwijk","given":"Casper G","non-dropping-particle":"","parse-names":false,"suffix":""},{"dropping-particle":"DA","family":"Stehouwer","given":"Coen","non-dropping-particle":"","parse-names":false,"suffix":""}],"container-title":"The Journal of Nutrition","id":"ITEM-1","issue":"3","issued":{"date-parts":[["2015","3","1"]]},"page":"532-540","title":"A Healthy diet is associated with less endothelial dysfunction and less low-grade inflammation over a 7-Year period in adults at risk of cardiovascular disease","type":"article-journal","volume":"145"},"uris":["http://www.mendeley.com/documents/?uuid=37dae375-0b73-3288-8eca-0592b1f06e42"]}],"mendeley":{"formattedCitation":"(40)","plainTextFormattedCitation":"(40)","previouslyFormattedCitation":"(40)"},"properties":{"noteIndex":0},"schema":"https://github.com/citation-style-language/schema/raw/master/csl-citation.json"}</w:instrText>
            </w:r>
            <w:r w:rsidR="00ED2972"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(40)</w:t>
            </w:r>
            <w:r w:rsidR="00ED2972" w:rsidRPr="004D453A">
              <w:rPr>
                <w:rFonts w:ascii="Arial" w:hAnsi="Arial" w:cs="Arial"/>
                <w:color w:val="000000" w:themeColor="text1"/>
                <w:sz w:val="18"/>
                <w:szCs w:val="18"/>
              </w:rPr>
              <w:fldChar w:fldCharType="end"/>
            </w:r>
            <w:r w:rsidRPr="00615CA1">
              <w:rPr>
                <w:rFonts w:ascii="Arial" w:hAnsi="Arial" w:cs="Arial"/>
                <w:color w:val="000000" w:themeColor="text1"/>
                <w:sz w:val="18"/>
                <w:szCs w:val="18"/>
              </w:rPr>
              <w:t xml:space="preserve">, and contain </w:t>
            </w:r>
            <w:r w:rsidRPr="004D453A">
              <w:rPr>
                <w:rFonts w:ascii="Arial" w:hAnsi="Arial" w:cs="Arial"/>
                <w:i/>
                <w:iCs/>
                <w:color w:val="000000" w:themeColor="text1"/>
                <w:sz w:val="18"/>
                <w:szCs w:val="18"/>
              </w:rPr>
              <w:t>l</w:t>
            </w:r>
            <w:r w:rsidRPr="004D453A">
              <w:rPr>
                <w:rFonts w:ascii="Arial" w:hAnsi="Arial" w:cs="Arial"/>
                <w:color w:val="000000" w:themeColor="text1"/>
                <w:sz w:val="18"/>
                <w:szCs w:val="18"/>
              </w:rPr>
              <w:t>-arginine (see mechanisms in ‘Nuts’)</w:t>
            </w:r>
          </w:p>
        </w:tc>
        <w:tc>
          <w:tcPr>
            <w:tcW w:w="469" w:type="pct"/>
            <w:tcBorders>
              <w:top w:val="nil"/>
              <w:left w:val="nil"/>
              <w:bottom w:val="nil"/>
              <w:right w:val="nil"/>
            </w:tcBorders>
            <w:shd w:val="clear" w:color="000000" w:fill="FFFFFF"/>
            <w:hideMark/>
          </w:tcPr>
          <w:p w14:paraId="6EE50ED8"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-0.45</w:t>
            </w:r>
          </w:p>
        </w:tc>
      </w:tr>
      <w:tr w:rsidR="003B1705" w:rsidRPr="004D453A" w14:paraId="738CEB2C" w14:textId="77777777" w:rsidTr="003B1705">
        <w:trPr>
          <w:trHeight w:val="1170"/>
        </w:trPr>
        <w:tc>
          <w:tcPr>
            <w:tcW w:w="1046" w:type="pct"/>
            <w:tcBorders>
              <w:top w:val="nil"/>
              <w:left w:val="nil"/>
              <w:bottom w:val="nil"/>
              <w:right w:val="nil"/>
            </w:tcBorders>
            <w:shd w:val="clear" w:color="000000" w:fill="FFFFFF"/>
            <w:hideMark/>
          </w:tcPr>
          <w:p w14:paraId="560E78DE"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 xml:space="preserve">Processed meats </w:t>
            </w:r>
          </w:p>
        </w:tc>
        <w:tc>
          <w:tcPr>
            <w:tcW w:w="1324" w:type="pct"/>
            <w:tcBorders>
              <w:top w:val="nil"/>
              <w:left w:val="nil"/>
              <w:bottom w:val="nil"/>
              <w:right w:val="nil"/>
            </w:tcBorders>
            <w:shd w:val="clear" w:color="000000" w:fill="FFFFFF"/>
            <w:hideMark/>
          </w:tcPr>
          <w:p w14:paraId="043FC4F4"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Bacon, beef or pork hotdogs, chicken or turkey hot dogs, salami, bologna, other processed meats</w:t>
            </w:r>
          </w:p>
        </w:tc>
        <w:tc>
          <w:tcPr>
            <w:tcW w:w="2161" w:type="pct"/>
            <w:tcBorders>
              <w:top w:val="nil"/>
              <w:left w:val="nil"/>
              <w:bottom w:val="nil"/>
              <w:right w:val="nil"/>
            </w:tcBorders>
            <w:shd w:val="clear" w:color="000000" w:fill="FFFFFF"/>
            <w:hideMark/>
          </w:tcPr>
          <w:p w14:paraId="1D737220" w14:textId="471895EF"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Contain heme iron, which increases the bioavailability of iron, which in turn increases oxidative stress; contain higher saturated fat contents, Ω-6 fatty acids (see ‘Fats’), and additives, such as nitrites, with suspected pro-inflammatory properties</w:t>
            </w:r>
            <w:r w:rsidR="00D31547" w:rsidRPr="004D453A">
              <w:rPr>
                <w:rFonts w:ascii="Arial" w:hAnsi="Arial" w:cs="Arial"/>
                <w:color w:val="000000" w:themeColor="text1"/>
                <w:sz w:val="18"/>
                <w:szCs w:val="18"/>
              </w:rPr>
              <w:t xml:space="preserve"> </w:t>
            </w:r>
            <w:r w:rsidR="00D31547"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{"citationItems":[{"id":"ITEM-1","itemData":{"DOI":"10.2337/dc11-1899","ISSN":"0149-5992","abstract":"OBJECTIVEdTo investigate whether intake of different types of meat is associated with circulating C-reactive protein (CRP) and risk of type 2 diabetes in a prospective cohort study. RESEARCH DESIGN AND METHODSdOur analysis included 4,366 Dutch participants who did not have diabetes at baseline. During a median follow-up period of 12.4 years, 456 diabetes cases were confirmed. Intake of red meat, processed meat, and poultry was derived from a food frequency questionnaire, and their association with serum high-sensitivity CRP was examined cross-sectionally using linear regression models. Their association with risk of type 2 diabetes was examined using multivariate Cox proportional hazards model, including age, sex, family history of diabetes, and lifestyle and dietary factors. RESULTSdAn increment of 50 g of processed meat was associated with increased CRP concentration (b processed meat = 0.12; P = 0.01), whereas intake of red meat and poultry was not. When comparing the highest to the lowest category of meat intake with respect to diabetes incidence, the adjusted relative risks were as follows: for red meat (1.42 [95% CI 1.06-1.91]), for processed meat (1.87 [1.26-2.78]), and for poultry (0.95 [0.74-1.22]). Additional analysis showed that the associations were not affected appreciably after inclusion of CRP into the model. After adjustment for BMI, however, the association for red meat attenuated to 1.18 (0.88-1.59). CONCLUSIONSdIntake of processed meat is associated with higher risk of type 2 diabetes. It appears unlikely that CRP mediates this association.","author":[{"dropping-particle":"","family":"Woudenbergh","given":"G. J.","non-dropping-particle":"van","parse-names":false,"suffix":""},{"dropping-particle":"","family":"Kuijsten","given":"Anneleen","non-dropping-particle":"","parse-names":false,"suffix":""},{"dropping-particle":"","family":"Tigcheler","given":"Basia","non-dropping-particle":"","parse-names":false,"suffix":""},{"dropping-particle":"","family":"Sijbrands","given":"Eric J G","non-dropping-particle":"","parse-names":false,"suffix":""},{"dropping-particle":"","family":"Rooij","given":"F. J. A.","non-dropping-particle":"van","parse-names":false,"suffix":""},{"dropping-particle":"","family":"Hofman","given":"Albert","non-dropping-particle":"","parse-names":false,"suffix":""},{"dropping-particle":"","family":"Witteman","given":"Jacqueline C M","non-dropping-particle":"","parse-names":false,"suffix":""},{"dropping-particle":"","family":"Feskens","given":"Edith J M","non-dropping-particle":"","parse-names":false,"suffix":""}],"container-title":"Diabetes Care","id":"ITEM-1","issue":"7","issued":{"date-parts":[["2012","7","1"]]},"page":"1499-1505","title":"Meat consumption and its association with C-reactive protein and incident type 2 diabetes: the Rotterdam Study","type":"article-journal","volume":"35"},"uris":["http://www.mendeley.com/documents/?uuid=67a72b5f-1817-3700-beaa-a33051ef3b4c"]},{"id":"ITEM-2","itemData":{"DOI":"10.3945/an.113.003681","ISSN":"2156-5376","abstract":"There is growing evidence of disordered iron homeostasis in the diabetic condition, with links proposed between dietary iron intakes and both the risk of disease and the risk of complications of advanced disease. In the United States, Britain, and Canada, the largest dietary contributors of iron are cereals and cereal products and meat and meat products. This review discusses the findings of cohort studies and meta-analyses of heme iron and red meat intakes and the risk of type 2 diabetes. These suggest that processed red meat is associated with increased risk, with high intakes of red meat possibly also associated with a small increased risk. Historically, humans have relied on large quantities of heme iron and red meat in their diets, and therefore it is paradoxical that iron from meat sources should be associated with the risk of type 2 diabetes. A reason for this association may be drawn from studies of dietary advanced glycation and lipoxidation endproducts present in processed food and the mechanisms by which insulin output by pancreatic islet cells might be influenced by the protein modifications present in processed red meat.","author":[{"dropping-particle":"","family":"White","given":"Desley L","non-dropping-particle":"","parse-names":false,"suffix":""},{"dropping-particle":"","family":"Collinson","given":"Avril","non-dropping-particle":"","parse-names":false,"suffix":""}],"container-title":"Advances in Nutrition","id":"ITEM-2","issue":"4","issued":{"date-parts":[["2013","7","1"]]},"page":"403-411","title":"Red meat, dietary heme iron, and risk of type 2 diabetes: the involvement of advanced lipoxidation endproducts","type":"article-journal","volume":"4"},"uris":["http://www.mendeley.com/documents/?uuid=94caecf0-3013-3e45-b7d3-cb8f75164e37"]}],"mendeley":{"formattedCitation":"(39,41)","plainTextFormattedCitation":"(39,41)","previouslyFormattedCitation":"(39,41)"},"properties":{"noteIndex":0},"schema":"https://github.com/citation-style-language/schema/raw/master/csl-citation.json"}</w:instrText>
            </w:r>
            <w:r w:rsidR="00D31547"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(39,41)</w:t>
            </w:r>
            <w:r w:rsidR="00D31547"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70EDF2EA"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0.68</w:t>
            </w:r>
          </w:p>
        </w:tc>
      </w:tr>
      <w:tr w:rsidR="003B1705" w:rsidRPr="004D453A" w14:paraId="5AA94ED5" w14:textId="77777777" w:rsidTr="003B1705">
        <w:trPr>
          <w:trHeight w:val="540"/>
        </w:trPr>
        <w:tc>
          <w:tcPr>
            <w:tcW w:w="1046" w:type="pct"/>
            <w:tcBorders>
              <w:top w:val="nil"/>
              <w:left w:val="nil"/>
              <w:bottom w:val="nil"/>
              <w:right w:val="nil"/>
            </w:tcBorders>
            <w:shd w:val="clear" w:color="000000" w:fill="FFFFFF"/>
            <w:hideMark/>
          </w:tcPr>
          <w:p w14:paraId="0026F40B"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Red and organ meats</w:t>
            </w:r>
          </w:p>
        </w:tc>
        <w:tc>
          <w:tcPr>
            <w:tcW w:w="1324" w:type="pct"/>
            <w:tcBorders>
              <w:top w:val="nil"/>
              <w:left w:val="nil"/>
              <w:bottom w:val="nil"/>
              <w:right w:val="nil"/>
            </w:tcBorders>
            <w:shd w:val="clear" w:color="000000" w:fill="FFFFFF"/>
            <w:hideMark/>
          </w:tcPr>
          <w:p w14:paraId="716D039D"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Hamburger, beef, pork, lamb, liver, gizzards, other organ meats</w:t>
            </w:r>
          </w:p>
        </w:tc>
        <w:tc>
          <w:tcPr>
            <w:tcW w:w="2161" w:type="pct"/>
            <w:tcBorders>
              <w:top w:val="nil"/>
              <w:left w:val="nil"/>
              <w:bottom w:val="nil"/>
              <w:right w:val="nil"/>
            </w:tcBorders>
            <w:shd w:val="clear" w:color="000000" w:fill="FFFFFF"/>
            <w:hideMark/>
          </w:tcPr>
          <w:p w14:paraId="7E309206"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Contain heme iron (see above); contain Ω-6 fatty acids and saturated fat (see mechanisms in ‘Fats’ above)</w:t>
            </w:r>
          </w:p>
        </w:tc>
        <w:tc>
          <w:tcPr>
            <w:tcW w:w="469" w:type="pct"/>
            <w:tcBorders>
              <w:top w:val="nil"/>
              <w:left w:val="nil"/>
              <w:bottom w:val="nil"/>
              <w:right w:val="nil"/>
            </w:tcBorders>
            <w:shd w:val="clear" w:color="000000" w:fill="FFFFFF"/>
            <w:hideMark/>
          </w:tcPr>
          <w:p w14:paraId="285EDF4D"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0.02</w:t>
            </w:r>
          </w:p>
        </w:tc>
      </w:tr>
      <w:tr w:rsidR="003B1705" w:rsidRPr="004D453A" w14:paraId="653D5882" w14:textId="77777777" w:rsidTr="003B1705">
        <w:trPr>
          <w:trHeight w:val="293"/>
        </w:trPr>
        <w:tc>
          <w:tcPr>
            <w:tcW w:w="1046" w:type="pct"/>
            <w:vMerge w:val="restart"/>
            <w:tcBorders>
              <w:top w:val="nil"/>
              <w:left w:val="nil"/>
              <w:bottom w:val="nil"/>
              <w:right w:val="nil"/>
            </w:tcBorders>
            <w:shd w:val="clear" w:color="000000" w:fill="FFFFFF"/>
            <w:hideMark/>
          </w:tcPr>
          <w:p w14:paraId="2C42349F" w14:textId="77777777" w:rsidR="003B1705" w:rsidRPr="004D453A" w:rsidRDefault="003B1705" w:rsidP="003B1705">
            <w:pPr>
              <w:ind w:left="432" w:hanging="144"/>
              <w:rPr>
                <w:rFonts w:ascii="Arial" w:hAnsi="Arial" w:cs="Arial"/>
                <w:color w:val="000000" w:themeColor="text1"/>
                <w:sz w:val="18"/>
                <w:szCs w:val="18"/>
              </w:rPr>
            </w:pPr>
            <w:r w:rsidRPr="004D453A">
              <w:rPr>
                <w:rFonts w:ascii="Arial" w:hAnsi="Arial" w:cs="Arial"/>
                <w:color w:val="000000" w:themeColor="text1"/>
                <w:sz w:val="18"/>
                <w:szCs w:val="18"/>
              </w:rPr>
              <w:t>Refined grains and starchy vegetables</w:t>
            </w:r>
          </w:p>
        </w:tc>
        <w:tc>
          <w:tcPr>
            <w:tcW w:w="1324" w:type="pct"/>
            <w:vMerge w:val="restart"/>
            <w:tcBorders>
              <w:top w:val="nil"/>
              <w:left w:val="nil"/>
              <w:bottom w:val="nil"/>
              <w:right w:val="nil"/>
            </w:tcBorders>
            <w:shd w:val="clear" w:color="000000" w:fill="FFFFFF"/>
          </w:tcPr>
          <w:p w14:paraId="02E9792E"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Cold and cooked breakfast cereal, white or dark bread, bagels, English muffins, rolls, corn bread, white rice, pasta, pancakes, waffles, potatoes (French fried, scalloped, baked, boiled or mashed), sweet potato/yams, potato chips, crackers, tortillas, popcorn, pretzels, cookies, brownies, doughnuts, cake, pie, sweet rolls, coffee cakes, granola bars</w:t>
            </w:r>
          </w:p>
        </w:tc>
        <w:tc>
          <w:tcPr>
            <w:tcW w:w="2161" w:type="pct"/>
            <w:vMerge w:val="restart"/>
            <w:tcBorders>
              <w:top w:val="nil"/>
              <w:left w:val="nil"/>
              <w:bottom w:val="nil"/>
              <w:right w:val="nil"/>
            </w:tcBorders>
            <w:shd w:val="clear" w:color="000000" w:fill="FFFFFF"/>
          </w:tcPr>
          <w:p w14:paraId="51DA7CC7" w14:textId="18EA5302"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Sparse in nutrients; some processed grains contain emulsifiers, which potentially break down mucin in the gut leading to inflammation</w:t>
            </w:r>
            <w:r w:rsidR="00CF17DA" w:rsidRPr="004D453A">
              <w:rPr>
                <w:rFonts w:ascii="Arial" w:hAnsi="Arial" w:cs="Arial"/>
                <w:color w:val="000000" w:themeColor="text1"/>
                <w:sz w:val="18"/>
                <w:szCs w:val="18"/>
              </w:rPr>
              <w:t xml:space="preserve"> </w:t>
            </w:r>
            <w:r w:rsidR="00CF17DA"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{"citationItems":[{"id":"ITEM-1","itemData":{"DOI":"10.1038/nature14232","ISSN":"0028-0836","abstract":"The intestinal tract is inhabited by a large diverse community of microbes collectively referred to as gut microbiota. While gut microbiota provide important benefits to its host, especially in metabolism and immune development, disturbance of the microbiota-host relationship is associated with numerous chronic inflammatory diseases, including inflammatory bowel disease (IBD) and the group of obesity-associated diseases collectively referred to as metabolic syndrome. A primary means by which the intestine is protected from its microbiota is via multilayered mucus structures that cover the intestinal surface thus allowing the vast majority of gut bacteria to be kept at a safe distance from epithelial cells that line the intestine 1. Thus, agents that disrupt mucus-bacterial interactions might have the potential to promote diseases associated with gut inflammation. Consequently, it has been hypothesized that emulsifiers, detergent-like molecules that are a ubiquitous component of processed foods and that can increase bacterial translocation across epithelia in vitro 2 , might be promoting the post-mid 20th century increase in IBD 3. Herein, we observed that, in mice, relatively low concentrations of two commonly used emulsifiers, namely carboxymethylcellulose and polysorbate-80, induced low-grade inflammation and obesity/metabolic syndrome in WT hosts and promoted robust colitis in mice predisposed to this disorder. Emulsifier-induced metabolic syndrome was associated with microbiota encroachment, altered species composition, and increased pro-inflammatory potential. Use of germ-free mice and fecal transplants indicated that such changes in microbiota were necessary and sufficient for both low-grade inflammation and metabolic syndrome. These results support the Users may view, print, copy, and download text and data-mine the content in such documents, for the purposes of academic research, subject always to the full Conditions of use:","author":[{"dropping-particle":"","family":"Chassaing","given":"Benoit","non-dropping-particle":"","parse-names":false,"suffix":""},{"dropping-particle":"","family":"Koren","given":"Omry","non-dropping-particle":"","parse-names":false,"suffix":""},{"dropping-particle":"","family":"Goodrich","given":"Julia K.","non-dropping-particle":"","parse-names":false,"suffix":""},{"dropping-particle":"","family":"Poole","given":"Angela C.","non-dropping-particle":"","parse-names":false,"suffix":""},{"dropping-particle":"","family":"Srinivasan","given":"Shanthi","non-dropping-particle":"","parse-names":false,"suffix":""},{"dropping-particle":"","family":"Ley","given":"Ruth E","non-dropping-particle":"","parse-names":false,"suffix":""},{"dropping-particle":"","family":"Gewirtz","given":"Andrew T","non-dropping-particle":"","parse-names":false,"suffix":""}],"container-title":"Nature","id":"ITEM-1","issue":"7541","issued":{"date-parts":[["2015","3","25"]]},"page":"92-96","title":"Dietary emulsifiers impact the mouse gut microbiota promoting colitis and metabolic syndrome","type":"article-journal","volume":"519"},"uris":["http://www.mendeley.com/documents/?uuid=f559a16a-dbdc-373d-bb4d-e80464f5574f"]}],"mendeley":{"formattedCitation":"(42)","plainTextFormattedCitation":"(42)","previouslyFormattedCitation":"(42)"},"properties":{"noteIndex":0},"schema":"https://github.com/citation-style-language/schema/raw/master/csl-citation.json"}</w:instrText>
            </w:r>
            <w:r w:rsidR="00CF17DA"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(42)</w:t>
            </w:r>
            <w:r w:rsidR="00CF17DA" w:rsidRPr="004D453A">
              <w:rPr>
                <w:rFonts w:ascii="Arial" w:hAnsi="Arial" w:cs="Arial"/>
                <w:color w:val="000000" w:themeColor="text1"/>
                <w:sz w:val="18"/>
                <w:szCs w:val="18"/>
              </w:rPr>
              <w:fldChar w:fldCharType="end"/>
            </w:r>
            <w:r w:rsidRPr="00615CA1">
              <w:rPr>
                <w:rFonts w:ascii="Arial" w:hAnsi="Arial" w:cs="Arial"/>
                <w:color w:val="000000" w:themeColor="text1"/>
                <w:sz w:val="18"/>
                <w:szCs w:val="18"/>
              </w:rPr>
              <w:t>; and</w:t>
            </w:r>
            <w:r w:rsidRPr="004D453A">
              <w:rPr>
                <w:rFonts w:ascii="Arial" w:hAnsi="Arial" w:cs="Arial"/>
                <w:color w:val="000000" w:themeColor="text1"/>
                <w:sz w:val="18"/>
                <w:szCs w:val="18"/>
              </w:rPr>
              <w:t xml:space="preserve"> induce hyperglycemia (mechanisms described similar to those described above in ‘Added Sugars’)</w:t>
            </w:r>
          </w:p>
        </w:tc>
        <w:tc>
          <w:tcPr>
            <w:tcW w:w="469" w:type="pct"/>
            <w:vMerge w:val="restart"/>
            <w:tcBorders>
              <w:top w:val="nil"/>
              <w:left w:val="nil"/>
              <w:bottom w:val="nil"/>
              <w:right w:val="nil"/>
            </w:tcBorders>
            <w:shd w:val="clear" w:color="000000" w:fill="FFFFFF"/>
            <w:hideMark/>
          </w:tcPr>
          <w:p w14:paraId="45F1B86F"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0.72</w:t>
            </w:r>
          </w:p>
        </w:tc>
      </w:tr>
      <w:tr w:rsidR="003B1705" w:rsidRPr="004D453A" w14:paraId="54EF4A5A" w14:textId="77777777" w:rsidTr="003B1705">
        <w:trPr>
          <w:trHeight w:val="1773"/>
        </w:trPr>
        <w:tc>
          <w:tcPr>
            <w:tcW w:w="1046" w:type="pct"/>
            <w:vMerge/>
            <w:tcBorders>
              <w:top w:val="nil"/>
              <w:left w:val="nil"/>
              <w:bottom w:val="nil"/>
              <w:right w:val="nil"/>
            </w:tcBorders>
            <w:hideMark/>
          </w:tcPr>
          <w:p w14:paraId="7D79596D" w14:textId="77777777" w:rsidR="003B1705" w:rsidRPr="004D453A" w:rsidRDefault="003B1705" w:rsidP="003B1705">
            <w:pPr>
              <w:ind w:left="288"/>
              <w:rPr>
                <w:rFonts w:ascii="Arial" w:hAnsi="Arial" w:cs="Arial"/>
                <w:color w:val="000000" w:themeColor="text1"/>
                <w:sz w:val="18"/>
                <w:szCs w:val="18"/>
              </w:rPr>
            </w:pPr>
          </w:p>
        </w:tc>
        <w:tc>
          <w:tcPr>
            <w:tcW w:w="1324" w:type="pct"/>
            <w:vMerge/>
            <w:tcBorders>
              <w:top w:val="nil"/>
              <w:left w:val="nil"/>
              <w:bottom w:val="nil"/>
              <w:right w:val="nil"/>
            </w:tcBorders>
          </w:tcPr>
          <w:p w14:paraId="3368A183" w14:textId="77777777" w:rsidR="003B1705" w:rsidRPr="004D453A" w:rsidRDefault="003B1705" w:rsidP="003B1705">
            <w:pPr>
              <w:rPr>
                <w:rFonts w:ascii="Arial" w:hAnsi="Arial" w:cs="Arial"/>
                <w:color w:val="000000" w:themeColor="text1"/>
                <w:sz w:val="18"/>
                <w:szCs w:val="18"/>
              </w:rPr>
            </w:pPr>
          </w:p>
        </w:tc>
        <w:tc>
          <w:tcPr>
            <w:tcW w:w="2161" w:type="pct"/>
            <w:vMerge/>
            <w:tcBorders>
              <w:top w:val="nil"/>
              <w:left w:val="nil"/>
              <w:bottom w:val="nil"/>
              <w:right w:val="nil"/>
            </w:tcBorders>
          </w:tcPr>
          <w:p w14:paraId="5008DC41" w14:textId="77777777" w:rsidR="003B1705" w:rsidRPr="004D453A" w:rsidRDefault="003B1705" w:rsidP="003B1705">
            <w:pPr>
              <w:rPr>
                <w:rFonts w:ascii="Arial" w:hAnsi="Arial" w:cs="Arial"/>
                <w:color w:val="000000" w:themeColor="text1"/>
                <w:sz w:val="18"/>
                <w:szCs w:val="18"/>
              </w:rPr>
            </w:pPr>
          </w:p>
        </w:tc>
        <w:tc>
          <w:tcPr>
            <w:tcW w:w="469" w:type="pct"/>
            <w:vMerge/>
            <w:tcBorders>
              <w:top w:val="nil"/>
              <w:left w:val="nil"/>
              <w:bottom w:val="nil"/>
              <w:right w:val="nil"/>
            </w:tcBorders>
            <w:hideMark/>
          </w:tcPr>
          <w:p w14:paraId="7EF69641" w14:textId="77777777" w:rsidR="003B1705" w:rsidRPr="004D453A" w:rsidRDefault="003B1705" w:rsidP="003B1705">
            <w:pPr>
              <w:jc w:val="center"/>
              <w:rPr>
                <w:rFonts w:ascii="Arial" w:hAnsi="Arial" w:cs="Arial"/>
                <w:color w:val="000000" w:themeColor="text1"/>
                <w:sz w:val="18"/>
                <w:szCs w:val="18"/>
              </w:rPr>
            </w:pPr>
          </w:p>
        </w:tc>
      </w:tr>
      <w:tr w:rsidR="003B1705" w:rsidRPr="004D453A" w14:paraId="4BF43CA8" w14:textId="77777777" w:rsidTr="003B1705">
        <w:trPr>
          <w:trHeight w:val="720"/>
        </w:trPr>
        <w:tc>
          <w:tcPr>
            <w:tcW w:w="1046" w:type="pct"/>
            <w:tcBorders>
              <w:top w:val="nil"/>
              <w:left w:val="nil"/>
              <w:bottom w:val="nil"/>
              <w:right w:val="nil"/>
            </w:tcBorders>
            <w:shd w:val="clear" w:color="000000" w:fill="FFFFFF"/>
            <w:hideMark/>
          </w:tcPr>
          <w:p w14:paraId="7B043994"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lastRenderedPageBreak/>
              <w:t>Tomatoes</w:t>
            </w:r>
          </w:p>
        </w:tc>
        <w:tc>
          <w:tcPr>
            <w:tcW w:w="1324" w:type="pct"/>
            <w:tcBorders>
              <w:top w:val="nil"/>
              <w:left w:val="nil"/>
              <w:bottom w:val="nil"/>
              <w:right w:val="nil"/>
            </w:tcBorders>
            <w:shd w:val="clear" w:color="000000" w:fill="FFFFFF"/>
            <w:hideMark/>
          </w:tcPr>
          <w:p w14:paraId="6C21EFA1"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Tomatoes, tomato juice, tomato sauce, salsa</w:t>
            </w:r>
          </w:p>
        </w:tc>
        <w:tc>
          <w:tcPr>
            <w:tcW w:w="2161" w:type="pct"/>
            <w:tcBorders>
              <w:top w:val="nil"/>
              <w:left w:val="nil"/>
              <w:bottom w:val="nil"/>
              <w:right w:val="nil"/>
            </w:tcBorders>
            <w:shd w:val="clear" w:color="000000" w:fill="FFFFFF"/>
            <w:hideMark/>
          </w:tcPr>
          <w:p w14:paraId="6CF2DFE8" w14:textId="0E2E7E9D"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Contain β-carotene, vitamin C, and lycopene, the latter of which is a potent singlet oxygen quencher and one of the most powerful antioxidants among the natural carotenoids</w:t>
            </w:r>
            <w:r w:rsidR="00CF17DA" w:rsidRPr="004D453A">
              <w:rPr>
                <w:rFonts w:ascii="Arial" w:hAnsi="Arial" w:cs="Arial"/>
                <w:color w:val="000000" w:themeColor="text1"/>
                <w:sz w:val="18"/>
                <w:szCs w:val="18"/>
                <w:vertAlign w:val="superscript"/>
              </w:rPr>
              <w:t xml:space="preserve"> </w:t>
            </w:r>
            <w:r w:rsidR="00CF17DA" w:rsidRPr="004D453A">
              <w:rPr>
                <w:rFonts w:ascii="Arial" w:hAnsi="Arial" w:cs="Arial"/>
                <w:color w:val="000000" w:themeColor="text1"/>
                <w:sz w:val="18"/>
                <w:szCs w:val="18"/>
              </w:rPr>
              <w:t xml:space="preserve"> </w:t>
            </w:r>
            <w:r w:rsidR="00CF17DA"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{"citationItems":[{"id":"ITEM-1","itemData":{"ISSN":"1535-3702","PMID":"12424333","abstract":"Coronary heart disease (CHD) is one of the primary causes of death in the Western world. The emphasis so far has been on the relationship between serum cholesterol levels and the risk of CHD. More recently, oxidative stress induced by reactive oxygen species (ROS) is also considered to play an important part in the etiology of this disease. Oxidation of the circulating low-density lipoprotein (LDL(ox)) is thought to play a key role in the pathogenesis of atherosclerosis and CHD. According to this hypothesis, macrophages inside the arterial wall take up the LDL(ox) and initiate the process of plaque formation. Dietary antioxidants such as vitamin E and beta-carotene have been shown in in vitro studies to prevent the formation of LDL(ox) and their uptake by microphages. In a recent study, healthy human subjects ingesting lycopene, a carotenoid antioxidant, in the form of tomato juice, tomato sauce, and oleoresin soft gel capsules for 1 week had significantly lower levels of LDL(ox) compared with controls. The antioxidant effects of lycopene have also been shown in four other human trials, including one where lycopene consumption reduced the levels of breath pentane. However, in one recent study, dietary supplementation with beta-carotene but not with lycopene was shown to inhibit LDL oxidation. The sources of lycopene used in most of these studies were either tomato products or lycopene extracted from tomatoes containing other carotenoids in various proportions. Therefore, it is not possible to attribute the effects solely to lycopene. Mechanisms other than the antioxidant properties of lycopene have also been shown to reduce the risk of CHD. Lycopene was shown to inhibit the activity of an essential enzyme involved in cholesterol synthesis in an in vitro and a small clinical study suggesting a hypocholesterolemic effect. Other possible mechanisms include enhanced LDL degradation, LDL particle size and composition, plaque rupture, and altered endothelial functions. Recent epidemiological studies have also shown an inverse relationship between tissue and serum levels of lycopene and mortality from CHD, cerebrovascular disease, and myocardial infraction. However, the most impressive population-based evidence comes from a multicenter case-control study where subjects from 10 European countries were evaluated for relationship between antioxidant status and acute myocardial infarctions. After adjusting for a range of dietary variables, only lycopene levels but…","author":[{"dropping-particle":"V","family":"Rao","given":"A","non-dropping-particle":"","parse-names":false,"suffix":""}],"container-title":"Experimental biology and medicine","id":"ITEM-1","issue":"10","issued":{"date-parts":[["2002","11"]]},"page":"908-13","title":"Lycopene, tomatoes, and the prevention of coronary heart disease","type":"article-journal","volume":"227"},"uris":["http://www.mendeley.com/documents/?uuid=f4fa3abc-ed44-49b2-a6a9-f36da5124540"]},{"id":"ITEM-2","itemData":{"DOI":"10.3945/an.114.005231","ISSN":"2156-5376","abstract":"Cardiovascular disease (CVD) is a major contributor to morbidity and mortality in the United States and worldwide. A link between diet and CVD is well established, with dietary modification a foundational component of CVD prevention and management. With the discovery of bioactive components beyond the essential nutrients of foods, a new era of nutritional, medical, botanical, physiologic, and analytical sciences has unfolded. The ability to identify, isolate, purify, and deliver single components has expanded the dietary supplement business and health opportunity for consumers. Lycopene is an example of a food component that has attracted attention from scientists as well as food, agriculture, and dietary supplement industries. A major question, however, is whether delivering lycopene through a supplement source is as effective as or more effective than consuming lycopene through whole food sources, specifically the tomato, which is the richest source of lycopene in the Western diet. In this review, we examined clinical trials comparing the efficacy of lycopene supplements with tomato products on intermediate CVD risk factors including oxidative stress, inflammation, endothelial function, blood pressure, and lipid metabolism. Overall, the present review highlights the need for more targeted research; however, at present, the available clinical research supports consuming tomato-based foods as a first-line approach to cardiovascular health. With the exception of blood pressure management where lycopene supplementation was favored, tomato intake provided more favorable results on cardiovascular risk endpoints than did lycopene supplementation. Indeed, future research that is well designed, clinically focused, mechanistically revealing, and relevant to human intake will undoubtedly add to the growing body of knowledge unveiling the promise of tomatoes and/or lycopene supplementation as an integral component of a heart-healthy diet.","author":[{"dropping-particle":"","family":"Burton-Freeman","given":"Britt M","non-dropping-particle":"","parse-names":false,"suffix":""},{"dropping-particle":"","family":"Sesso","given":"Howard D","non-dropping-particle":"","parse-names":false,"suffix":""}],"container-title":"Advances in Nutrition","id":"ITEM-2","issue":"5","issued":{"date-parts":[["2014","9","1"]]},"page":"457-485","title":"Whole food versus supplement: comparing the clinical evidence of tomato intake and lycopene supplementation on cardiovascular risk factors","type":"article-journal","volume":"5"},"uris":["http://www.mendeley.com/documents/?uuid=bc53094a-9ee9-35e8-80b3-6e87a9a9c3bc"]},{"id":"ITEM-3","itemData":{"DOI":"10.1017/S0007114507791894","ISSN":"0007-1145","abstract":"A human study was carried out to investigate whether tomato juice, rich in natural lycopene and fortified with vitamin C, is able to reduce several biomarkers of oxidative stress and inflammation and whether the effect can be attributed to lycopene, vitamin C or any other micronutrient. Fol-lowing a 2-week depletion phase, volunteers were assigned randomly to ingest either tomato juice with (LC) or without (L) vitamin C fortification for 2 weeks (daily dose 20·6 mg lycopene and 45·5/435 mg vitamin C). Plasma and urine were analysed for carotenoids and vitamin C, lipid status, antioxidant capacity, thiobarbituric acid reactive substances (TBARS) and 8-epi-PGF 2a , protein carbonyls, cytokines IL-1b and TNFa and C-reac-tive protein (CRP). The consumption of tomato juice led to a reduction in total cholesterol levels (L: 157·6 v. 153·2 mg/dl, P¼ 0·008; LC: 153·4 v. 147·4 mg/dl, P¼ 0·002) and that of CRP (L: 315·6 v. 262·3 mg/l, P¼ 0·017; LC: 319·2 v. 247·1 mg/l, P¼ 0·001) in both groups. The vitamin C-for-tified juice slightly raised the antioxidant capacity in urine and decreased TBARS in plasma and urine. All other markers were affected to a lesser extent or remained unchanged. Cholesterol reduction was correlated with lycopene uptake (P¼ 0·003), whereas the other effects could not be related with particular micronutrients. Any beneficial effects of tomato consumption for human health cannot be attributed only to lycopene and, as the additional supplementation with ascorbic acid indicates, a variety of antioxidants might be needed to optimize protection against chronic diseases.","author":[{"dropping-particle":"","family":"Jacob","given":"Karin","non-dropping-particle":"","parse-names":false,"suffix":""},{"dropping-particle":"","family":"Periago","given":"María J.","non-dropping-particle":"","parse-names":false,"suffix":""},{"dropping-particle":"","family":"Böhm","given":"Volker","non-dropping-particle":"","parse-names":false,"suffix":""},{"dropping-particle":"","family":"Berruezo","given":"Gaspar Ros","non-dropping-particle":"","parse-names":false,"suffix":""}],"container-title":"British Journal of Nutrition","id":"ITEM-3","issue":"01","issued":{"date-parts":[["2017","1","19"]]},"page":"137-146","title":"Influence of lycopene and vitamin C from tomato juice on biomarkers of oxidative stress and inflammation","type":"article-journal","volume":"99"},"uris":["http://www.mendeley.com/documents/?uuid=8ea81c0a-27fe-4a39-976d-9208c0f938dd"]},{"id":"ITEM-4","itemData":{"abstract":"Background: Fat tissue mediates the production of inflam-matory cytokines and oxidative products, which are key steps in the development of type 2 diabetes and atherosclerosis. Antioxidant-rich diets protect against chronic diseases. Anti-oxidants may interfere with pro-inflammatory signals. Objectives: To investigate the effect of the potent tomato-derived antioxidant carotenoid, lycopene, on plasma anti-oxidants (carotenoids and vitamin E), inflammatory markers (C-reactive protein, interleukin-6, tumor necrosis factor-alpha) and oxidation products (conjugated dienes). methods: Eight obese patients (body mass index 37.5 ± 2.5 kg/m 2) were compared with a control group of eight lean, age and gender-matched subjects (BMI 21.6 ± 0.6 kg/m 2), before and after 4 weeks of lycopene supplementation (tomato-derived Lyc-O-Mato) (30 mg daily). results: Plasma carotenoids were significantly reduced in the obese compared to control subjects (0.54 ± 0.06 vs. 0.87 ± 0.08 µg/ml, P &lt; 0.01). CRP levels were significantly higher (6.5 vs. 1.1 mg/L, P = 0.04) in obese vs. controls, as were IL-6 and conjugated dienes (3.6 and 7.9-fold, respectively). CRP, IL-6 and conjugated dienes correlated with BMI, while IL-6 and conjugated dienes correlated inversely with carotenoids (P &lt; 0.05). Following lycopene treatment, a significant elevation of plasma carotenoids (1.79 vs. 0.54 µg/ml) and specifically lycopene (1.15 vs 0.23 µg/ml) (P &lt; 0.001) occurred in the treatment vs. the placebo group, respectively. Markers of inflammation and oxidation products were not altered by lycopene. conclusions: Obese patients showed abnormally higher markers of inflammation and oxidation products and lower plasma carotenoids. The lack of reduction of pro-inflammatory markers could be attributed to the short period of the study and the small number of participants. More studies are needed on the protective qualities of natural antioxidant-rich diets against obesity-related co-morbidities.","author":[{"dropping-particle":"","family":"Markovits","given":"Noa","non-dropping-particle":"","parse-names":false,"suffix":""},{"dropping-particle":"","family":"Amotz","given":"Ami","non-dropping-particle":"","parse-names":false,"suffix":""},{"dropping-particle":"","family":"Levy","given":"Yishai","non-dropping-particle":"","parse-names":false,"suffix":""}],"container-title":"IMAJ","id":"ITEM-4","issued":{"date-parts":[["2009"]]},"page":"598-601","title":"The effect of tomato-derived lycopene on low carotenoids and enhanced systemic inflammation and Oxidation in severe Obesity","type":"article-journal","volume":"11"},"uris":["http://www.mendeley.com/documents/?uuid=5de31362-5a03-3b3c-9824-ed7b07caffd2"]}],"mendeley":{"formattedCitation":"(43–46)","plainTextFormattedCitation":"(43–46)","previouslyFormattedCitation":"(43–46)"},"properties":{"noteIndex":0},"schema":"https://github.com/citation-style-language/schema/raw/master/csl-citation.json"}</w:instrText>
            </w:r>
            <w:r w:rsidR="00CF17DA"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(43–46)</w:t>
            </w:r>
            <w:r w:rsidR="00CF17DA"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3C84C131"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-0.78</w:t>
            </w:r>
          </w:p>
        </w:tc>
      </w:tr>
      <w:tr w:rsidR="003B1705" w:rsidRPr="004D453A" w14:paraId="3E28E32E" w14:textId="77777777" w:rsidTr="003B1705">
        <w:trPr>
          <w:trHeight w:val="576"/>
        </w:trPr>
        <w:tc>
          <w:tcPr>
            <w:tcW w:w="1046" w:type="pct"/>
            <w:tcBorders>
              <w:top w:val="nil"/>
              <w:left w:val="nil"/>
              <w:bottom w:val="nil"/>
              <w:right w:val="nil"/>
            </w:tcBorders>
            <w:shd w:val="clear" w:color="000000" w:fill="FFFFFF"/>
          </w:tcPr>
          <w:p w14:paraId="73C7DA49"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 xml:space="preserve">Other fats </w:t>
            </w:r>
          </w:p>
        </w:tc>
        <w:tc>
          <w:tcPr>
            <w:tcW w:w="1324" w:type="pct"/>
            <w:tcBorders>
              <w:top w:val="nil"/>
              <w:left w:val="nil"/>
              <w:bottom w:val="nil"/>
              <w:right w:val="nil"/>
            </w:tcBorders>
            <w:shd w:val="clear" w:color="000000" w:fill="FFFFFF"/>
          </w:tcPr>
          <w:p w14:paraId="550E19E1"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Mayonnaise, margarine, butter, vegetable oil</w:t>
            </w:r>
          </w:p>
        </w:tc>
        <w:tc>
          <w:tcPr>
            <w:tcW w:w="2161" w:type="pct"/>
            <w:tcBorders>
              <w:top w:val="nil"/>
              <w:left w:val="nil"/>
              <w:bottom w:val="nil"/>
              <w:right w:val="nil"/>
            </w:tcBorders>
            <w:shd w:val="clear" w:color="000000" w:fill="FFFFFF"/>
          </w:tcPr>
          <w:p w14:paraId="1903B438" w14:textId="77777777" w:rsidR="003B1705" w:rsidRPr="004D453A" w:rsidRDefault="003B1705" w:rsidP="003B1705">
            <w:pPr>
              <w:rPr>
                <w:rFonts w:ascii="Arial" w:hAnsi="Arial" w:cs="Arial"/>
                <w:color w:val="000000"/>
                <w:sz w:val="18"/>
                <w:szCs w:val="18"/>
              </w:rPr>
            </w:pPr>
            <w:r w:rsidRPr="004D453A">
              <w:rPr>
                <w:rFonts w:ascii="Arial" w:hAnsi="Arial" w:cs="Arial"/>
                <w:color w:val="000000" w:themeColor="text1"/>
                <w:sz w:val="18"/>
                <w:szCs w:val="18"/>
              </w:rPr>
              <w:t xml:space="preserve">Contain Ω-6 fatty acids and saturated fats (see ‘red and organ meats’ above) </w:t>
            </w:r>
          </w:p>
        </w:tc>
        <w:tc>
          <w:tcPr>
            <w:tcW w:w="469" w:type="pct"/>
            <w:tcBorders>
              <w:top w:val="nil"/>
              <w:left w:val="nil"/>
              <w:bottom w:val="nil"/>
              <w:right w:val="nil"/>
            </w:tcBorders>
            <w:shd w:val="clear" w:color="000000" w:fill="FFFFFF"/>
          </w:tcPr>
          <w:p w14:paraId="3E2575E7"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0.31</w:t>
            </w:r>
          </w:p>
        </w:tc>
      </w:tr>
      <w:tr w:rsidR="003B1705" w:rsidRPr="004D453A" w14:paraId="62C973A0" w14:textId="77777777" w:rsidTr="003B1705">
        <w:trPr>
          <w:trHeight w:val="864"/>
        </w:trPr>
        <w:tc>
          <w:tcPr>
            <w:tcW w:w="1046" w:type="pct"/>
            <w:tcBorders>
              <w:top w:val="nil"/>
              <w:left w:val="nil"/>
              <w:bottom w:val="nil"/>
              <w:right w:val="nil"/>
            </w:tcBorders>
            <w:shd w:val="clear" w:color="000000" w:fill="FFFFFF"/>
            <w:hideMark/>
          </w:tcPr>
          <w:p w14:paraId="41A02165"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 xml:space="preserve">Supplement </w:t>
            </w:r>
            <w:proofErr w:type="spellStart"/>
            <w:r w:rsidRPr="004D453A">
              <w:rPr>
                <w:rFonts w:ascii="Arial" w:hAnsi="Arial" w:cs="Arial"/>
                <w:color w:val="000000" w:themeColor="text1"/>
                <w:sz w:val="18"/>
                <w:szCs w:val="18"/>
              </w:rPr>
              <w:t>score</w:t>
            </w:r>
            <w:r w:rsidRPr="004D453A">
              <w:rPr>
                <w:rFonts w:ascii="Arial" w:hAnsi="Arial" w:cs="Arial"/>
                <w:color w:val="000000" w:themeColor="text1"/>
                <w:sz w:val="18"/>
                <w:szCs w:val="18"/>
                <w:vertAlign w:val="superscript"/>
              </w:rPr>
              <w:t>c</w:t>
            </w:r>
            <w:proofErr w:type="spellEnd"/>
            <w:r w:rsidRPr="004D453A">
              <w:rPr>
                <w:rFonts w:ascii="Arial" w:hAnsi="Arial" w:cs="Arial"/>
                <w:color w:val="000000" w:themeColor="text1"/>
                <w:sz w:val="18"/>
                <w:szCs w:val="18"/>
              </w:rPr>
              <w:t xml:space="preserve"> </w:t>
            </w:r>
          </w:p>
        </w:tc>
        <w:tc>
          <w:tcPr>
            <w:tcW w:w="1324" w:type="pct"/>
            <w:tcBorders>
              <w:top w:val="nil"/>
              <w:left w:val="nil"/>
              <w:bottom w:val="nil"/>
              <w:right w:val="nil"/>
            </w:tcBorders>
            <w:shd w:val="clear" w:color="000000" w:fill="FFFFFF"/>
            <w:hideMark/>
          </w:tcPr>
          <w:p w14:paraId="372DF6AF"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Ranked score of supplements, including:  vitamins A, B</w:t>
            </w:r>
            <w:r w:rsidRPr="004D453A">
              <w:rPr>
                <w:rFonts w:ascii="Arial" w:hAnsi="Arial" w:cs="Arial"/>
                <w:color w:val="000000" w:themeColor="text1"/>
                <w:sz w:val="18"/>
                <w:szCs w:val="18"/>
                <w:vertAlign w:val="subscript"/>
              </w:rPr>
              <w:t>1</w:t>
            </w:r>
            <w:r w:rsidRPr="004D453A">
              <w:rPr>
                <w:rFonts w:ascii="Arial" w:hAnsi="Arial" w:cs="Arial"/>
                <w:color w:val="000000" w:themeColor="text1"/>
                <w:sz w:val="18"/>
                <w:szCs w:val="18"/>
              </w:rPr>
              <w:t>, B</w:t>
            </w:r>
            <w:r w:rsidRPr="004D453A">
              <w:rPr>
                <w:rFonts w:ascii="Arial" w:hAnsi="Arial" w:cs="Arial"/>
                <w:color w:val="000000" w:themeColor="text1"/>
                <w:sz w:val="18"/>
                <w:szCs w:val="18"/>
                <w:vertAlign w:val="subscript"/>
              </w:rPr>
              <w:t>12</w:t>
            </w:r>
            <w:r w:rsidRPr="004D453A">
              <w:rPr>
                <w:rFonts w:ascii="Arial" w:hAnsi="Arial" w:cs="Arial"/>
                <w:color w:val="000000" w:themeColor="text1"/>
                <w:sz w:val="18"/>
                <w:szCs w:val="18"/>
              </w:rPr>
              <w:t>, B</w:t>
            </w:r>
            <w:r w:rsidRPr="004D453A">
              <w:rPr>
                <w:rFonts w:ascii="Arial" w:hAnsi="Arial" w:cs="Arial"/>
                <w:color w:val="000000" w:themeColor="text1"/>
                <w:sz w:val="18"/>
                <w:szCs w:val="18"/>
                <w:vertAlign w:val="subscript"/>
              </w:rPr>
              <w:t>6</w:t>
            </w:r>
            <w:r w:rsidRPr="004D453A">
              <w:rPr>
                <w:rFonts w:ascii="Arial" w:hAnsi="Arial" w:cs="Arial"/>
                <w:color w:val="000000" w:themeColor="text1"/>
                <w:sz w:val="18"/>
                <w:szCs w:val="18"/>
              </w:rPr>
              <w:t>, C, D, and E; and β-carotene, folate, niacin, riboflavin, calcium, copper, iron, magnesium, selenium, and zinc</w:t>
            </w:r>
          </w:p>
        </w:tc>
        <w:tc>
          <w:tcPr>
            <w:tcW w:w="2161" w:type="pct"/>
            <w:tcBorders>
              <w:top w:val="nil"/>
              <w:left w:val="nil"/>
              <w:bottom w:val="nil"/>
              <w:right w:val="nil"/>
            </w:tcBorders>
            <w:shd w:val="clear" w:color="000000" w:fill="FFFFFF"/>
            <w:hideMark/>
          </w:tcPr>
          <w:p w14:paraId="795D6CFD"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Comprises micro-nutrients, minerals, and vitamins solely from supplement intakes, some with similar mechanisms to those described above (e.g., iron as pro-oxidant, vitamins A, C, and E as antioxidants)</w:t>
            </w:r>
          </w:p>
        </w:tc>
        <w:tc>
          <w:tcPr>
            <w:tcW w:w="469" w:type="pct"/>
            <w:tcBorders>
              <w:top w:val="nil"/>
              <w:left w:val="nil"/>
              <w:bottom w:val="nil"/>
              <w:right w:val="nil"/>
            </w:tcBorders>
            <w:shd w:val="clear" w:color="000000" w:fill="FFFFFF"/>
            <w:hideMark/>
          </w:tcPr>
          <w:p w14:paraId="102B28D0"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-0.80</w:t>
            </w:r>
          </w:p>
        </w:tc>
      </w:tr>
      <w:tr w:rsidR="003B1705" w:rsidRPr="004D453A" w14:paraId="4F63998B" w14:textId="77777777" w:rsidTr="003B1705">
        <w:trPr>
          <w:trHeight w:val="126"/>
        </w:trPr>
        <w:tc>
          <w:tcPr>
            <w:tcW w:w="1046" w:type="pct"/>
            <w:tcBorders>
              <w:top w:val="nil"/>
              <w:left w:val="nil"/>
              <w:bottom w:val="nil"/>
              <w:right w:val="nil"/>
            </w:tcBorders>
            <w:shd w:val="clear" w:color="000000" w:fill="FFFFFF"/>
            <w:vAlign w:val="bottom"/>
            <w:hideMark/>
          </w:tcPr>
          <w:p w14:paraId="6565A693" w14:textId="77777777" w:rsidR="003B1705" w:rsidRPr="004D453A" w:rsidRDefault="003B1705" w:rsidP="003B1705">
            <w:pPr>
              <w:rPr>
                <w:rFonts w:ascii="Arial" w:hAnsi="Arial" w:cs="Arial"/>
                <w:i/>
                <w:iCs/>
                <w:color w:val="000000" w:themeColor="text1"/>
                <w:sz w:val="18"/>
                <w:szCs w:val="18"/>
              </w:rPr>
            </w:pPr>
            <w:r w:rsidRPr="004D453A">
              <w:rPr>
                <w:rFonts w:ascii="Arial" w:hAnsi="Arial" w:cs="Arial"/>
                <w:i/>
                <w:iCs/>
                <w:color w:val="000000" w:themeColor="text1"/>
                <w:sz w:val="18"/>
                <w:szCs w:val="18"/>
              </w:rPr>
              <w:t>LIS components</w:t>
            </w:r>
          </w:p>
        </w:tc>
        <w:tc>
          <w:tcPr>
            <w:tcW w:w="1324" w:type="pct"/>
            <w:tcBorders>
              <w:top w:val="nil"/>
              <w:left w:val="nil"/>
              <w:bottom w:val="nil"/>
              <w:right w:val="nil"/>
            </w:tcBorders>
            <w:shd w:val="clear" w:color="000000" w:fill="FFFFFF"/>
            <w:vAlign w:val="bottom"/>
            <w:hideMark/>
          </w:tcPr>
          <w:p w14:paraId="07B4535C"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 </w:t>
            </w:r>
          </w:p>
        </w:tc>
        <w:tc>
          <w:tcPr>
            <w:tcW w:w="2161" w:type="pct"/>
            <w:tcBorders>
              <w:top w:val="nil"/>
              <w:left w:val="nil"/>
              <w:bottom w:val="nil"/>
              <w:right w:val="nil"/>
            </w:tcBorders>
            <w:shd w:val="clear" w:color="000000" w:fill="FFFFFF"/>
            <w:vAlign w:val="bottom"/>
            <w:hideMark/>
          </w:tcPr>
          <w:p w14:paraId="2BEEB0DD"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 </w:t>
            </w:r>
          </w:p>
        </w:tc>
        <w:tc>
          <w:tcPr>
            <w:tcW w:w="469" w:type="pct"/>
            <w:tcBorders>
              <w:top w:val="nil"/>
              <w:left w:val="nil"/>
              <w:bottom w:val="nil"/>
              <w:right w:val="nil"/>
            </w:tcBorders>
            <w:shd w:val="clear" w:color="000000" w:fill="FFFFFF"/>
            <w:hideMark/>
          </w:tcPr>
          <w:p w14:paraId="7F03C9DA" w14:textId="77777777" w:rsidR="003B1705" w:rsidRPr="004D453A" w:rsidRDefault="003B1705" w:rsidP="003B1705">
            <w:pPr>
              <w:jc w:val="center"/>
              <w:rPr>
                <w:rFonts w:ascii="Arial" w:hAnsi="Arial" w:cs="Arial"/>
                <w:color w:val="000000" w:themeColor="text1"/>
                <w:sz w:val="18"/>
                <w:szCs w:val="18"/>
              </w:rPr>
            </w:pPr>
          </w:p>
        </w:tc>
      </w:tr>
      <w:tr w:rsidR="003B1705" w:rsidRPr="004D453A" w14:paraId="28F40395" w14:textId="77777777" w:rsidTr="003B1705">
        <w:trPr>
          <w:trHeight w:val="720"/>
        </w:trPr>
        <w:tc>
          <w:tcPr>
            <w:tcW w:w="1046" w:type="pct"/>
            <w:tcBorders>
              <w:top w:val="nil"/>
              <w:left w:val="nil"/>
              <w:bottom w:val="nil"/>
              <w:right w:val="nil"/>
            </w:tcBorders>
            <w:shd w:val="clear" w:color="000000" w:fill="FFFFFF"/>
            <w:hideMark/>
          </w:tcPr>
          <w:p w14:paraId="3B065252"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 xml:space="preserve">Overweight BMI </w:t>
            </w:r>
          </w:p>
        </w:tc>
        <w:tc>
          <w:tcPr>
            <w:tcW w:w="1324" w:type="pct"/>
            <w:tcBorders>
              <w:top w:val="nil"/>
              <w:left w:val="nil"/>
              <w:bottom w:val="nil"/>
              <w:right w:val="nil"/>
            </w:tcBorders>
            <w:shd w:val="clear" w:color="000000" w:fill="FFFFFF"/>
            <w:hideMark/>
          </w:tcPr>
          <w:p w14:paraId="7C90F20C"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 xml:space="preserve">Overweight BMI vs. normal BMI </w:t>
            </w:r>
          </w:p>
        </w:tc>
        <w:tc>
          <w:tcPr>
            <w:tcW w:w="2161" w:type="pct"/>
            <w:tcBorders>
              <w:top w:val="nil"/>
              <w:left w:val="nil"/>
              <w:bottom w:val="nil"/>
              <w:right w:val="nil"/>
            </w:tcBorders>
            <w:shd w:val="clear" w:color="000000" w:fill="FFFFFF"/>
            <w:hideMark/>
          </w:tcPr>
          <w:p w14:paraId="5FA2A387" w14:textId="49BEC05E"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Adipose tissue synthesizes and releases pro-inflammatory adipokines, such as plasminogen activator inhibitor–1 (PA1) and TNF-</w:t>
            </w:r>
            <w:r w:rsidRPr="004D453A">
              <w:rPr>
                <w:rFonts w:ascii="Arial" w:eastAsia="Arial Unicode MS" w:hAnsi="Arial" w:cs="Arial"/>
                <w:color w:val="000000" w:themeColor="text1"/>
                <w:sz w:val="18"/>
                <w:szCs w:val="18"/>
              </w:rPr>
              <w:t>α</w:t>
            </w:r>
            <w:r w:rsidRPr="004D453A">
              <w:rPr>
                <w:rFonts w:ascii="Arial" w:hAnsi="Arial" w:cs="Arial"/>
                <w:color w:val="000000" w:themeColor="text1"/>
                <w:sz w:val="18"/>
                <w:szCs w:val="18"/>
              </w:rPr>
              <w:t xml:space="preserve"> </w:t>
            </w:r>
            <w:r w:rsidR="00CF17DA"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{"citationItems":[{"id":"ITEM-1","itemData":{"DOI":"10.1172/JCI21625","ISSN":"0021-9738","PMID":"15599400","abstract":"Obesity is a principal causative factor in the development of metabolic syndrome. Here we report that increased oxidative stress in accumulated fat is an important pathogenic mechanism of obesity-associated metabolic syndrome. Fat accumulation correlated with systemic oxidative stress in humans and mice. Production of ROS increased selectively in adipose tissue of obese mice, accompanied by augmented expression of NADPH oxidase and decreased expression of antioxidative enzymes. In cultured adipocytes, elevated levels of fatty acids increased oxidative stress via NADPH oxidase activation, and oxidative stress caused dysregulated production of adipocytokines (fat-derived hormones), including adiponectin, plasminogen activator inhibitor-1, IL-6, and monocyte chemotactic protein-1. Finally, in obese mice, treatment with NADPH oxidase inhibitor reduced ROS production in adipose tissue, attenuated the dysregulation of adipocytokines, and improved diabetes, hyperlipidemia, and hepatic steatosis. Collectively, our results suggest that increased oxidative stress in accumulated fat is an early instigator of metabolic syndrome and that the redox state in adipose tissue is a potentially useful therapeutic target for obesity-associated metabolic syndrome.","author":[{"dropping-particle":"","family":"Furukawa","given":"Shigetada","non-dropping-particle":"","parse-names":false,"suffix":""},{"dropping-particle":"","family":"Fujita","given":"Takuya","non-dropping-particle":"","parse-names":false,"suffix":""},{"dropping-particle":"","family":"Shimabukuro","given":"Michio","non-dropping-particle":"","parse-names":false,"suffix":""},{"dropping-particle":"","family":"Iwaki","given":"Masanori","non-dropping-particle":"","parse-names":false,"suffix":""},{"dropping-particle":"","family":"Yamada","given":"Yukio","non-dropping-particle":"","parse-names":false,"suffix":""},{"dropping-particle":"","family":"Nakajima","given":"Yoshimitsu","non-dropping-particle":"","parse-names":false,"suffix":""},{"dropping-particle":"","family":"Nakayama","given":"Osamu","non-dropping-particle":"","parse-names":false,"suffix":""},{"dropping-particle":"","family":"Makishima","given":"Makoto","non-dropping-particle":"","parse-names":false,"suffix":""},{"dropping-particle":"","family":"Matsuda","given":"Morihiro","non-dropping-particle":"","parse-names":false,"suffix":""},{"dropping-particle":"","family":"Shimomura","given":"Iichiro","non-dropping-particle":"","parse-names":false,"suffix":""}],"container-title":"The Journal of clinical investigation","id":"ITEM-1","issue":"12","issued":{"date-parts":[["2004","12","5"]]},"page":"1752-61","title":"Increased oxidative stress in obesity and its impact on metabolic syndrome.","type":"article-journal","volume":"114"},"uris":["http://www.mendeley.com/documents/?uuid=57eec57b-a8d6-3f78-99c7-17674213326b"]},{"id":"ITEM-2","itemData":{"DOI":"10.1017/S0007114511005460","ISSN":"0007-1145","author":[{"dropping-particle":"","family":"Calder","given":"Philip C.","non-dropping-particle":"","parse-names":false,"suffix":""},{"dropping-particle":"","family":"Ahluwalia","given":"Namanjeet","non-dropping-particle":"","parse-names":false,"suffix":""},{"dropping-particle":"","family":"Brouns","given":"Fred","non-dropping-particle":"","parse-names":false,"suffix":""},{"dropping-particle":"","family":"Buetler","given":"Timo","non-dropping-particle":"","parse-names":false,"suffix":""},{"dropping-particle":"","family":"Clement","given":"Karine","non-dropping-particle":"","parse-names":false,"suffix":""},{"dropping-particle":"","family":"Cunningham","given":"Karen","non-dropping-particle":"","parse-names":false,"suffix":""},{"dropping-particle":"","family":"Esposito","given":"Katherine","non-dropping-particle":"","parse-names":false,"suffix":""},{"dropping-particle":"","family":"Jönsson","given":"Lena S.","non-dropping-particle":"","parse-names":false,"suffix":""},{"dropping-particle":"","family":"Kolb","given":"Hubert","non-dropping-particle":"","parse-names":false,"suffix":""},{"dropping-particle":"","family":"Lansink","given":"Mirian","non-dropping-particle":"","parse-names":false,"suffix":""},{"dropping-particle":"","family":"Marcos","given":"Ascension","non-dropping-particle":"","parse-names":false,"suffix":""},{"dropping-particle":"","family":"Margioris","given":"Andrew","non-dropping-particle":"","parse-names":false,"suffix":""},{"dropping-particle":"","family":"Matusheski","given":"Nathan","non-dropping-particle":"","parse-names":false,"suffix":""},{"dropping-particle":"","family":"Nordmann","given":"Herve","non-dropping-particle":"","parse-names":false,"suffix":""},{"dropping-particle":"","family":"O'Brien","given":"John","non-dropping-particle":"","parse-names":false,"suffix":""},{"dropping-particle":"","family":"Pugliese","given":"Giuseppe","non-dropping-particle":"","parse-names":false,"suffix":""},{"dropping-particle":"","family":"Rizkalla","given":"Salwa","non-dropping-particle":"","parse-names":false,"suffix":""},{"dropping-particle":"","family":"Schalkwijk","given":"Casper","non-dropping-particle":"","parse-names":false,"suffix":""},{"dropping-particle":"","family":"Tuomilehto","given":"Jaakko","non-dropping-particle":"","parse-names":false,"suffix":""},{"dropping-particle":"","family":"Wärnberg","given":"Julia","non-dropping-particle":"","parse-names":false,"suffix":""},{"dropping-particle":"","family":"Watzl","given":"Bernhard","non-dropping-particle":"","parse-names":false,"suffix":""},{"dropping-particle":"","family":"Winklhofer-Roob","given":"Brigitte M.","non-dropping-particle":"","parse-names":false,"suffix":""}],"container-title":"British Journal of Nutrition","id":"ITEM-2","issue":"S3","issued":{"date-parts":[["2011","12","2"]]},"page":"S5-S78","title":"Dietary factors and low-grade inflammation in relation to overweight and obesity","type":"article-journal","volume":"106"},"uris":["http://www.mendeley.com/documents/?uuid=c5a9d3f8-0257-3f97-af91-d60d35e9ed53"]}],"mendeley":{"formattedCitation":"(47,48)","plainTextFormattedCitation":"(47,48)","previouslyFormattedCitation":"(47,48)"},"properties":{"noteIndex":0},"schema":"https://github.com/citation-style-language/schema/raw/master/csl-citation.json"}</w:instrText>
            </w:r>
            <w:r w:rsidR="00CF17DA"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(47,48)</w:t>
            </w:r>
            <w:r w:rsidR="00CF17DA"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7D6864E8"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0.89</w:t>
            </w:r>
          </w:p>
        </w:tc>
      </w:tr>
      <w:tr w:rsidR="003B1705" w:rsidRPr="004D453A" w14:paraId="4226C4E8" w14:textId="77777777" w:rsidTr="003B1705">
        <w:trPr>
          <w:trHeight w:val="315"/>
        </w:trPr>
        <w:tc>
          <w:tcPr>
            <w:tcW w:w="1046" w:type="pct"/>
            <w:tcBorders>
              <w:top w:val="nil"/>
              <w:left w:val="nil"/>
              <w:bottom w:val="nil"/>
              <w:right w:val="nil"/>
            </w:tcBorders>
            <w:shd w:val="clear" w:color="000000" w:fill="FFFFFF"/>
            <w:hideMark/>
          </w:tcPr>
          <w:p w14:paraId="343A22CD"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Obese BMI</w:t>
            </w:r>
          </w:p>
        </w:tc>
        <w:tc>
          <w:tcPr>
            <w:tcW w:w="1324" w:type="pct"/>
            <w:tcBorders>
              <w:top w:val="nil"/>
              <w:left w:val="nil"/>
              <w:bottom w:val="nil"/>
              <w:right w:val="nil"/>
            </w:tcBorders>
            <w:shd w:val="clear" w:color="000000" w:fill="FFFFFF"/>
            <w:hideMark/>
          </w:tcPr>
          <w:p w14:paraId="3555EABD"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Obese BMI vs. normal BMI</w:t>
            </w:r>
          </w:p>
        </w:tc>
        <w:tc>
          <w:tcPr>
            <w:tcW w:w="2161" w:type="pct"/>
            <w:tcBorders>
              <w:top w:val="nil"/>
              <w:left w:val="nil"/>
              <w:bottom w:val="nil"/>
              <w:right w:val="nil"/>
            </w:tcBorders>
            <w:shd w:val="clear" w:color="000000" w:fill="FFFFFF"/>
            <w:hideMark/>
          </w:tcPr>
          <w:p w14:paraId="3C1B2D73"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Mechanisms similar to those described above</w:t>
            </w:r>
          </w:p>
        </w:tc>
        <w:tc>
          <w:tcPr>
            <w:tcW w:w="469" w:type="pct"/>
            <w:tcBorders>
              <w:top w:val="nil"/>
              <w:left w:val="nil"/>
              <w:bottom w:val="nil"/>
              <w:right w:val="nil"/>
            </w:tcBorders>
            <w:shd w:val="clear" w:color="000000" w:fill="FFFFFF"/>
            <w:hideMark/>
          </w:tcPr>
          <w:p w14:paraId="79AB77FB"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1.57</w:t>
            </w:r>
          </w:p>
        </w:tc>
      </w:tr>
      <w:tr w:rsidR="003B1705" w:rsidRPr="004D453A" w14:paraId="5749E05A" w14:textId="77777777" w:rsidTr="003B1705">
        <w:trPr>
          <w:trHeight w:val="585"/>
        </w:trPr>
        <w:tc>
          <w:tcPr>
            <w:tcW w:w="1046" w:type="pct"/>
            <w:tcBorders>
              <w:top w:val="nil"/>
              <w:left w:val="nil"/>
              <w:bottom w:val="nil"/>
              <w:right w:val="nil"/>
            </w:tcBorders>
            <w:shd w:val="clear" w:color="000000" w:fill="FFFFFF"/>
            <w:hideMark/>
          </w:tcPr>
          <w:p w14:paraId="645CC156"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Heavy drinker</w:t>
            </w:r>
          </w:p>
        </w:tc>
        <w:tc>
          <w:tcPr>
            <w:tcW w:w="1324" w:type="pct"/>
            <w:tcBorders>
              <w:top w:val="nil"/>
              <w:left w:val="nil"/>
              <w:bottom w:val="nil"/>
              <w:right w:val="nil"/>
            </w:tcBorders>
            <w:shd w:val="clear" w:color="000000" w:fill="FFFFFF"/>
            <w:hideMark/>
          </w:tcPr>
          <w:p w14:paraId="5571DDE7"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Heavy (&gt; 7 drinks/wk for women, &gt; 14 drinks/wk drinks for men) vs. non-drinker</w:t>
            </w:r>
          </w:p>
        </w:tc>
        <w:tc>
          <w:tcPr>
            <w:tcW w:w="2161" w:type="pct"/>
            <w:tcBorders>
              <w:top w:val="nil"/>
              <w:left w:val="nil"/>
              <w:bottom w:val="nil"/>
              <w:right w:val="nil"/>
            </w:tcBorders>
            <w:shd w:val="clear" w:color="000000" w:fill="FFFFFF"/>
            <w:hideMark/>
          </w:tcPr>
          <w:p w14:paraId="0C5AC2B5" w14:textId="45B01CEE"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Heavy alcohol intake results in oxidative stress via oxidation of ethanol to acetaldehyde</w:t>
            </w:r>
            <w:r w:rsidR="00CF17DA" w:rsidRPr="004D453A">
              <w:rPr>
                <w:rFonts w:ascii="Arial" w:hAnsi="Arial" w:cs="Arial"/>
                <w:color w:val="000000" w:themeColor="text1"/>
                <w:sz w:val="18"/>
                <w:szCs w:val="18"/>
              </w:rPr>
              <w:t xml:space="preserve"> </w:t>
            </w:r>
            <w:r w:rsidR="00CF17DA"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{"citationItems":[{"id":"ITEM-1","itemData":{"DOI":"10.1111/j.1440-1746.2006.04589.x","abstract":"Epidemiological and animal studies have demonstrated that alcohol abuse is directly associated with the increase of multiple organ diseases, such as liver injury, cardiovascular diseases, and neurological disorders. While the mechanisms of alcohol-induced cell injury and disease remain to be investigated, recent studies indicate that reactive oxygen species (ROS) may play an important role. Reactive oxygen species are able to cause various cellular injuries, such as DNA damage, lipid peroxidation and protein modification. Cellular systems are protected from ROS-induced cell injuries by an array of defenses composed of various anti-oxidants with different functions. When the ROS present in the cellular system overpower the defense systems, they will cause oxidative stress or cell injury, leading to the development of diseases. This article reviews recent literature on alcohol-induced ROS production, oxidative stress, signal transduction, and cellular responses. The implication of these processes in alcohol-related diseases is also discussed.","author":[{"dropping-particle":"","family":"Wu","given":"Dongmei","non-dropping-particle":"","parse-names":false,"suffix":""},{"dropping-particle":"","family":"Zhai","given":"Qiwei","non-dropping-particle":"","parse-names":false,"suffix":""},{"dropping-particle":"","family":"Shi","given":"Xianglin","non-dropping-particle":"","parse-names":false,"suffix":""}],"container-title":"Journal of Gastroenterology and Hepatology","id":"ITEM-1","issued":{"date-parts":[["2006"]]},"page":"26-29","title":"Alcohol-induced oxidative stress and cell responses","type":"article-journal","volume":"21"},"uris":["http://www.mendeley.com/documents/?uuid=62a0ad35-a18d-394d-a786-9cd23013268c"]},{"id":"ITEM-2","itemData":{"author":[{"dropping-particle":"","family":"Kumar Das","given":"S","non-dropping-particle":"","parse-names":false,"suffix":""},{"dropping-particle":"","family":"Vasudevan DM","given":"","non-dropping-particle":"","parse-names":false,"suffix":""}],"container-title":"Life Sciences","id":"ITEM-2","issue":"3","issued":{"date-parts":[["2007"]]},"page":"177-187","title":"Alcohol-induced oxidative stress","type":"article-journal","volume":"81"},"uris":["http://www.mendeley.com/documents/?uuid=3c98fbdd-a910-3003-8936-69ff802e4f3f"]}],"mendeley":{"formattedCitation":"(49,50)","plainTextFormattedCitation":"(49,50)","previouslyFormattedCitation":"(49,50)"},"properties":{"noteIndex":0},"schema":"https://github.com/citation-style-language/schema/raw/master/csl-citation.json"}</w:instrText>
            </w:r>
            <w:r w:rsidR="00CF17DA"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(49,50)</w:t>
            </w:r>
            <w:r w:rsidR="00CF17DA"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10EC60CA"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0.30</w:t>
            </w:r>
          </w:p>
        </w:tc>
      </w:tr>
      <w:tr w:rsidR="003B1705" w:rsidRPr="004D453A" w14:paraId="71756B51" w14:textId="77777777" w:rsidTr="003B1705">
        <w:trPr>
          <w:trHeight w:val="1152"/>
        </w:trPr>
        <w:tc>
          <w:tcPr>
            <w:tcW w:w="1046" w:type="pct"/>
            <w:tcBorders>
              <w:top w:val="nil"/>
              <w:left w:val="nil"/>
              <w:bottom w:val="nil"/>
              <w:right w:val="nil"/>
            </w:tcBorders>
            <w:shd w:val="clear" w:color="000000" w:fill="FFFFFF"/>
            <w:hideMark/>
          </w:tcPr>
          <w:p w14:paraId="4830B4A9"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Moderate drinker</w:t>
            </w:r>
          </w:p>
        </w:tc>
        <w:tc>
          <w:tcPr>
            <w:tcW w:w="1324" w:type="pct"/>
            <w:tcBorders>
              <w:top w:val="nil"/>
              <w:left w:val="nil"/>
              <w:bottom w:val="nil"/>
              <w:right w:val="nil"/>
            </w:tcBorders>
            <w:shd w:val="clear" w:color="000000" w:fill="FFFFFF"/>
            <w:hideMark/>
          </w:tcPr>
          <w:p w14:paraId="0F8F9AAE"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Moderate (1 – 7 drinks/wk for women, 1 – 14 drinks/wk for men) vs. non-drinker</w:t>
            </w:r>
          </w:p>
        </w:tc>
        <w:tc>
          <w:tcPr>
            <w:tcW w:w="2161" w:type="pct"/>
            <w:tcBorders>
              <w:top w:val="nil"/>
              <w:left w:val="nil"/>
              <w:bottom w:val="nil"/>
              <w:right w:val="nil"/>
            </w:tcBorders>
            <w:shd w:val="clear" w:color="000000" w:fill="FFFFFF"/>
            <w:hideMark/>
          </w:tcPr>
          <w:p w14:paraId="132DAC2D" w14:textId="70E67BBC"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 xml:space="preserve">A metabolite of ethanol is acetate, which can </w:t>
            </w:r>
            <w:r w:rsidRPr="004D453A">
              <w:rPr>
                <w:rFonts w:ascii="Calibri" w:hAnsi="Calibri" w:cs="Calibri"/>
                <w:color w:val="000000" w:themeColor="text1"/>
                <w:sz w:val="18"/>
                <w:szCs w:val="18"/>
              </w:rPr>
              <w:t>﻿</w:t>
            </w:r>
            <w:r w:rsidRPr="004D453A">
              <w:rPr>
                <w:rFonts w:ascii="Arial" w:hAnsi="Arial" w:cs="Arial"/>
                <w:color w:val="000000" w:themeColor="text1"/>
                <w:sz w:val="18"/>
                <w:szCs w:val="18"/>
              </w:rPr>
              <w:t>acutely lower pro-inflammatory free fatty acid concentrations; moderate alcohol intake increases serum adiponectin concentrations (an anti-inflammatory inflammation biomarker)</w:t>
            </w:r>
            <w:r w:rsidR="00D30AE9" w:rsidRPr="004D453A">
              <w:rPr>
                <w:rFonts w:ascii="Arial" w:hAnsi="Arial" w:cs="Arial"/>
                <w:color w:val="000000" w:themeColor="text1"/>
                <w:sz w:val="18"/>
                <w:szCs w:val="18"/>
              </w:rPr>
              <w:t xml:space="preserve"> </w:t>
            </w:r>
            <w:r w:rsidR="00D30AE9"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{"citationItems":[{"id":"ITEM-1","itemData":{"DOI":"10.1186/s12937-015-0011-6","ISSN":"1475-2891","abstract":"Background: Moderate alcohol consumption is associated with a lower risk for coronary heart disease (CHD). A suitably integrated view of the CHD pathogenesis pathway will help to elucidate how moderate alcohol consumption could reduce CHD risk.","author":[{"dropping-particle":"","family":"Mathews","given":"Marc J","non-dropping-particle":"","parse-names":false,"suffix":""},{"dropping-particle":"","family":"Liebenberg","given":"Leon","non-dropping-particle":"","parse-names":false,"suffix":""},{"dropping-particle":"","family":"Mathews","given":"Edward H","non-dropping-particle":"","parse-names":false,"suffix":""}],"container-title":"Nutrition Journal","id":"ITEM-1","issue":"1","issued":{"date-parts":[["2015","12","2"]]},"page":"33","title":"The mechanism by which moderate alcohol consumption influences coronary heart disease","type":"article-journal","volume":"14"},"uris":["http://www.mendeley.com/documents/?uuid=406e4a74-94e4-35f2-bdaa-b9d654db2a0e"]}],"mendeley":{"formattedCitation":"(51)","plainTextFormattedCitation":"(51)","previouslyFormattedCitation":"(51)"},"properties":{"noteIndex":0},"schema":"https://github.com/citation-style-language/schema/raw/master/csl-citation.json"}</w:instrText>
            </w:r>
            <w:r w:rsidR="00D30AE9"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(51)</w:t>
            </w:r>
            <w:r w:rsidR="00D30AE9" w:rsidRPr="004D453A">
              <w:rPr>
                <w:rFonts w:ascii="Arial" w:hAnsi="Arial" w:cs="Arial"/>
                <w:color w:val="000000" w:themeColor="text1"/>
                <w:sz w:val="18"/>
                <w:szCs w:val="18"/>
              </w:rPr>
              <w:fldChar w:fldCharType="end"/>
            </w:r>
            <w:r w:rsidR="00D30AE9" w:rsidRPr="00615CA1">
              <w:rPr>
                <w:rFonts w:ascii="Arial" w:hAnsi="Arial" w:cs="Arial"/>
                <w:color w:val="000000" w:themeColor="text1"/>
                <w:sz w:val="18"/>
                <w:szCs w:val="18"/>
              </w:rPr>
              <w:t xml:space="preserve"> </w:t>
            </w:r>
            <w:r w:rsidRPr="004D453A">
              <w:rPr>
                <w:rFonts w:ascii="Arial" w:hAnsi="Arial" w:cs="Arial"/>
                <w:color w:val="000000" w:themeColor="text1"/>
                <w:sz w:val="18"/>
                <w:szCs w:val="18"/>
              </w:rPr>
              <w:t>and inhibits IL-6 production and activity</w:t>
            </w:r>
            <w:r w:rsidR="00CF17DA" w:rsidRPr="004D453A">
              <w:rPr>
                <w:rFonts w:ascii="Arial" w:hAnsi="Arial" w:cs="Arial"/>
                <w:color w:val="000000" w:themeColor="text1"/>
                <w:sz w:val="18"/>
                <w:szCs w:val="18"/>
              </w:rPr>
              <w:t xml:space="preserve"> </w:t>
            </w:r>
            <w:r w:rsidR="00CF17DA"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{"citationItems":[{"id":"ITEM-1","itemData":{"author":[{"dropping-particle":"","family":"McCarty","given":"MF","non-dropping-particle":"","parse-names":false,"suffix":""}],"container-title":"Medical Hypotheses","id":"ITEM-1","issue":"5","issued":{"date-parts":[["1999"]]},"page":"465-477","title":"Interleukin-6 as a central mediator of cardiovascular risk associated with chronic inflammation, smoking, diabetes, and visceral obsesity: down-regulation with essential fatty acids, ethanol and pentoxifylline","type":"article-journal","volume":"52"},"uris":["http://www.mendeley.com/documents/?uuid=20f2870f-48f4-312c-b569-4c191d769132"]}],"mendeley":{"formattedCitation":"(52)","plainTextFormattedCitation":"(52)","previouslyFormattedCitation":"(52)"},"properties":{"noteIndex":0},"schema":"https://github.com/citation-style-language/schema/raw/master/csl-citation.json"}</w:instrText>
            </w:r>
            <w:r w:rsidR="00CF17DA"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(52)</w:t>
            </w:r>
            <w:r w:rsidR="00CF17DA"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5A32FF35"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-0.66</w:t>
            </w:r>
          </w:p>
        </w:tc>
      </w:tr>
      <w:tr w:rsidR="003B1705" w:rsidRPr="004D453A" w14:paraId="1CC125E4" w14:textId="77777777" w:rsidTr="003B1705">
        <w:trPr>
          <w:trHeight w:val="864"/>
        </w:trPr>
        <w:tc>
          <w:tcPr>
            <w:tcW w:w="1046" w:type="pct"/>
            <w:tcBorders>
              <w:top w:val="nil"/>
              <w:left w:val="nil"/>
              <w:bottom w:val="nil"/>
              <w:right w:val="nil"/>
            </w:tcBorders>
            <w:shd w:val="clear" w:color="000000" w:fill="FFFFFF"/>
            <w:hideMark/>
          </w:tcPr>
          <w:p w14:paraId="40A3052D"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Moderately physically active</w:t>
            </w:r>
          </w:p>
        </w:tc>
        <w:tc>
          <w:tcPr>
            <w:tcW w:w="1324" w:type="pct"/>
            <w:tcBorders>
              <w:top w:val="nil"/>
              <w:left w:val="nil"/>
              <w:bottom w:val="nil"/>
              <w:right w:val="nil"/>
            </w:tcBorders>
            <w:shd w:val="clear" w:color="000000" w:fill="FFFFFF"/>
            <w:hideMark/>
          </w:tcPr>
          <w:p w14:paraId="490A67D6"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Individuals in the middle tertile of MET-hours per week</w:t>
            </w:r>
          </w:p>
        </w:tc>
        <w:tc>
          <w:tcPr>
            <w:tcW w:w="2161" w:type="pct"/>
            <w:tcBorders>
              <w:top w:val="nil"/>
              <w:left w:val="nil"/>
              <w:bottom w:val="nil"/>
              <w:right w:val="nil"/>
            </w:tcBorders>
            <w:shd w:val="clear" w:color="000000" w:fill="FFFFFF"/>
            <w:hideMark/>
          </w:tcPr>
          <w:p w14:paraId="2F3E6A70" w14:textId="7A56281E"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Physical activity improves systemic plasma antioxidant capacity (increases adaptive responses to oxidative stress), increases concentrations of anti-inflammatory cytokines, and lowers vascular wall inflammation</w:t>
            </w:r>
            <w:r w:rsidR="00CF17DA" w:rsidRPr="004D453A">
              <w:rPr>
                <w:rFonts w:ascii="Arial" w:hAnsi="Arial" w:cs="Arial"/>
                <w:color w:val="000000" w:themeColor="text1"/>
                <w:sz w:val="18"/>
                <w:szCs w:val="18"/>
              </w:rPr>
              <w:t xml:space="preserve"> </w:t>
            </w:r>
            <w:r w:rsidR="00CF17DA"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10.1016/j.freeradbiomed.2007.02.001","ISSN":"08915849","author":[{"dropping-particle":"","family":"Gomez-Cabrera","given":"Mari-Carmen","non-dropping-particle":"","parse-names":false,"suffix":""},{"dropping-particle":"","family":"Domenech","given":"Elena","non-dropping-particle":"","parse-names":false,"suffix":""},{"dropping-particle":"","family":"Viña","given":"Jose","non-dropping-particle":"","parse-names":false,"suffix":""}],"container-title":"Free Radical Biology and Medicine","id":"ITEM-1","issue":"2","issued":{"date-parts":[["2008","1"]]},"page":"126-131","title":"Moderate exercise is an antioxidant: upregulation of antioxidant genes by training","type":"article-journal","volume":"44"},"uris":["http://www.mendeley.com/documents/?uuid=c9269269-a21d-3903-98b4-7fd82b88a845"]},{"id":"ITEM-2","itemData":{"DOI":"10.1017/S0007114511005460","ISSN":"0007-1145","author":[{"dropping-particle":"","family":"Calder","given":"Philip C.","non-dropping-particle":"","parse-names":false,"suffix":""},{"dropping-particle":"","family":"Ahluwalia","given":"Namanjeet","non-dropping-particle":"","parse-names":false,"suffix":""},{"dropping-particle":"","family":"Brouns","given":"Fred","non-dropping-particle":"","parse-names":false,"suffix":""},{"dropping-particle":"","family":"Buetler","given":"Timo","non-dropping-particle":"","parse-names":false,"suffix":""},{"dropping-particle":"","family":"Clement","given":"Karine","non-dropping-particle":"","parse-names":false,"suffix":""},{"dropping-particle":"","family":"Cunningham","given":"Karen","non-dropping-particle":"","parse-names":false,"suffix":""},{"dropping-particle":"","family":"Esposito","given":"Katherine","non-dropping-particle":"","parse-names":false,"suffix":""},{"dropping-particle":"","family":"Jönsson","given":"Lena S.","non-dropping-particle":"","parse-names":false,"suffix":""},{"dropping-particle":"","family":"Kolb","given":"Hubert","non-dropping-particle":"","parse-names":false,"suffix":""},{"dropping-particle":"","family":"Lansink","given":"Mirian","non-dropping-particle":"","parse-names":false,"suffix":""},{"dropping-particle":"","family":"Marcos","given":"Ascension","non-dropping-particle":"","parse-names":false,"suffix":""},{"dropping-particle":"","family":"Margioris","given":"Andrew","non-dropping-particle":"","parse-names":false,"suffix":""},{"dropping-particle":"","family":"Matusheski","given":"Nathan","non-dropping-particle":"","parse-names":false,"suffix":""},{"dropping-particle":"","family":"Nordmann","given":"Herve","non-dropping-particle":"","parse-names":false,"suffix":""},{"dropping-particle":"","family":"O'Brien","given":"John","non-dropping-particle":"","parse-names":false,"suffix":""},{"dropping-particle":"","family":"Pugliese","given":"Giuseppe","non-dropping-particle":"","parse-names":false,"suffix":""},{"dropping-particle":"","family":"Rizkalla","given":"Salwa","non-dropping-particle":"","parse-names":false,"suffix":""},{"dropping-particle":"","family":"Schalkwijk","given":"Casper","non-dropping-particle":"","parse-names":false,"suffix":""},{"dropping-particle":"","family":"Tuomilehto","given":"Jaakko","non-dropping-particle":"","parse-names":false,"suffix":""},{"dropping-particle":"","family":"Wärnberg","given":"Julia","non-dropping-particle":"","parse-names":false,"suffix":""},{"dropping-particle":"","family":"Watzl","given":"Bernhard","non-dropping-particle":"","parse-names":false,"suffix":""},{"dropping-particle":"","family":"Winklhofer-Roob","given":"Brigitte M.","non-dropping-particle":"","parse-names":false,"suffix":""}],"container-title":"British Journal of Nutrition","id":"ITEM-2","issue":"S3","issued":{"date-parts":[["2011","12","2"]]},"page":"S5-S78","title":"Dietary factors and low-grade inflammation in relation to overweight and obesity","type":"article-journal","volume":"106"},"uris":["http://www.mendeley.com/documents/?uuid=c5a9d3f8-0257-3f97-af91-d60d35e9ed53"]}],"mendeley":{"formattedCitation":"(48,53)","plainTextFormattedCitation":"(48,53)","previouslyFormattedCitation":"(48,53)"},"properties":{"noteIndex":0},"schema":"https://github.com/citation-style-language/schema/raw/master/csl-citation.json"}</w:instrText>
            </w:r>
            <w:r w:rsidR="00CF17DA"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(48,53)</w:t>
            </w:r>
            <w:r w:rsidR="00CF17DA" w:rsidRPr="004D453A">
              <w:rPr>
                <w:rFonts w:ascii="Arial" w:hAnsi="Arial" w:cs="Arial"/>
                <w:color w:val="000000" w:themeColor="text1"/>
                <w:sz w:val="18"/>
                <w:szCs w:val="18"/>
              </w:rPr>
              <w:fldChar w:fldCharType="end"/>
            </w:r>
          </w:p>
        </w:tc>
        <w:tc>
          <w:tcPr>
            <w:tcW w:w="469" w:type="pct"/>
            <w:tcBorders>
              <w:top w:val="nil"/>
              <w:left w:val="nil"/>
              <w:bottom w:val="nil"/>
              <w:right w:val="nil"/>
            </w:tcBorders>
            <w:shd w:val="clear" w:color="000000" w:fill="FFFFFF"/>
            <w:hideMark/>
          </w:tcPr>
          <w:p w14:paraId="08862188"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-0.18</w:t>
            </w:r>
          </w:p>
        </w:tc>
      </w:tr>
      <w:tr w:rsidR="003B1705" w:rsidRPr="004D453A" w14:paraId="517F4341" w14:textId="77777777" w:rsidTr="003B1705">
        <w:trPr>
          <w:trHeight w:val="540"/>
        </w:trPr>
        <w:tc>
          <w:tcPr>
            <w:tcW w:w="1046" w:type="pct"/>
            <w:tcBorders>
              <w:top w:val="nil"/>
              <w:left w:val="nil"/>
              <w:right w:val="nil"/>
            </w:tcBorders>
            <w:shd w:val="clear" w:color="000000" w:fill="FFFFFF"/>
            <w:hideMark/>
          </w:tcPr>
          <w:p w14:paraId="38D75A3F"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Heavily physically active</w:t>
            </w:r>
          </w:p>
        </w:tc>
        <w:tc>
          <w:tcPr>
            <w:tcW w:w="1324" w:type="pct"/>
            <w:tcBorders>
              <w:top w:val="nil"/>
              <w:left w:val="nil"/>
              <w:right w:val="nil"/>
            </w:tcBorders>
            <w:shd w:val="clear" w:color="000000" w:fill="FFFFFF"/>
            <w:hideMark/>
          </w:tcPr>
          <w:p w14:paraId="38ADE221"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Individuals in the highest tertile of MET-hours per week</w:t>
            </w:r>
          </w:p>
        </w:tc>
        <w:tc>
          <w:tcPr>
            <w:tcW w:w="2161" w:type="pct"/>
            <w:tcBorders>
              <w:top w:val="nil"/>
              <w:left w:val="nil"/>
              <w:right w:val="nil"/>
            </w:tcBorders>
            <w:shd w:val="clear" w:color="000000" w:fill="FFFFFF"/>
            <w:hideMark/>
          </w:tcPr>
          <w:p w14:paraId="01C8CB28"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Mechanisms similar to those described above</w:t>
            </w:r>
          </w:p>
        </w:tc>
        <w:tc>
          <w:tcPr>
            <w:tcW w:w="469" w:type="pct"/>
            <w:tcBorders>
              <w:top w:val="nil"/>
              <w:left w:val="nil"/>
              <w:right w:val="nil"/>
            </w:tcBorders>
            <w:shd w:val="clear" w:color="000000" w:fill="FFFFFF"/>
            <w:hideMark/>
          </w:tcPr>
          <w:p w14:paraId="0F2675BB"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-0.41</w:t>
            </w:r>
          </w:p>
        </w:tc>
      </w:tr>
      <w:tr w:rsidR="003B1705" w:rsidRPr="004D453A" w14:paraId="6D6D4173" w14:textId="77777777" w:rsidTr="003B1705">
        <w:trPr>
          <w:trHeight w:val="465"/>
        </w:trPr>
        <w:tc>
          <w:tcPr>
            <w:tcW w:w="1046" w:type="pct"/>
            <w:tcBorders>
              <w:top w:val="nil"/>
              <w:left w:val="nil"/>
              <w:bottom w:val="single" w:sz="4" w:space="0" w:color="auto"/>
              <w:right w:val="nil"/>
            </w:tcBorders>
            <w:shd w:val="clear" w:color="000000" w:fill="FFFFFF"/>
            <w:hideMark/>
          </w:tcPr>
          <w:p w14:paraId="1A43E790" w14:textId="77777777" w:rsidR="003B1705" w:rsidRPr="004D453A" w:rsidRDefault="003B1705" w:rsidP="003B1705">
            <w:pPr>
              <w:ind w:left="288"/>
              <w:rPr>
                <w:rFonts w:ascii="Arial" w:hAnsi="Arial" w:cs="Arial"/>
                <w:color w:val="000000" w:themeColor="text1"/>
                <w:sz w:val="18"/>
                <w:szCs w:val="18"/>
              </w:rPr>
            </w:pPr>
            <w:r w:rsidRPr="004D453A">
              <w:rPr>
                <w:rFonts w:ascii="Arial" w:hAnsi="Arial" w:cs="Arial"/>
                <w:color w:val="000000" w:themeColor="text1"/>
                <w:sz w:val="18"/>
                <w:szCs w:val="18"/>
              </w:rPr>
              <w:t xml:space="preserve">Current smoker </w:t>
            </w:r>
          </w:p>
        </w:tc>
        <w:tc>
          <w:tcPr>
            <w:tcW w:w="1324" w:type="pct"/>
            <w:tcBorders>
              <w:top w:val="nil"/>
              <w:left w:val="nil"/>
              <w:bottom w:val="single" w:sz="4" w:space="0" w:color="auto"/>
              <w:right w:val="nil"/>
            </w:tcBorders>
            <w:shd w:val="clear" w:color="000000" w:fill="FFFFFF"/>
            <w:hideMark/>
          </w:tcPr>
          <w:p w14:paraId="3A1735B6" w14:textId="77777777" w:rsidR="003B1705" w:rsidRPr="004D453A"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 xml:space="preserve">Currently smokes tobacco vs. does not currently smoke tobacco </w:t>
            </w:r>
          </w:p>
        </w:tc>
        <w:tc>
          <w:tcPr>
            <w:tcW w:w="2161" w:type="pct"/>
            <w:tcBorders>
              <w:top w:val="nil"/>
              <w:left w:val="nil"/>
              <w:bottom w:val="single" w:sz="4" w:space="0" w:color="auto"/>
              <w:right w:val="nil"/>
            </w:tcBorders>
            <w:shd w:val="clear" w:color="000000" w:fill="FFFFFF"/>
            <w:hideMark/>
          </w:tcPr>
          <w:p w14:paraId="27745C03" w14:textId="3BE8B3DF" w:rsidR="003B1705" w:rsidRPr="00615CA1" w:rsidRDefault="003B1705" w:rsidP="003B1705">
            <w:pPr>
              <w:rPr>
                <w:rFonts w:ascii="Arial" w:hAnsi="Arial" w:cs="Arial"/>
                <w:color w:val="000000" w:themeColor="text1"/>
                <w:sz w:val="18"/>
                <w:szCs w:val="18"/>
              </w:rPr>
            </w:pPr>
            <w:r w:rsidRPr="004D453A">
              <w:rPr>
                <w:rFonts w:ascii="Arial" w:hAnsi="Arial" w:cs="Arial"/>
                <w:color w:val="000000" w:themeColor="text1"/>
                <w:sz w:val="18"/>
                <w:szCs w:val="18"/>
              </w:rPr>
              <w:t>Toxins injure tissues, upregulating cytokines and acute phase reactants</w:t>
            </w:r>
            <w:r w:rsidR="00CF17DA" w:rsidRPr="004D453A">
              <w:rPr>
                <w:rFonts w:ascii="Arial" w:hAnsi="Arial" w:cs="Arial"/>
                <w:color w:val="000000" w:themeColor="text1"/>
                <w:sz w:val="18"/>
                <w:szCs w:val="18"/>
              </w:rPr>
              <w:t xml:space="preserve"> </w:t>
            </w:r>
            <w:r w:rsidR="00CF17DA" w:rsidRPr="004D453A">
              <w:rPr>
                <w:rFonts w:ascii="Arial" w:hAnsi="Arial" w:cs="Arial"/>
                <w:color w:val="000000" w:themeColor="text1"/>
                <w:sz w:val="18"/>
                <w:szCs w:val="18"/>
              </w:rPr>
              <w:fldChar w:fldCharType="begin" w:fldLock="1"/>
            </w:r>
            <w:r w:rsidR="00C248BD" w:rsidRPr="004D453A">
              <w:rPr>
                <w:rFonts w:ascii="Arial" w:hAnsi="Arial" w:cs="Arial"/>
                <w:color w:val="000000" w:themeColor="text1"/>
                <w:sz w:val="18"/>
                <w:szCs w:val="18"/>
              </w:rPr>
              <w:instrText>ADDIN CSL_CITATION {"citationItems":[{"id":"ITEM-1","itemData":{"DOI":"10.1136/thx.2003.012468","author":[{"dropping-particle":"","family":"Vaart","given":"H","non-dropping-particle":"van der","parse-names":false,"suffix":""},{"dropping-particle":"","family":"Postma","given":"DS","non-dropping-particle":"","parse-names":false,"suffix":""},{"dropping-particle":"","family":"Timens","given":"W","non-dropping-particle":"","parse-names":false,"suffix":""},{"dropping-particle":"","family":"Hacken","given":"NHT","non-dropping-particle":"Ten","parse-names":false,"suffix":""}],"container-title":"Thorax","id":"ITEM-1","issued":{"date-parts":[["2004"]]},"page":"713-721","title":"Acute effects of cigarette smoke on inflammation and oxidative stress: a review","type":"article-journal","volume":"59"},"uris":["http://www.mendeley.com/documents/?uuid=ad3622e6-8cb9-335d-9959-5cfe542c2463"]}],"mendeley":{"formattedCitation":"(54)","plainTextFormattedCitation":"(54)","previouslyFormattedCitation":"(54)"},"properties":{"noteIndex":0},"schema":"https://github.com/citation-style-language/schema/raw/master/csl-citation.json"}</w:instrText>
            </w:r>
            <w:r w:rsidR="00CF17DA" w:rsidRPr="004D453A">
              <w:rPr>
                <w:rFonts w:ascii="Arial" w:hAnsi="Arial" w:cs="Arial"/>
                <w:color w:val="000000" w:themeColor="text1"/>
                <w:sz w:val="18"/>
                <w:szCs w:val="18"/>
              </w:rPr>
              <w:fldChar w:fldCharType="separate"/>
            </w:r>
            <w:r w:rsidR="00341FF0" w:rsidRPr="004D453A">
              <w:rPr>
                <w:rFonts w:ascii="Arial" w:hAnsi="Arial" w:cs="Arial"/>
                <w:noProof/>
                <w:color w:val="000000" w:themeColor="text1"/>
                <w:sz w:val="18"/>
                <w:szCs w:val="18"/>
              </w:rPr>
              <w:t>(54)</w:t>
            </w:r>
            <w:r w:rsidR="00CF17DA" w:rsidRPr="004D453A">
              <w:rPr>
                <w:rFonts w:ascii="Arial" w:hAnsi="Arial" w:cs="Arial"/>
                <w:color w:val="000000" w:themeColor="text1"/>
                <w:sz w:val="18"/>
                <w:szCs w:val="18"/>
              </w:rPr>
              <w:fldChar w:fldCharType="end"/>
            </w:r>
          </w:p>
        </w:tc>
        <w:tc>
          <w:tcPr>
            <w:tcW w:w="469" w:type="pct"/>
            <w:tcBorders>
              <w:top w:val="nil"/>
              <w:left w:val="nil"/>
              <w:bottom w:val="single" w:sz="4" w:space="0" w:color="auto"/>
              <w:right w:val="nil"/>
            </w:tcBorders>
            <w:shd w:val="clear" w:color="000000" w:fill="FFFFFF"/>
            <w:hideMark/>
          </w:tcPr>
          <w:p w14:paraId="35FAB136" w14:textId="77777777" w:rsidR="003B1705" w:rsidRPr="004D453A" w:rsidRDefault="003B1705" w:rsidP="003B1705">
            <w:pPr>
              <w:jc w:val="center"/>
              <w:rPr>
                <w:rFonts w:ascii="Arial" w:hAnsi="Arial" w:cs="Arial"/>
                <w:color w:val="000000" w:themeColor="text1"/>
                <w:sz w:val="18"/>
                <w:szCs w:val="18"/>
              </w:rPr>
            </w:pPr>
            <w:r w:rsidRPr="004D453A">
              <w:rPr>
                <w:rFonts w:ascii="Arial" w:hAnsi="Arial" w:cs="Arial"/>
                <w:color w:val="000000" w:themeColor="text1"/>
                <w:sz w:val="18"/>
                <w:szCs w:val="18"/>
              </w:rPr>
              <w:t>0.50</w:t>
            </w:r>
          </w:p>
        </w:tc>
      </w:tr>
    </w:tbl>
    <w:p w14:paraId="1374DB01" w14:textId="77777777" w:rsidR="004433F3" w:rsidRPr="004D453A" w:rsidRDefault="004433F3" w:rsidP="004433F3">
      <w:pPr>
        <w:rPr>
          <w:rFonts w:ascii="Arial" w:hAnsi="Arial" w:cs="Arial"/>
          <w:color w:val="000000" w:themeColor="text1"/>
          <w:sz w:val="20"/>
          <w:szCs w:val="20"/>
        </w:rPr>
      </w:pPr>
      <w:r w:rsidRPr="004D453A">
        <w:rPr>
          <w:rFonts w:ascii="Arial" w:hAnsi="Arial" w:cs="Arial"/>
          <w:color w:val="000000" w:themeColor="text1"/>
          <w:sz w:val="20"/>
          <w:szCs w:val="20"/>
        </w:rPr>
        <w:t>Abbreviations:  BMI, body mass index; DIS, dietary inflammation score; LIS, lifestyle inflammation score; MET, metabolic equivalents of task</w:t>
      </w:r>
    </w:p>
    <w:p w14:paraId="05028384" w14:textId="58039EEA" w:rsidR="004433F3" w:rsidRPr="004D453A" w:rsidRDefault="004433F3" w:rsidP="004433F3">
      <w:pPr>
        <w:ind w:left="144" w:hanging="144"/>
        <w:rPr>
          <w:rFonts w:ascii="Arial" w:hAnsi="Arial" w:cs="Arial"/>
          <w:color w:val="000000" w:themeColor="text1"/>
          <w:sz w:val="20"/>
          <w:szCs w:val="20"/>
          <w:vertAlign w:val="superscript"/>
        </w:rPr>
      </w:pPr>
      <w:r w:rsidRPr="004D453A">
        <w:rPr>
          <w:rFonts w:ascii="Arial" w:hAnsi="Arial" w:cs="Arial"/>
          <w:color w:val="000000" w:themeColor="text1"/>
          <w:sz w:val="20"/>
          <w:szCs w:val="20"/>
          <w:vertAlign w:val="superscript"/>
        </w:rPr>
        <w:t>a</w:t>
      </w:r>
      <w:r w:rsidRPr="004D453A">
        <w:rPr>
          <w:rFonts w:ascii="Arial" w:hAnsi="Arial" w:cs="Arial"/>
          <w:color w:val="000000" w:themeColor="text1"/>
          <w:sz w:val="20"/>
          <w:szCs w:val="20"/>
        </w:rPr>
        <w:t xml:space="preserve"> Weights are </w:t>
      </w:r>
      <w:r w:rsidRPr="00615CA1">
        <w:rPr>
          <w:rFonts w:ascii="Arial" w:hAnsi="Arial" w:cs="Arial"/>
          <w:color w:val="000000" w:themeColor="text1"/>
          <w:sz w:val="20"/>
          <w:szCs w:val="20"/>
        </w:rPr>
        <w:sym w:font="Symbol" w:char="F062"/>
      </w:r>
      <w:r w:rsidRPr="00615CA1">
        <w:rPr>
          <w:rFonts w:ascii="Arial" w:hAnsi="Arial" w:cs="Arial"/>
          <w:color w:val="000000" w:themeColor="text1"/>
          <w:sz w:val="20"/>
          <w:szCs w:val="20"/>
        </w:rPr>
        <w:t xml:space="preserve"> coefficients from multivariable linear regression models</w:t>
      </w:r>
      <w:r w:rsidR="003E4612" w:rsidRPr="004D453A">
        <w:rPr>
          <w:rFonts w:ascii="Arial" w:hAnsi="Arial" w:cs="Arial"/>
          <w:color w:val="000000" w:themeColor="text1"/>
          <w:sz w:val="20"/>
          <w:szCs w:val="20"/>
        </w:rPr>
        <w:t>,</w:t>
      </w:r>
      <w:r w:rsidRPr="004D453A">
        <w:rPr>
          <w:rFonts w:ascii="Arial" w:hAnsi="Arial" w:cs="Arial"/>
          <w:color w:val="000000" w:themeColor="text1"/>
          <w:sz w:val="20"/>
          <w:szCs w:val="20"/>
        </w:rPr>
        <w:t xml:space="preserve"> </w:t>
      </w:r>
      <w:r w:rsidR="003E4612" w:rsidRPr="004D453A">
        <w:rPr>
          <w:rFonts w:ascii="Arial" w:hAnsi="Arial" w:cs="Arial"/>
          <w:color w:val="000000"/>
          <w:sz w:val="20"/>
          <w:szCs w:val="20"/>
        </w:rPr>
        <w:t>conducted in a sample (N = 639) of participants in the Reasons for Geographic and Racial Differences in Stroke prospective cohort study (REGARDS)</w:t>
      </w:r>
      <w:r w:rsidRPr="004D453A">
        <w:rPr>
          <w:rFonts w:ascii="Arial" w:hAnsi="Arial" w:cs="Arial"/>
          <w:color w:val="000000" w:themeColor="text1"/>
          <w:sz w:val="20"/>
          <w:szCs w:val="20"/>
        </w:rPr>
        <w:t>, representing the average change in a summary inflammation biomarker z-score (sum of z-scores for high sensitivity C-reactive protein, interleukin-6, interleukin-8, interleukin-10 [the latter with a negative sign]) per one standard deviation increase in a dietary component or the presence of lifestyle component.  Covariates in the final model included:  age, sex, race (Black or White), education (high school graduate or less vs. some college or more), region (stroke belt, stroke buckle, or other region in the US), a comorbidity score (comprises a history of cancer, heart disease, diabetes mellitus, or chronic kidney disease), hormone replacement therapy (among women), total energy intake (kcal/day), season of baseline interview (Spring, Summer, Fall, or Winter) and regular use of aspirin, other non-steroidal anti-inflammatory drugs, or lipid-lowering medications (≥ twice/wk); and all the dietary/lifestyle components in the DIS and LIS; In the case-control studies, all dietary components were standardized based on the distribution among the controls, by sex, to a mean of zero and standard deviation of 1, and all lifestyle components were dummy variables</w:t>
      </w:r>
    </w:p>
    <w:p w14:paraId="4C7C23BD" w14:textId="77777777" w:rsidR="004433F3" w:rsidRPr="004D453A" w:rsidRDefault="004433F3" w:rsidP="004433F3">
      <w:pPr>
        <w:ind w:left="144" w:hanging="144"/>
        <w:rPr>
          <w:rFonts w:ascii="Arial" w:hAnsi="Arial" w:cs="Arial"/>
          <w:color w:val="000000" w:themeColor="text1"/>
          <w:sz w:val="20"/>
          <w:szCs w:val="20"/>
          <w:vertAlign w:val="superscript"/>
        </w:rPr>
      </w:pPr>
      <w:r w:rsidRPr="004D453A">
        <w:rPr>
          <w:rFonts w:ascii="Arial" w:hAnsi="Arial" w:cs="Arial"/>
          <w:color w:val="000000" w:themeColor="text1"/>
          <w:sz w:val="20"/>
          <w:szCs w:val="20"/>
          <w:vertAlign w:val="superscript"/>
        </w:rPr>
        <w:lastRenderedPageBreak/>
        <w:t>b</w:t>
      </w:r>
      <w:r w:rsidRPr="004D453A">
        <w:rPr>
          <w:rFonts w:ascii="Arial" w:hAnsi="Arial" w:cs="Arial"/>
          <w:color w:val="000000" w:themeColor="text1"/>
          <w:sz w:val="20"/>
          <w:szCs w:val="20"/>
        </w:rPr>
        <w:t xml:space="preserve"> All vitamin and mineral supplement intakes measured (from multivitamin/mineral and individual supplements) were ranked into quantiles of intake and assigned a value of 0 (low or no intake), 1, or 2 (highest intake) for hypothesized anti-inflammatory supplements (e.g., vitamin E), and 0 (low or no intake), -1, or -2 (highest intake) for hypothesized pro-inflammatory supplements (e.g., iron)</w:t>
      </w:r>
    </w:p>
    <w:p w14:paraId="5173D9C2" w14:textId="77777777" w:rsidR="004433F3" w:rsidRPr="004D453A" w:rsidRDefault="004433F3" w:rsidP="004433F3">
      <w:pPr>
        <w:rPr>
          <w:rFonts w:ascii="Arial" w:hAnsi="Arial" w:cs="Arial"/>
          <w:color w:val="000000" w:themeColor="text1"/>
          <w:sz w:val="16"/>
          <w:szCs w:val="16"/>
          <w:vertAlign w:val="superscript"/>
        </w:rPr>
      </w:pPr>
    </w:p>
    <w:p w14:paraId="6475C7FB" w14:textId="77777777" w:rsidR="004433F3" w:rsidRPr="004D453A" w:rsidRDefault="004433F3" w:rsidP="004433F3">
      <w:pPr>
        <w:tabs>
          <w:tab w:val="left" w:pos="10019"/>
        </w:tabs>
        <w:rPr>
          <w:rFonts w:ascii="Arial" w:hAnsi="Arial" w:cs="Arial"/>
          <w:b/>
          <w:color w:val="000000" w:themeColor="text1"/>
        </w:rPr>
      </w:pPr>
    </w:p>
    <w:p w14:paraId="1585E697" w14:textId="77777777" w:rsidR="004433F3" w:rsidRPr="004D453A" w:rsidRDefault="004433F3" w:rsidP="004433F3">
      <w:pPr>
        <w:tabs>
          <w:tab w:val="left" w:pos="10019"/>
        </w:tabs>
        <w:rPr>
          <w:rFonts w:ascii="Arial" w:hAnsi="Arial" w:cs="Arial"/>
          <w:b/>
          <w:color w:val="000000" w:themeColor="text1"/>
        </w:rPr>
      </w:pPr>
    </w:p>
    <w:p w14:paraId="4CEBF2BD" w14:textId="77777777" w:rsidR="004433F3" w:rsidRPr="004D453A" w:rsidRDefault="004433F3" w:rsidP="004433F3">
      <w:pPr>
        <w:tabs>
          <w:tab w:val="left" w:pos="10019"/>
        </w:tabs>
        <w:rPr>
          <w:rFonts w:ascii="Arial" w:hAnsi="Arial" w:cs="Arial"/>
          <w:b/>
          <w:color w:val="000000" w:themeColor="text1"/>
        </w:rPr>
      </w:pPr>
    </w:p>
    <w:p w14:paraId="12CC2C3B" w14:textId="77777777" w:rsidR="004433F3" w:rsidRPr="004D453A" w:rsidRDefault="004433F3" w:rsidP="004433F3">
      <w:pPr>
        <w:tabs>
          <w:tab w:val="left" w:pos="10019"/>
        </w:tabs>
        <w:rPr>
          <w:rFonts w:ascii="Arial" w:hAnsi="Arial" w:cs="Arial"/>
          <w:b/>
          <w:color w:val="000000" w:themeColor="text1"/>
        </w:rPr>
      </w:pPr>
    </w:p>
    <w:p w14:paraId="3DC998AB" w14:textId="77777777" w:rsidR="004433F3" w:rsidRPr="004D453A" w:rsidRDefault="004433F3" w:rsidP="004433F3">
      <w:pPr>
        <w:tabs>
          <w:tab w:val="left" w:pos="10019"/>
        </w:tabs>
        <w:rPr>
          <w:rFonts w:ascii="Arial" w:hAnsi="Arial" w:cs="Arial"/>
          <w:b/>
          <w:color w:val="000000" w:themeColor="text1"/>
        </w:rPr>
      </w:pPr>
    </w:p>
    <w:p w14:paraId="79F2ABAA" w14:textId="77777777" w:rsidR="004433F3" w:rsidRPr="004D453A" w:rsidRDefault="004433F3" w:rsidP="004433F3">
      <w:pPr>
        <w:tabs>
          <w:tab w:val="left" w:pos="10019"/>
        </w:tabs>
        <w:rPr>
          <w:rFonts w:ascii="Arial" w:hAnsi="Arial" w:cs="Arial"/>
          <w:b/>
          <w:color w:val="000000" w:themeColor="text1"/>
        </w:rPr>
      </w:pPr>
    </w:p>
    <w:p w14:paraId="6DB086E6" w14:textId="77777777" w:rsidR="004433F3" w:rsidRPr="004D453A" w:rsidRDefault="004433F3" w:rsidP="004433F3">
      <w:pPr>
        <w:tabs>
          <w:tab w:val="left" w:pos="10019"/>
        </w:tabs>
        <w:rPr>
          <w:rFonts w:ascii="Arial" w:hAnsi="Arial" w:cs="Arial"/>
          <w:b/>
          <w:color w:val="000000" w:themeColor="text1"/>
        </w:rPr>
      </w:pPr>
    </w:p>
    <w:p w14:paraId="2834265C" w14:textId="77777777" w:rsidR="004433F3" w:rsidRPr="004D453A" w:rsidRDefault="004433F3" w:rsidP="004433F3">
      <w:pPr>
        <w:tabs>
          <w:tab w:val="left" w:pos="10019"/>
        </w:tabs>
        <w:rPr>
          <w:rFonts w:ascii="Arial" w:hAnsi="Arial" w:cs="Arial"/>
          <w:b/>
          <w:color w:val="000000" w:themeColor="text1"/>
        </w:rPr>
      </w:pPr>
    </w:p>
    <w:p w14:paraId="73B05430" w14:textId="77777777" w:rsidR="004433F3" w:rsidRPr="004D453A" w:rsidRDefault="004433F3" w:rsidP="004433F3">
      <w:pPr>
        <w:tabs>
          <w:tab w:val="left" w:pos="10019"/>
        </w:tabs>
        <w:rPr>
          <w:rFonts w:ascii="Arial" w:hAnsi="Arial" w:cs="Arial"/>
          <w:b/>
          <w:color w:val="000000" w:themeColor="text1"/>
        </w:rPr>
      </w:pPr>
    </w:p>
    <w:p w14:paraId="4E9A9B31" w14:textId="77777777" w:rsidR="004433F3" w:rsidRPr="004D453A" w:rsidRDefault="004433F3" w:rsidP="004433F3">
      <w:pPr>
        <w:tabs>
          <w:tab w:val="left" w:pos="10019"/>
        </w:tabs>
        <w:rPr>
          <w:rFonts w:ascii="Arial" w:hAnsi="Arial" w:cs="Arial"/>
          <w:b/>
          <w:color w:val="000000" w:themeColor="text1"/>
        </w:rPr>
      </w:pPr>
    </w:p>
    <w:p w14:paraId="1C40740E" w14:textId="77777777" w:rsidR="004433F3" w:rsidRPr="004D453A" w:rsidRDefault="004433F3" w:rsidP="004433F3">
      <w:pPr>
        <w:tabs>
          <w:tab w:val="left" w:pos="10019"/>
        </w:tabs>
        <w:rPr>
          <w:rFonts w:ascii="Arial" w:hAnsi="Arial" w:cs="Arial"/>
          <w:b/>
          <w:color w:val="000000" w:themeColor="text1"/>
        </w:rPr>
      </w:pPr>
    </w:p>
    <w:p w14:paraId="6FB0FAF9" w14:textId="77777777" w:rsidR="004433F3" w:rsidRPr="004D453A" w:rsidRDefault="004433F3" w:rsidP="004433F3">
      <w:pPr>
        <w:tabs>
          <w:tab w:val="left" w:pos="10019"/>
        </w:tabs>
        <w:rPr>
          <w:rFonts w:ascii="Arial" w:hAnsi="Arial" w:cs="Arial"/>
          <w:b/>
          <w:color w:val="000000" w:themeColor="text1"/>
        </w:rPr>
      </w:pPr>
    </w:p>
    <w:p w14:paraId="73992401" w14:textId="77777777" w:rsidR="004433F3" w:rsidRPr="004D453A" w:rsidRDefault="004433F3" w:rsidP="004433F3">
      <w:pPr>
        <w:tabs>
          <w:tab w:val="left" w:pos="10019"/>
        </w:tabs>
        <w:rPr>
          <w:rFonts w:ascii="Arial" w:hAnsi="Arial" w:cs="Arial"/>
          <w:b/>
          <w:color w:val="000000" w:themeColor="text1"/>
        </w:rPr>
      </w:pPr>
    </w:p>
    <w:p w14:paraId="55073CD0" w14:textId="77777777" w:rsidR="004433F3" w:rsidRPr="004D453A" w:rsidRDefault="004433F3" w:rsidP="004433F3">
      <w:pPr>
        <w:tabs>
          <w:tab w:val="left" w:pos="10019"/>
        </w:tabs>
        <w:rPr>
          <w:rFonts w:ascii="Arial" w:hAnsi="Arial" w:cs="Arial"/>
          <w:b/>
          <w:color w:val="000000" w:themeColor="text1"/>
        </w:rPr>
      </w:pPr>
    </w:p>
    <w:p w14:paraId="11B4DA8C" w14:textId="77777777" w:rsidR="004433F3" w:rsidRPr="004D453A" w:rsidRDefault="004433F3" w:rsidP="004433F3">
      <w:pPr>
        <w:tabs>
          <w:tab w:val="left" w:pos="10019"/>
        </w:tabs>
        <w:rPr>
          <w:rFonts w:ascii="Arial" w:hAnsi="Arial" w:cs="Arial"/>
          <w:b/>
          <w:color w:val="000000" w:themeColor="text1"/>
        </w:rPr>
      </w:pPr>
    </w:p>
    <w:p w14:paraId="6230DE4F" w14:textId="77777777" w:rsidR="004433F3" w:rsidRPr="004D453A" w:rsidRDefault="004433F3" w:rsidP="004433F3">
      <w:pPr>
        <w:tabs>
          <w:tab w:val="left" w:pos="10019"/>
        </w:tabs>
        <w:rPr>
          <w:rFonts w:ascii="Arial" w:hAnsi="Arial" w:cs="Arial"/>
          <w:b/>
          <w:color w:val="000000" w:themeColor="text1"/>
        </w:rPr>
      </w:pPr>
    </w:p>
    <w:p w14:paraId="07CD7869" w14:textId="77777777" w:rsidR="004433F3" w:rsidRPr="004D453A" w:rsidRDefault="004433F3" w:rsidP="004433F3">
      <w:pPr>
        <w:tabs>
          <w:tab w:val="left" w:pos="10019"/>
        </w:tabs>
        <w:rPr>
          <w:rFonts w:ascii="Arial" w:hAnsi="Arial" w:cs="Arial"/>
          <w:b/>
          <w:color w:val="000000" w:themeColor="text1"/>
        </w:rPr>
      </w:pPr>
    </w:p>
    <w:p w14:paraId="70910359" w14:textId="77777777" w:rsidR="004433F3" w:rsidRPr="004D453A" w:rsidRDefault="004433F3" w:rsidP="004433F3">
      <w:pPr>
        <w:rPr>
          <w:rFonts w:ascii="Arial" w:hAnsi="Arial" w:cs="Arial"/>
          <w:b/>
          <w:color w:val="000000" w:themeColor="text1"/>
        </w:rPr>
      </w:pPr>
    </w:p>
    <w:p w14:paraId="063A57CF" w14:textId="77777777" w:rsidR="00AC21BE" w:rsidRPr="004D453A" w:rsidRDefault="00AC21BE" w:rsidP="004433F3">
      <w:pPr>
        <w:pStyle w:val="TableofFigures"/>
        <w:rPr>
          <w:rFonts w:ascii="Arial" w:hAnsi="Arial" w:cs="Arial"/>
          <w:b/>
          <w:sz w:val="18"/>
          <w:szCs w:val="18"/>
        </w:rPr>
        <w:sectPr w:rsidR="00AC21BE" w:rsidRPr="004D453A" w:rsidSect="00E95E29">
          <w:footerReference w:type="even" r:id="rId8"/>
          <w:footerReference w:type="default" r:id="rId9"/>
          <w:pgSz w:w="15840" w:h="12240" w:orient="landscape"/>
          <w:pgMar w:top="1440" w:right="720" w:bottom="1440" w:left="720" w:header="720" w:footer="720" w:gutter="0"/>
          <w:cols w:space="720"/>
          <w:docGrid w:linePitch="360"/>
        </w:sectPr>
      </w:pPr>
      <w:bookmarkStart w:id="1" w:name="_Toc532469741"/>
    </w:p>
    <w:p w14:paraId="07475806" w14:textId="6F5C3E17" w:rsidR="004433F3" w:rsidRPr="004D453A" w:rsidRDefault="00695191" w:rsidP="004433F3">
      <w:pPr>
        <w:pStyle w:val="TableofFigures"/>
        <w:rPr>
          <w:rFonts w:ascii="Arial" w:hAnsi="Arial" w:cs="Arial"/>
          <w:sz w:val="20"/>
          <w:szCs w:val="20"/>
        </w:rPr>
      </w:pPr>
      <w:r w:rsidRPr="00615CA1">
        <w:rPr>
          <w:rFonts w:ascii="Arial" w:hAnsi="Arial" w:cs="Arial"/>
          <w:b/>
          <w:sz w:val="20"/>
          <w:szCs w:val="20"/>
        </w:rPr>
        <w:lastRenderedPageBreak/>
        <w:t>Supplemental Table</w:t>
      </w:r>
      <w:r w:rsidR="004433F3" w:rsidRPr="004D453A">
        <w:rPr>
          <w:rFonts w:ascii="Arial" w:hAnsi="Arial" w:cs="Arial"/>
          <w:b/>
          <w:sz w:val="20"/>
          <w:szCs w:val="20"/>
        </w:rPr>
        <w:t xml:space="preserve"> 2.  </w:t>
      </w:r>
      <w:r w:rsidR="004433F3" w:rsidRPr="004D453A">
        <w:rPr>
          <w:rFonts w:ascii="Arial" w:hAnsi="Arial" w:cs="Arial"/>
          <w:sz w:val="20"/>
          <w:szCs w:val="20"/>
        </w:rPr>
        <w:t xml:space="preserve">Multivariable-adjusted associations of the </w:t>
      </w:r>
      <w:r w:rsidR="00DA2105" w:rsidRPr="004D453A">
        <w:rPr>
          <w:rFonts w:ascii="Arial" w:hAnsi="Arial" w:cs="Arial"/>
          <w:sz w:val="20"/>
          <w:szCs w:val="20"/>
        </w:rPr>
        <w:t>dietary (</w:t>
      </w:r>
      <w:r w:rsidR="004433F3" w:rsidRPr="004D453A">
        <w:rPr>
          <w:rFonts w:ascii="Arial" w:hAnsi="Arial" w:cs="Arial"/>
          <w:sz w:val="20"/>
          <w:szCs w:val="20"/>
        </w:rPr>
        <w:t>DIS</w:t>
      </w:r>
      <w:r w:rsidR="00DA2105" w:rsidRPr="004D453A">
        <w:rPr>
          <w:rFonts w:ascii="Arial" w:hAnsi="Arial" w:cs="Arial"/>
          <w:sz w:val="20"/>
          <w:szCs w:val="20"/>
        </w:rPr>
        <w:t>)</w:t>
      </w:r>
      <w:r w:rsidR="004433F3" w:rsidRPr="004D453A">
        <w:rPr>
          <w:rFonts w:ascii="Arial" w:hAnsi="Arial" w:cs="Arial"/>
          <w:sz w:val="20"/>
          <w:szCs w:val="20"/>
        </w:rPr>
        <w:t xml:space="preserve"> and </w:t>
      </w:r>
      <w:r w:rsidR="00DA2105" w:rsidRPr="004D453A">
        <w:rPr>
          <w:rFonts w:ascii="Arial" w:hAnsi="Arial" w:cs="Arial"/>
          <w:sz w:val="20"/>
          <w:szCs w:val="20"/>
        </w:rPr>
        <w:t>lifestyle (</w:t>
      </w:r>
      <w:r w:rsidR="004433F3" w:rsidRPr="004D453A">
        <w:rPr>
          <w:rFonts w:ascii="Arial" w:hAnsi="Arial" w:cs="Arial"/>
          <w:sz w:val="20"/>
          <w:szCs w:val="20"/>
        </w:rPr>
        <w:t>LIS</w:t>
      </w:r>
      <w:r w:rsidR="00DA2105" w:rsidRPr="004D453A">
        <w:rPr>
          <w:rFonts w:ascii="Arial" w:hAnsi="Arial" w:cs="Arial"/>
          <w:sz w:val="20"/>
          <w:szCs w:val="20"/>
        </w:rPr>
        <w:t>) inflammation scores</w:t>
      </w:r>
      <w:r w:rsidR="004433F3" w:rsidRPr="004D453A">
        <w:rPr>
          <w:rFonts w:ascii="Arial" w:hAnsi="Arial" w:cs="Arial"/>
          <w:sz w:val="20"/>
          <w:szCs w:val="20"/>
        </w:rPr>
        <w:t xml:space="preserve"> with incident, sporadic colorectal adenomas in three pooled case-control studies (CPRU Study, 1991</w:t>
      </w:r>
      <w:r w:rsidR="003E4612" w:rsidRPr="004D453A">
        <w:rPr>
          <w:rFonts w:ascii="Arial" w:hAnsi="Arial" w:cs="Arial"/>
          <w:sz w:val="20"/>
          <w:szCs w:val="20"/>
        </w:rPr>
        <w:t xml:space="preserve"> </w:t>
      </w:r>
      <w:r w:rsidR="004433F3" w:rsidRPr="004D453A">
        <w:rPr>
          <w:rFonts w:ascii="Arial" w:hAnsi="Arial" w:cs="Arial"/>
          <w:sz w:val="20"/>
          <w:szCs w:val="20"/>
        </w:rPr>
        <w:t>–</w:t>
      </w:r>
      <w:r w:rsidR="003E4612" w:rsidRPr="004D453A">
        <w:rPr>
          <w:rFonts w:ascii="Arial" w:hAnsi="Arial" w:cs="Arial"/>
          <w:sz w:val="20"/>
          <w:szCs w:val="20"/>
        </w:rPr>
        <w:t xml:space="preserve"> </w:t>
      </w:r>
      <w:r w:rsidR="004433F3" w:rsidRPr="004D453A">
        <w:rPr>
          <w:rFonts w:ascii="Arial" w:hAnsi="Arial" w:cs="Arial"/>
          <w:sz w:val="20"/>
          <w:szCs w:val="20"/>
        </w:rPr>
        <w:t>1994; MAP I Study, 1994</w:t>
      </w:r>
      <w:r w:rsidR="003E4612" w:rsidRPr="004D453A">
        <w:rPr>
          <w:rFonts w:ascii="Arial" w:hAnsi="Arial" w:cs="Arial"/>
          <w:sz w:val="20"/>
          <w:szCs w:val="20"/>
        </w:rPr>
        <w:t xml:space="preserve"> </w:t>
      </w:r>
      <w:r w:rsidR="004433F3" w:rsidRPr="004D453A">
        <w:rPr>
          <w:rFonts w:ascii="Arial" w:hAnsi="Arial" w:cs="Arial"/>
          <w:sz w:val="20"/>
          <w:szCs w:val="20"/>
        </w:rPr>
        <w:t>–</w:t>
      </w:r>
      <w:r w:rsidR="003E4612" w:rsidRPr="004D453A">
        <w:rPr>
          <w:rFonts w:ascii="Arial" w:hAnsi="Arial" w:cs="Arial"/>
          <w:sz w:val="20"/>
          <w:szCs w:val="20"/>
        </w:rPr>
        <w:t xml:space="preserve"> </w:t>
      </w:r>
      <w:r w:rsidR="004433F3" w:rsidRPr="004D453A">
        <w:rPr>
          <w:rFonts w:ascii="Arial" w:hAnsi="Arial" w:cs="Arial"/>
          <w:sz w:val="20"/>
          <w:szCs w:val="20"/>
        </w:rPr>
        <w:t>1997; and MAP II Study, 2002), according to selected adenoma characteristics</w:t>
      </w:r>
      <w:bookmarkEnd w:id="1"/>
    </w:p>
    <w:tbl>
      <w:tblPr>
        <w:tblW w:w="8667" w:type="dxa"/>
        <w:jc w:val="center"/>
        <w:tblLook w:val="04A0" w:firstRow="1" w:lastRow="0" w:firstColumn="1" w:lastColumn="0" w:noHBand="0" w:noVBand="1"/>
      </w:tblPr>
      <w:tblGrid>
        <w:gridCol w:w="2340"/>
        <w:gridCol w:w="907"/>
        <w:gridCol w:w="1907"/>
        <w:gridCol w:w="718"/>
        <w:gridCol w:w="950"/>
        <w:gridCol w:w="1845"/>
      </w:tblGrid>
      <w:tr w:rsidR="00AC21BE" w:rsidRPr="004D453A" w14:paraId="06D231BE" w14:textId="77777777" w:rsidTr="00034351">
        <w:trPr>
          <w:trHeight w:val="20"/>
          <w:jc w:val="center"/>
        </w:trPr>
        <w:tc>
          <w:tcPr>
            <w:tcW w:w="2340" w:type="dxa"/>
            <w:tcBorders>
              <w:top w:val="single" w:sz="4" w:space="0" w:color="auto"/>
              <w:left w:val="nil"/>
              <w:bottom w:val="nil"/>
              <w:right w:val="nil"/>
            </w:tcBorders>
            <w:shd w:val="clear" w:color="000000" w:fill="FFFFFF"/>
            <w:vAlign w:val="center"/>
            <w:hideMark/>
          </w:tcPr>
          <w:p w14:paraId="57089E04"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6327" w:type="dxa"/>
            <w:gridSpan w:val="5"/>
            <w:tcBorders>
              <w:top w:val="single" w:sz="4" w:space="0" w:color="auto"/>
              <w:left w:val="nil"/>
              <w:bottom w:val="single" w:sz="4" w:space="0" w:color="auto"/>
              <w:right w:val="nil"/>
            </w:tcBorders>
            <w:shd w:val="clear" w:color="000000" w:fill="FFFFFF"/>
            <w:vAlign w:val="center"/>
            <w:hideMark/>
          </w:tcPr>
          <w:p w14:paraId="00A2F65E" w14:textId="0085D9F5" w:rsidR="00AC21BE" w:rsidRPr="004D453A" w:rsidRDefault="00AC21BE" w:rsidP="00AC21BE">
            <w:pPr>
              <w:jc w:val="cente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 xml:space="preserve">Inflammation </w:t>
            </w:r>
            <w:proofErr w:type="spellStart"/>
            <w:r w:rsidR="00DA2105" w:rsidRPr="004D453A">
              <w:rPr>
                <w:rFonts w:ascii="Arial" w:eastAsia="Times New Roman" w:hAnsi="Arial" w:cs="Arial"/>
                <w:b/>
                <w:bCs/>
                <w:color w:val="000000"/>
                <w:sz w:val="20"/>
                <w:szCs w:val="20"/>
              </w:rPr>
              <w:t>s</w:t>
            </w:r>
            <w:r w:rsidRPr="004D453A">
              <w:rPr>
                <w:rFonts w:ascii="Arial" w:eastAsia="Times New Roman" w:hAnsi="Arial" w:cs="Arial"/>
                <w:b/>
                <w:bCs/>
                <w:color w:val="000000"/>
                <w:sz w:val="20"/>
                <w:szCs w:val="20"/>
              </w:rPr>
              <w:t>core</w:t>
            </w:r>
            <w:r w:rsidRPr="004D453A">
              <w:rPr>
                <w:rFonts w:ascii="Arial" w:eastAsia="Times New Roman" w:hAnsi="Arial" w:cs="Arial"/>
                <w:color w:val="000000"/>
                <w:sz w:val="20"/>
                <w:szCs w:val="20"/>
                <w:vertAlign w:val="superscript"/>
              </w:rPr>
              <w:t>a</w:t>
            </w:r>
            <w:proofErr w:type="spellEnd"/>
          </w:p>
        </w:tc>
      </w:tr>
      <w:tr w:rsidR="00AC21BE" w:rsidRPr="004D453A" w14:paraId="42D04EAE"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48CB0557" w14:textId="77777777" w:rsidR="00AC21BE" w:rsidRPr="004D453A" w:rsidRDefault="00AC21BE" w:rsidP="00AC21BE">
            <w:pP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2814" w:type="dxa"/>
            <w:gridSpan w:val="2"/>
            <w:tcBorders>
              <w:top w:val="single" w:sz="4" w:space="0" w:color="auto"/>
              <w:left w:val="nil"/>
              <w:bottom w:val="single" w:sz="4" w:space="0" w:color="auto"/>
              <w:right w:val="nil"/>
            </w:tcBorders>
            <w:shd w:val="clear" w:color="000000" w:fill="FFFFFF"/>
            <w:noWrap/>
            <w:vAlign w:val="center"/>
            <w:hideMark/>
          </w:tcPr>
          <w:p w14:paraId="2F98AC3E" w14:textId="77777777" w:rsidR="00AC21BE" w:rsidRPr="004D453A" w:rsidRDefault="00AC21BE" w:rsidP="00AC21BE">
            <w:pPr>
              <w:jc w:val="center"/>
              <w:rPr>
                <w:rFonts w:ascii="Arial" w:eastAsia="Times New Roman" w:hAnsi="Arial" w:cs="Arial"/>
                <w:b/>
                <w:bCs/>
                <w:color w:val="000000"/>
                <w:sz w:val="20"/>
                <w:szCs w:val="20"/>
              </w:rPr>
            </w:pPr>
            <w:proofErr w:type="spellStart"/>
            <w:r w:rsidRPr="004D453A">
              <w:rPr>
                <w:rFonts w:ascii="Arial" w:eastAsia="Times New Roman" w:hAnsi="Arial" w:cs="Arial"/>
                <w:b/>
                <w:bCs/>
                <w:color w:val="000000"/>
                <w:sz w:val="20"/>
                <w:szCs w:val="20"/>
              </w:rPr>
              <w:t>DIS</w:t>
            </w:r>
            <w:r w:rsidRPr="004D453A">
              <w:rPr>
                <w:rFonts w:ascii="Arial" w:eastAsia="Times New Roman" w:hAnsi="Arial" w:cs="Arial"/>
                <w:color w:val="000000"/>
                <w:sz w:val="20"/>
                <w:szCs w:val="20"/>
                <w:vertAlign w:val="superscript"/>
              </w:rPr>
              <w:t>b</w:t>
            </w:r>
            <w:proofErr w:type="spellEnd"/>
          </w:p>
        </w:tc>
        <w:tc>
          <w:tcPr>
            <w:tcW w:w="718" w:type="dxa"/>
            <w:tcBorders>
              <w:top w:val="nil"/>
              <w:left w:val="nil"/>
              <w:bottom w:val="nil"/>
              <w:right w:val="nil"/>
            </w:tcBorders>
            <w:shd w:val="clear" w:color="000000" w:fill="FFFFFF"/>
            <w:noWrap/>
            <w:vAlign w:val="center"/>
            <w:hideMark/>
          </w:tcPr>
          <w:p w14:paraId="0F148937" w14:textId="77777777" w:rsidR="00AC21BE" w:rsidRPr="004D453A" w:rsidRDefault="00AC21BE" w:rsidP="00AC21BE">
            <w:pP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2795" w:type="dxa"/>
            <w:gridSpan w:val="2"/>
            <w:tcBorders>
              <w:top w:val="single" w:sz="4" w:space="0" w:color="auto"/>
              <w:left w:val="nil"/>
              <w:bottom w:val="single" w:sz="4" w:space="0" w:color="auto"/>
              <w:right w:val="nil"/>
            </w:tcBorders>
            <w:shd w:val="clear" w:color="auto" w:fill="auto"/>
            <w:noWrap/>
            <w:vAlign w:val="center"/>
            <w:hideMark/>
          </w:tcPr>
          <w:p w14:paraId="21E0A96C" w14:textId="77777777" w:rsidR="00AC21BE" w:rsidRPr="004D453A" w:rsidRDefault="00AC21BE" w:rsidP="00AC21BE">
            <w:pPr>
              <w:jc w:val="center"/>
              <w:rPr>
                <w:rFonts w:ascii="Arial" w:eastAsia="Times New Roman" w:hAnsi="Arial" w:cs="Arial"/>
                <w:b/>
                <w:bCs/>
                <w:color w:val="000000"/>
                <w:sz w:val="20"/>
                <w:szCs w:val="20"/>
              </w:rPr>
            </w:pPr>
            <w:proofErr w:type="spellStart"/>
            <w:r w:rsidRPr="004D453A">
              <w:rPr>
                <w:rFonts w:ascii="Arial" w:eastAsia="Times New Roman" w:hAnsi="Arial" w:cs="Arial"/>
                <w:b/>
                <w:bCs/>
                <w:color w:val="000000"/>
                <w:sz w:val="20"/>
                <w:szCs w:val="20"/>
              </w:rPr>
              <w:t>LIS</w:t>
            </w:r>
            <w:r w:rsidRPr="004D453A">
              <w:rPr>
                <w:rFonts w:ascii="Arial" w:eastAsia="Times New Roman" w:hAnsi="Arial" w:cs="Arial"/>
                <w:color w:val="000000"/>
                <w:sz w:val="20"/>
                <w:szCs w:val="20"/>
                <w:vertAlign w:val="superscript"/>
              </w:rPr>
              <w:t>c</w:t>
            </w:r>
            <w:proofErr w:type="spellEnd"/>
          </w:p>
        </w:tc>
      </w:tr>
      <w:tr w:rsidR="00AC21BE" w:rsidRPr="004D453A" w14:paraId="60D90B55" w14:textId="77777777" w:rsidTr="00034351">
        <w:trPr>
          <w:trHeight w:val="20"/>
          <w:jc w:val="center"/>
        </w:trPr>
        <w:tc>
          <w:tcPr>
            <w:tcW w:w="2340" w:type="dxa"/>
            <w:tcBorders>
              <w:top w:val="nil"/>
              <w:left w:val="nil"/>
              <w:bottom w:val="single" w:sz="4" w:space="0" w:color="auto"/>
              <w:right w:val="nil"/>
            </w:tcBorders>
            <w:shd w:val="clear" w:color="auto" w:fill="auto"/>
            <w:vAlign w:val="center"/>
            <w:hideMark/>
          </w:tcPr>
          <w:p w14:paraId="4C6736C3" w14:textId="3579C417" w:rsidR="00AC21BE" w:rsidRPr="004D453A" w:rsidRDefault="00AC21BE" w:rsidP="00AC21BE">
            <w:pP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Adenoma characteristics and inflammation score quintile</w:t>
            </w:r>
            <w:r w:rsidR="004B6AA0" w:rsidRPr="004D453A">
              <w:rPr>
                <w:rFonts w:ascii="Arial" w:eastAsia="Times New Roman" w:hAnsi="Arial" w:cs="Arial"/>
                <w:b/>
                <w:bCs/>
                <w:color w:val="000000"/>
                <w:sz w:val="20"/>
                <w:szCs w:val="20"/>
              </w:rPr>
              <w:t>s</w:t>
            </w:r>
          </w:p>
        </w:tc>
        <w:tc>
          <w:tcPr>
            <w:tcW w:w="907" w:type="dxa"/>
            <w:tcBorders>
              <w:top w:val="nil"/>
              <w:left w:val="nil"/>
              <w:bottom w:val="single" w:sz="4" w:space="0" w:color="auto"/>
              <w:right w:val="nil"/>
            </w:tcBorders>
            <w:shd w:val="clear" w:color="000000" w:fill="FFFFFF"/>
            <w:noWrap/>
            <w:vAlign w:val="center"/>
            <w:hideMark/>
          </w:tcPr>
          <w:p w14:paraId="2EACB09B" w14:textId="53850B7D" w:rsidR="00AC21BE" w:rsidRPr="004D453A" w:rsidRDefault="00AC21BE" w:rsidP="00AC21BE">
            <w:pPr>
              <w:jc w:val="cente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N</w:t>
            </w:r>
            <w:r w:rsidR="007F6A02" w:rsidRPr="004D453A">
              <w:rPr>
                <w:rFonts w:ascii="Arial" w:eastAsia="Times New Roman" w:hAnsi="Arial" w:cs="Arial"/>
                <w:b/>
                <w:bCs/>
                <w:color w:val="000000"/>
                <w:sz w:val="20"/>
                <w:szCs w:val="20"/>
              </w:rPr>
              <w:t xml:space="preserve"> cases</w:t>
            </w:r>
          </w:p>
        </w:tc>
        <w:tc>
          <w:tcPr>
            <w:tcW w:w="1907" w:type="dxa"/>
            <w:tcBorders>
              <w:top w:val="nil"/>
              <w:left w:val="nil"/>
              <w:bottom w:val="single" w:sz="4" w:space="0" w:color="auto"/>
              <w:right w:val="nil"/>
            </w:tcBorders>
            <w:shd w:val="clear" w:color="000000" w:fill="FFFFFF"/>
            <w:vAlign w:val="center"/>
            <w:hideMark/>
          </w:tcPr>
          <w:p w14:paraId="31FFF503" w14:textId="77777777" w:rsidR="00AC21BE" w:rsidRPr="004D453A" w:rsidRDefault="00AC21BE" w:rsidP="00AC21BE">
            <w:pPr>
              <w:jc w:val="cente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Adjusted OR (95% CI)</w:t>
            </w:r>
          </w:p>
        </w:tc>
        <w:tc>
          <w:tcPr>
            <w:tcW w:w="718" w:type="dxa"/>
            <w:tcBorders>
              <w:top w:val="nil"/>
              <w:left w:val="nil"/>
              <w:bottom w:val="single" w:sz="4" w:space="0" w:color="auto"/>
              <w:right w:val="nil"/>
            </w:tcBorders>
            <w:shd w:val="clear" w:color="000000" w:fill="FFFFFF"/>
            <w:vAlign w:val="center"/>
            <w:hideMark/>
          </w:tcPr>
          <w:p w14:paraId="4367519A" w14:textId="77777777" w:rsidR="00AC21BE" w:rsidRPr="004D453A" w:rsidRDefault="00AC21BE" w:rsidP="00AC21BE">
            <w:pPr>
              <w:rPr>
                <w:rFonts w:ascii="Calibri" w:eastAsia="Times New Roman" w:hAnsi="Calibri" w:cs="Calibri"/>
                <w:color w:val="000000"/>
                <w:sz w:val="20"/>
                <w:szCs w:val="20"/>
              </w:rPr>
            </w:pPr>
            <w:r w:rsidRPr="004D453A">
              <w:rPr>
                <w:rFonts w:ascii="Calibri" w:eastAsia="Times New Roman" w:hAnsi="Calibri" w:cs="Calibri"/>
                <w:color w:val="000000"/>
                <w:sz w:val="20"/>
                <w:szCs w:val="20"/>
              </w:rPr>
              <w:t> </w:t>
            </w:r>
          </w:p>
        </w:tc>
        <w:tc>
          <w:tcPr>
            <w:tcW w:w="950" w:type="dxa"/>
            <w:tcBorders>
              <w:top w:val="nil"/>
              <w:left w:val="nil"/>
              <w:bottom w:val="single" w:sz="4" w:space="0" w:color="auto"/>
              <w:right w:val="nil"/>
            </w:tcBorders>
            <w:shd w:val="clear" w:color="auto" w:fill="auto"/>
            <w:noWrap/>
            <w:vAlign w:val="center"/>
            <w:hideMark/>
          </w:tcPr>
          <w:p w14:paraId="6DB24ECB" w14:textId="32169ED1" w:rsidR="00AC21BE" w:rsidRPr="004D453A" w:rsidRDefault="00AC21BE" w:rsidP="00AC21BE">
            <w:pPr>
              <w:jc w:val="cente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N</w:t>
            </w:r>
            <w:r w:rsidR="007F6A02" w:rsidRPr="004D453A">
              <w:rPr>
                <w:rFonts w:ascii="Arial" w:eastAsia="Times New Roman" w:hAnsi="Arial" w:cs="Arial"/>
                <w:b/>
                <w:bCs/>
                <w:color w:val="000000"/>
                <w:sz w:val="20"/>
                <w:szCs w:val="20"/>
              </w:rPr>
              <w:t xml:space="preserve"> cases</w:t>
            </w:r>
          </w:p>
        </w:tc>
        <w:tc>
          <w:tcPr>
            <w:tcW w:w="1845" w:type="dxa"/>
            <w:tcBorders>
              <w:top w:val="nil"/>
              <w:left w:val="nil"/>
              <w:bottom w:val="single" w:sz="4" w:space="0" w:color="auto"/>
              <w:right w:val="nil"/>
            </w:tcBorders>
            <w:shd w:val="clear" w:color="000000" w:fill="FFFFFF"/>
            <w:vAlign w:val="center"/>
            <w:hideMark/>
          </w:tcPr>
          <w:p w14:paraId="6C85B762" w14:textId="77777777" w:rsidR="00AC21BE" w:rsidRPr="004D453A" w:rsidRDefault="00AC21BE" w:rsidP="00AC21BE">
            <w:pPr>
              <w:jc w:val="cente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Adjusted OR (95% CI)</w:t>
            </w:r>
          </w:p>
        </w:tc>
      </w:tr>
      <w:tr w:rsidR="00AC21BE" w:rsidRPr="004D453A" w14:paraId="02EF3DC8"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0194A8E7" w14:textId="77777777" w:rsidR="00AC21BE" w:rsidRPr="004D453A" w:rsidRDefault="00AC21BE" w:rsidP="007F6826">
            <w:pPr>
              <w:rPr>
                <w:rFonts w:ascii="Arial" w:eastAsia="Times New Roman" w:hAnsi="Arial" w:cs="Arial"/>
                <w:color w:val="000000"/>
                <w:sz w:val="20"/>
                <w:szCs w:val="20"/>
              </w:rPr>
            </w:pPr>
            <w:r w:rsidRPr="004D453A">
              <w:rPr>
                <w:rFonts w:ascii="Arial" w:eastAsia="Times New Roman" w:hAnsi="Arial" w:cs="Arial"/>
                <w:color w:val="000000"/>
                <w:sz w:val="20"/>
                <w:szCs w:val="20"/>
              </w:rPr>
              <w:t>Adenoma subtype</w:t>
            </w:r>
          </w:p>
        </w:tc>
        <w:tc>
          <w:tcPr>
            <w:tcW w:w="907" w:type="dxa"/>
            <w:tcBorders>
              <w:top w:val="nil"/>
              <w:left w:val="nil"/>
              <w:bottom w:val="nil"/>
              <w:right w:val="nil"/>
            </w:tcBorders>
            <w:shd w:val="clear" w:color="000000" w:fill="FFFFFF"/>
            <w:noWrap/>
            <w:vAlign w:val="center"/>
            <w:hideMark/>
          </w:tcPr>
          <w:p w14:paraId="3F206469"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907" w:type="dxa"/>
            <w:tcBorders>
              <w:top w:val="nil"/>
              <w:left w:val="nil"/>
              <w:bottom w:val="nil"/>
              <w:right w:val="nil"/>
            </w:tcBorders>
            <w:shd w:val="clear" w:color="000000" w:fill="FFFFFF"/>
            <w:noWrap/>
            <w:vAlign w:val="center"/>
            <w:hideMark/>
          </w:tcPr>
          <w:p w14:paraId="58B8D65A"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718" w:type="dxa"/>
            <w:tcBorders>
              <w:top w:val="nil"/>
              <w:left w:val="nil"/>
              <w:bottom w:val="nil"/>
              <w:right w:val="nil"/>
            </w:tcBorders>
            <w:shd w:val="clear" w:color="000000" w:fill="FFFFFF"/>
            <w:noWrap/>
            <w:vAlign w:val="center"/>
            <w:hideMark/>
          </w:tcPr>
          <w:p w14:paraId="46042791"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auto" w:fill="auto"/>
            <w:noWrap/>
            <w:vAlign w:val="center"/>
            <w:hideMark/>
          </w:tcPr>
          <w:p w14:paraId="286EBC98" w14:textId="77777777" w:rsidR="00AC21BE" w:rsidRPr="004D453A" w:rsidRDefault="00AC21BE" w:rsidP="00AC21BE">
            <w:pPr>
              <w:jc w:val="center"/>
              <w:rPr>
                <w:rFonts w:ascii="Arial" w:eastAsia="Times New Roman" w:hAnsi="Arial" w:cs="Arial"/>
                <w:color w:val="000000"/>
                <w:sz w:val="20"/>
                <w:szCs w:val="20"/>
              </w:rPr>
            </w:pPr>
          </w:p>
        </w:tc>
        <w:tc>
          <w:tcPr>
            <w:tcW w:w="1845" w:type="dxa"/>
            <w:tcBorders>
              <w:top w:val="nil"/>
              <w:left w:val="nil"/>
              <w:bottom w:val="nil"/>
              <w:right w:val="nil"/>
            </w:tcBorders>
            <w:shd w:val="clear" w:color="000000" w:fill="FFFFFF"/>
            <w:noWrap/>
            <w:vAlign w:val="center"/>
            <w:hideMark/>
          </w:tcPr>
          <w:p w14:paraId="3B45E1AB"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r>
      <w:tr w:rsidR="00AC21BE" w:rsidRPr="004D453A" w14:paraId="6BFA57DE" w14:textId="77777777" w:rsidTr="00034351">
        <w:trPr>
          <w:trHeight w:val="20"/>
          <w:jc w:val="center"/>
        </w:trPr>
        <w:tc>
          <w:tcPr>
            <w:tcW w:w="2340" w:type="dxa"/>
            <w:tcBorders>
              <w:top w:val="nil"/>
              <w:left w:val="nil"/>
              <w:bottom w:val="nil"/>
              <w:right w:val="nil"/>
            </w:tcBorders>
            <w:shd w:val="clear" w:color="000000" w:fill="FFFFFF"/>
            <w:vAlign w:val="center"/>
            <w:hideMark/>
          </w:tcPr>
          <w:p w14:paraId="2F21E146" w14:textId="77777777" w:rsidR="00AC21BE" w:rsidRPr="004D453A" w:rsidRDefault="00AC21BE" w:rsidP="007F6826">
            <w:pPr>
              <w:ind w:firstLine="253"/>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Tubular</w:t>
            </w:r>
          </w:p>
        </w:tc>
        <w:tc>
          <w:tcPr>
            <w:tcW w:w="907" w:type="dxa"/>
            <w:tcBorders>
              <w:top w:val="nil"/>
              <w:left w:val="nil"/>
              <w:bottom w:val="nil"/>
              <w:right w:val="nil"/>
            </w:tcBorders>
            <w:shd w:val="clear" w:color="000000" w:fill="FFFFFF"/>
            <w:vAlign w:val="center"/>
            <w:hideMark/>
          </w:tcPr>
          <w:p w14:paraId="41CBF613"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907" w:type="dxa"/>
            <w:tcBorders>
              <w:top w:val="nil"/>
              <w:left w:val="nil"/>
              <w:bottom w:val="nil"/>
              <w:right w:val="nil"/>
            </w:tcBorders>
            <w:shd w:val="clear" w:color="000000" w:fill="FFFFFF"/>
            <w:noWrap/>
            <w:vAlign w:val="center"/>
            <w:hideMark/>
          </w:tcPr>
          <w:p w14:paraId="48AC17DC"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718" w:type="dxa"/>
            <w:tcBorders>
              <w:top w:val="nil"/>
              <w:left w:val="nil"/>
              <w:bottom w:val="nil"/>
              <w:right w:val="nil"/>
            </w:tcBorders>
            <w:shd w:val="clear" w:color="000000" w:fill="FFFFFF"/>
            <w:noWrap/>
            <w:vAlign w:val="center"/>
            <w:hideMark/>
          </w:tcPr>
          <w:p w14:paraId="0D1C2E6A"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auto" w:fill="auto"/>
            <w:noWrap/>
            <w:vAlign w:val="center"/>
            <w:hideMark/>
          </w:tcPr>
          <w:p w14:paraId="0D2D43AC" w14:textId="77777777" w:rsidR="00AC21BE" w:rsidRPr="004D453A" w:rsidRDefault="00AC21BE" w:rsidP="00AC21BE">
            <w:pPr>
              <w:jc w:val="center"/>
              <w:rPr>
                <w:rFonts w:ascii="Arial" w:eastAsia="Times New Roman" w:hAnsi="Arial" w:cs="Arial"/>
                <w:color w:val="000000"/>
                <w:sz w:val="20"/>
                <w:szCs w:val="20"/>
              </w:rPr>
            </w:pPr>
          </w:p>
        </w:tc>
        <w:tc>
          <w:tcPr>
            <w:tcW w:w="1845" w:type="dxa"/>
            <w:tcBorders>
              <w:top w:val="nil"/>
              <w:left w:val="nil"/>
              <w:bottom w:val="nil"/>
              <w:right w:val="nil"/>
            </w:tcBorders>
            <w:shd w:val="clear" w:color="auto" w:fill="auto"/>
            <w:noWrap/>
            <w:vAlign w:val="center"/>
            <w:hideMark/>
          </w:tcPr>
          <w:p w14:paraId="1C89C294" w14:textId="77777777" w:rsidR="00AC21BE" w:rsidRPr="004D453A" w:rsidRDefault="00AC21BE" w:rsidP="00AC21BE">
            <w:pPr>
              <w:jc w:val="center"/>
              <w:rPr>
                <w:rFonts w:ascii="Times New Roman" w:eastAsia="Times New Roman" w:hAnsi="Times New Roman" w:cs="Times New Roman"/>
                <w:sz w:val="20"/>
                <w:szCs w:val="20"/>
              </w:rPr>
            </w:pPr>
          </w:p>
        </w:tc>
      </w:tr>
      <w:tr w:rsidR="00AC21BE" w:rsidRPr="004D453A" w14:paraId="21E7803B" w14:textId="77777777" w:rsidTr="00034351">
        <w:trPr>
          <w:trHeight w:val="20"/>
          <w:jc w:val="center"/>
        </w:trPr>
        <w:tc>
          <w:tcPr>
            <w:tcW w:w="2340" w:type="dxa"/>
            <w:tcBorders>
              <w:top w:val="nil"/>
              <w:left w:val="nil"/>
              <w:bottom w:val="nil"/>
              <w:right w:val="nil"/>
            </w:tcBorders>
            <w:shd w:val="clear" w:color="000000" w:fill="FFFFFF"/>
            <w:vAlign w:val="center"/>
            <w:hideMark/>
          </w:tcPr>
          <w:p w14:paraId="7E09D103" w14:textId="77777777" w:rsidR="00AC21BE" w:rsidRPr="004D453A" w:rsidRDefault="00AC21BE" w:rsidP="007F6826">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907" w:type="dxa"/>
            <w:tcBorders>
              <w:top w:val="nil"/>
              <w:left w:val="nil"/>
              <w:bottom w:val="nil"/>
              <w:right w:val="nil"/>
            </w:tcBorders>
            <w:shd w:val="clear" w:color="000000" w:fill="FFFFFF"/>
            <w:noWrap/>
            <w:vAlign w:val="center"/>
            <w:hideMark/>
          </w:tcPr>
          <w:p w14:paraId="59A4598C"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87</w:t>
            </w:r>
          </w:p>
        </w:tc>
        <w:tc>
          <w:tcPr>
            <w:tcW w:w="1907" w:type="dxa"/>
            <w:tcBorders>
              <w:top w:val="nil"/>
              <w:left w:val="nil"/>
              <w:bottom w:val="nil"/>
              <w:right w:val="nil"/>
            </w:tcBorders>
            <w:shd w:val="clear" w:color="000000" w:fill="FFFFFF"/>
            <w:noWrap/>
            <w:vAlign w:val="center"/>
            <w:hideMark/>
          </w:tcPr>
          <w:p w14:paraId="110C3AA3" w14:textId="35C7EB19"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w:t>
            </w:r>
            <w:r w:rsidR="009D576B" w:rsidRPr="004D453A">
              <w:rPr>
                <w:rFonts w:ascii="Arial" w:eastAsia="Times New Roman" w:hAnsi="Arial" w:cs="Arial"/>
                <w:color w:val="000000"/>
                <w:sz w:val="20"/>
                <w:szCs w:val="20"/>
              </w:rPr>
              <w:t xml:space="preserve"> (ref)</w:t>
            </w:r>
          </w:p>
        </w:tc>
        <w:tc>
          <w:tcPr>
            <w:tcW w:w="718" w:type="dxa"/>
            <w:tcBorders>
              <w:top w:val="nil"/>
              <w:left w:val="nil"/>
              <w:bottom w:val="nil"/>
              <w:right w:val="nil"/>
            </w:tcBorders>
            <w:shd w:val="clear" w:color="000000" w:fill="FFFFFF"/>
            <w:noWrap/>
            <w:vAlign w:val="center"/>
            <w:hideMark/>
          </w:tcPr>
          <w:p w14:paraId="1D322C79"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28E0ECB5"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72</w:t>
            </w:r>
          </w:p>
        </w:tc>
        <w:tc>
          <w:tcPr>
            <w:tcW w:w="1845" w:type="dxa"/>
            <w:tcBorders>
              <w:top w:val="nil"/>
              <w:left w:val="nil"/>
              <w:bottom w:val="nil"/>
              <w:right w:val="nil"/>
            </w:tcBorders>
            <w:shd w:val="clear" w:color="000000" w:fill="FFFFFF"/>
            <w:noWrap/>
            <w:vAlign w:val="center"/>
            <w:hideMark/>
          </w:tcPr>
          <w:p w14:paraId="57E5B1EC" w14:textId="73EC6545"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w:t>
            </w:r>
            <w:r w:rsidR="009D576B" w:rsidRPr="004D453A">
              <w:rPr>
                <w:rFonts w:ascii="Arial" w:eastAsia="Times New Roman" w:hAnsi="Arial" w:cs="Arial"/>
                <w:color w:val="000000"/>
                <w:sz w:val="20"/>
                <w:szCs w:val="20"/>
              </w:rPr>
              <w:t xml:space="preserve"> (ref)</w:t>
            </w:r>
          </w:p>
        </w:tc>
      </w:tr>
      <w:tr w:rsidR="00AC21BE" w:rsidRPr="004D453A" w14:paraId="66CA3CEC"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492F1493" w14:textId="77777777" w:rsidR="00AC21BE" w:rsidRPr="004D453A" w:rsidRDefault="00AC21BE" w:rsidP="007F6826">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907" w:type="dxa"/>
            <w:tcBorders>
              <w:top w:val="nil"/>
              <w:left w:val="nil"/>
              <w:bottom w:val="nil"/>
              <w:right w:val="nil"/>
            </w:tcBorders>
            <w:shd w:val="clear" w:color="000000" w:fill="FFFFFF"/>
            <w:noWrap/>
            <w:vAlign w:val="center"/>
            <w:hideMark/>
          </w:tcPr>
          <w:p w14:paraId="2E352DA2"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115</w:t>
            </w:r>
          </w:p>
        </w:tc>
        <w:tc>
          <w:tcPr>
            <w:tcW w:w="1907" w:type="dxa"/>
            <w:tcBorders>
              <w:top w:val="nil"/>
              <w:left w:val="nil"/>
              <w:bottom w:val="nil"/>
              <w:right w:val="nil"/>
            </w:tcBorders>
            <w:shd w:val="clear" w:color="000000" w:fill="FFFFFF"/>
            <w:noWrap/>
            <w:vAlign w:val="center"/>
            <w:hideMark/>
          </w:tcPr>
          <w:p w14:paraId="49247EB6" w14:textId="34A37549"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1.22 (0.87</w:t>
            </w:r>
            <w:r w:rsidR="007A694D" w:rsidRPr="004D453A">
              <w:rPr>
                <w:rFonts w:ascii="Arial" w:eastAsia="Times New Roman" w:hAnsi="Arial" w:cs="Arial"/>
                <w:color w:val="000000"/>
                <w:sz w:val="20"/>
                <w:szCs w:val="20"/>
              </w:rPr>
              <w:t>-</w:t>
            </w:r>
            <w:r w:rsidRPr="004D453A">
              <w:rPr>
                <w:rFonts w:ascii="Arial" w:eastAsia="Times New Roman" w:hAnsi="Arial" w:cs="Arial"/>
                <w:color w:val="000000"/>
                <w:sz w:val="20"/>
                <w:szCs w:val="20"/>
              </w:rPr>
              <w:t>1.7</w:t>
            </w:r>
            <w:r w:rsidR="00FA21D1" w:rsidRPr="004D453A">
              <w:rPr>
                <w:rFonts w:ascii="Arial" w:eastAsia="Times New Roman" w:hAnsi="Arial" w:cs="Arial"/>
                <w:color w:val="000000"/>
                <w:sz w:val="20"/>
                <w:szCs w:val="20"/>
              </w:rPr>
              <w:t>0</w:t>
            </w:r>
            <w:r w:rsidRPr="004D453A">
              <w:rPr>
                <w:rFonts w:ascii="Arial" w:eastAsia="Times New Roman" w:hAnsi="Arial" w:cs="Arial"/>
                <w:color w:val="000000"/>
                <w:sz w:val="20"/>
                <w:szCs w:val="20"/>
              </w:rPr>
              <w:t>)</w:t>
            </w:r>
          </w:p>
        </w:tc>
        <w:tc>
          <w:tcPr>
            <w:tcW w:w="718" w:type="dxa"/>
            <w:tcBorders>
              <w:top w:val="nil"/>
              <w:left w:val="nil"/>
              <w:bottom w:val="nil"/>
              <w:right w:val="nil"/>
            </w:tcBorders>
            <w:shd w:val="clear" w:color="000000" w:fill="FFFFFF"/>
            <w:noWrap/>
            <w:vAlign w:val="center"/>
            <w:hideMark/>
          </w:tcPr>
          <w:p w14:paraId="181DE450"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4DCC7C85"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83</w:t>
            </w:r>
          </w:p>
        </w:tc>
        <w:tc>
          <w:tcPr>
            <w:tcW w:w="1845" w:type="dxa"/>
            <w:tcBorders>
              <w:top w:val="nil"/>
              <w:left w:val="nil"/>
              <w:bottom w:val="nil"/>
              <w:right w:val="nil"/>
            </w:tcBorders>
            <w:shd w:val="clear" w:color="000000" w:fill="FFFFFF"/>
            <w:noWrap/>
            <w:vAlign w:val="center"/>
            <w:hideMark/>
          </w:tcPr>
          <w:p w14:paraId="38D1E1A5" w14:textId="7DD739F9"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1.12 (0.78</w:t>
            </w:r>
            <w:r w:rsidR="009453F0" w:rsidRPr="004D453A">
              <w:rPr>
                <w:rFonts w:ascii="Arial" w:eastAsia="Times New Roman" w:hAnsi="Arial" w:cs="Arial"/>
                <w:color w:val="000000"/>
                <w:sz w:val="20"/>
                <w:szCs w:val="20"/>
              </w:rPr>
              <w:t>-</w:t>
            </w:r>
            <w:r w:rsidRPr="004D453A">
              <w:rPr>
                <w:rFonts w:ascii="Arial" w:eastAsia="Times New Roman" w:hAnsi="Arial" w:cs="Arial"/>
                <w:color w:val="000000"/>
                <w:sz w:val="20"/>
                <w:szCs w:val="20"/>
              </w:rPr>
              <w:t>1.61)</w:t>
            </w:r>
          </w:p>
        </w:tc>
      </w:tr>
      <w:tr w:rsidR="00AC21BE" w:rsidRPr="004D453A" w14:paraId="61CF3F48"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77901C99" w14:textId="77777777" w:rsidR="00AC21BE" w:rsidRPr="004D453A" w:rsidRDefault="00AC21BE" w:rsidP="007F6826">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907" w:type="dxa"/>
            <w:tcBorders>
              <w:top w:val="nil"/>
              <w:left w:val="nil"/>
              <w:bottom w:val="nil"/>
              <w:right w:val="nil"/>
            </w:tcBorders>
            <w:shd w:val="clear" w:color="000000" w:fill="FFFFFF"/>
            <w:noWrap/>
            <w:vAlign w:val="center"/>
            <w:hideMark/>
          </w:tcPr>
          <w:p w14:paraId="6EA604E0"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103</w:t>
            </w:r>
          </w:p>
        </w:tc>
        <w:tc>
          <w:tcPr>
            <w:tcW w:w="1907" w:type="dxa"/>
            <w:tcBorders>
              <w:top w:val="nil"/>
              <w:left w:val="nil"/>
              <w:bottom w:val="nil"/>
              <w:right w:val="nil"/>
            </w:tcBorders>
            <w:shd w:val="clear" w:color="000000" w:fill="FFFFFF"/>
            <w:noWrap/>
            <w:vAlign w:val="center"/>
            <w:hideMark/>
          </w:tcPr>
          <w:p w14:paraId="721609C5" w14:textId="44D7F819"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1.11 (0.79</w:t>
            </w:r>
            <w:r w:rsidR="009453F0" w:rsidRPr="004D453A">
              <w:rPr>
                <w:rFonts w:ascii="Arial" w:eastAsia="Times New Roman" w:hAnsi="Arial" w:cs="Arial"/>
                <w:color w:val="000000"/>
                <w:sz w:val="20"/>
                <w:szCs w:val="20"/>
              </w:rPr>
              <w:t>-</w:t>
            </w:r>
            <w:r w:rsidRPr="004D453A">
              <w:rPr>
                <w:rFonts w:ascii="Arial" w:eastAsia="Times New Roman" w:hAnsi="Arial" w:cs="Arial"/>
                <w:color w:val="000000"/>
                <w:sz w:val="20"/>
                <w:szCs w:val="20"/>
              </w:rPr>
              <w:t>1.56)</w:t>
            </w:r>
          </w:p>
        </w:tc>
        <w:tc>
          <w:tcPr>
            <w:tcW w:w="718" w:type="dxa"/>
            <w:tcBorders>
              <w:top w:val="nil"/>
              <w:left w:val="nil"/>
              <w:bottom w:val="nil"/>
              <w:right w:val="nil"/>
            </w:tcBorders>
            <w:shd w:val="clear" w:color="000000" w:fill="FFFFFF"/>
            <w:noWrap/>
            <w:vAlign w:val="center"/>
            <w:hideMark/>
          </w:tcPr>
          <w:p w14:paraId="5281C945"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58133BE6"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120</w:t>
            </w:r>
          </w:p>
        </w:tc>
        <w:tc>
          <w:tcPr>
            <w:tcW w:w="1845" w:type="dxa"/>
            <w:tcBorders>
              <w:top w:val="nil"/>
              <w:left w:val="nil"/>
              <w:bottom w:val="nil"/>
              <w:right w:val="nil"/>
            </w:tcBorders>
            <w:shd w:val="clear" w:color="000000" w:fill="FFFFFF"/>
            <w:noWrap/>
            <w:vAlign w:val="center"/>
            <w:hideMark/>
          </w:tcPr>
          <w:p w14:paraId="74EDCC9B" w14:textId="2C55ADA0"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1.51 (1.08</w:t>
            </w:r>
            <w:r w:rsidR="009453F0" w:rsidRPr="004D453A">
              <w:rPr>
                <w:rFonts w:ascii="Arial" w:eastAsia="Times New Roman" w:hAnsi="Arial" w:cs="Arial"/>
                <w:color w:val="000000"/>
                <w:sz w:val="20"/>
                <w:szCs w:val="20"/>
              </w:rPr>
              <w:t>-</w:t>
            </w:r>
            <w:r w:rsidRPr="004D453A">
              <w:rPr>
                <w:rFonts w:ascii="Arial" w:eastAsia="Times New Roman" w:hAnsi="Arial" w:cs="Arial"/>
                <w:color w:val="000000"/>
                <w:sz w:val="20"/>
                <w:szCs w:val="20"/>
              </w:rPr>
              <w:t>2.12)</w:t>
            </w:r>
          </w:p>
        </w:tc>
      </w:tr>
      <w:tr w:rsidR="00AC21BE" w:rsidRPr="004D453A" w14:paraId="2E3E0D25"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66BB996D" w14:textId="77777777" w:rsidR="00AC21BE" w:rsidRPr="004D453A" w:rsidRDefault="00AC21BE" w:rsidP="007F6826">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907" w:type="dxa"/>
            <w:tcBorders>
              <w:top w:val="nil"/>
              <w:left w:val="nil"/>
              <w:bottom w:val="nil"/>
              <w:right w:val="nil"/>
            </w:tcBorders>
            <w:shd w:val="clear" w:color="000000" w:fill="FFFFFF"/>
            <w:noWrap/>
            <w:vAlign w:val="center"/>
            <w:hideMark/>
          </w:tcPr>
          <w:p w14:paraId="45F9D67F"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109</w:t>
            </w:r>
          </w:p>
        </w:tc>
        <w:tc>
          <w:tcPr>
            <w:tcW w:w="1907" w:type="dxa"/>
            <w:tcBorders>
              <w:top w:val="nil"/>
              <w:left w:val="nil"/>
              <w:bottom w:val="nil"/>
              <w:right w:val="nil"/>
            </w:tcBorders>
            <w:shd w:val="clear" w:color="000000" w:fill="FFFFFF"/>
            <w:noWrap/>
            <w:vAlign w:val="center"/>
            <w:hideMark/>
          </w:tcPr>
          <w:p w14:paraId="1CA68F32" w14:textId="6DF2A518"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1.24 (0.88</w:t>
            </w:r>
            <w:r w:rsidR="009453F0" w:rsidRPr="004D453A">
              <w:rPr>
                <w:rFonts w:ascii="Arial" w:eastAsia="Times New Roman" w:hAnsi="Arial" w:cs="Arial"/>
                <w:color w:val="000000"/>
                <w:sz w:val="20"/>
                <w:szCs w:val="20"/>
              </w:rPr>
              <w:t>-</w:t>
            </w:r>
            <w:r w:rsidRPr="004D453A">
              <w:rPr>
                <w:rFonts w:ascii="Arial" w:eastAsia="Times New Roman" w:hAnsi="Arial" w:cs="Arial"/>
                <w:color w:val="000000"/>
                <w:sz w:val="20"/>
                <w:szCs w:val="20"/>
              </w:rPr>
              <w:t>1.74)</w:t>
            </w:r>
          </w:p>
        </w:tc>
        <w:tc>
          <w:tcPr>
            <w:tcW w:w="718" w:type="dxa"/>
            <w:tcBorders>
              <w:top w:val="nil"/>
              <w:left w:val="nil"/>
              <w:bottom w:val="nil"/>
              <w:right w:val="nil"/>
            </w:tcBorders>
            <w:shd w:val="clear" w:color="000000" w:fill="FFFFFF"/>
            <w:noWrap/>
            <w:vAlign w:val="center"/>
            <w:hideMark/>
          </w:tcPr>
          <w:p w14:paraId="3CD02876"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18AD12A8"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120</w:t>
            </w:r>
          </w:p>
        </w:tc>
        <w:tc>
          <w:tcPr>
            <w:tcW w:w="1845" w:type="dxa"/>
            <w:tcBorders>
              <w:top w:val="nil"/>
              <w:left w:val="nil"/>
              <w:bottom w:val="nil"/>
              <w:right w:val="nil"/>
            </w:tcBorders>
            <w:shd w:val="clear" w:color="000000" w:fill="FFFFFF"/>
            <w:noWrap/>
            <w:vAlign w:val="center"/>
            <w:hideMark/>
          </w:tcPr>
          <w:p w14:paraId="42B17E10" w14:textId="10B47EFC"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1.53 (1.09</w:t>
            </w:r>
            <w:r w:rsidR="009453F0" w:rsidRPr="004D453A">
              <w:rPr>
                <w:rFonts w:ascii="Arial" w:eastAsia="Times New Roman" w:hAnsi="Arial" w:cs="Arial"/>
                <w:color w:val="000000"/>
                <w:sz w:val="20"/>
                <w:szCs w:val="20"/>
              </w:rPr>
              <w:t>-</w:t>
            </w:r>
            <w:r w:rsidRPr="004D453A">
              <w:rPr>
                <w:rFonts w:ascii="Arial" w:eastAsia="Times New Roman" w:hAnsi="Arial" w:cs="Arial"/>
                <w:color w:val="000000"/>
                <w:sz w:val="20"/>
                <w:szCs w:val="20"/>
              </w:rPr>
              <w:t>2.15)</w:t>
            </w:r>
          </w:p>
        </w:tc>
      </w:tr>
      <w:tr w:rsidR="00AC21BE" w:rsidRPr="004D453A" w14:paraId="1BAB234F"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1D8B1C69" w14:textId="77777777" w:rsidR="00AC21BE" w:rsidRPr="004D453A" w:rsidRDefault="00AC21BE" w:rsidP="007F6826">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907" w:type="dxa"/>
            <w:tcBorders>
              <w:top w:val="nil"/>
              <w:left w:val="nil"/>
              <w:bottom w:val="nil"/>
              <w:right w:val="nil"/>
            </w:tcBorders>
            <w:shd w:val="clear" w:color="000000" w:fill="FFFFFF"/>
            <w:noWrap/>
            <w:vAlign w:val="center"/>
            <w:hideMark/>
          </w:tcPr>
          <w:p w14:paraId="7CCDA50F"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113</w:t>
            </w:r>
          </w:p>
        </w:tc>
        <w:tc>
          <w:tcPr>
            <w:tcW w:w="1907" w:type="dxa"/>
            <w:tcBorders>
              <w:top w:val="nil"/>
              <w:left w:val="nil"/>
              <w:bottom w:val="nil"/>
              <w:right w:val="nil"/>
            </w:tcBorders>
            <w:shd w:val="clear" w:color="000000" w:fill="FFFFFF"/>
            <w:noWrap/>
            <w:vAlign w:val="center"/>
            <w:hideMark/>
          </w:tcPr>
          <w:p w14:paraId="78422423" w14:textId="7778475C"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1.25 (0.89</w:t>
            </w:r>
            <w:r w:rsidR="009453F0" w:rsidRPr="004D453A">
              <w:rPr>
                <w:rFonts w:ascii="Arial" w:eastAsia="Times New Roman" w:hAnsi="Arial" w:cs="Arial"/>
                <w:color w:val="000000"/>
                <w:sz w:val="20"/>
                <w:szCs w:val="20"/>
              </w:rPr>
              <w:t>-</w:t>
            </w:r>
            <w:r w:rsidRPr="004D453A">
              <w:rPr>
                <w:rFonts w:ascii="Arial" w:eastAsia="Times New Roman" w:hAnsi="Arial" w:cs="Arial"/>
                <w:color w:val="000000"/>
                <w:sz w:val="20"/>
                <w:szCs w:val="20"/>
              </w:rPr>
              <w:t>1.75)</w:t>
            </w:r>
          </w:p>
        </w:tc>
        <w:tc>
          <w:tcPr>
            <w:tcW w:w="718" w:type="dxa"/>
            <w:tcBorders>
              <w:top w:val="nil"/>
              <w:left w:val="nil"/>
              <w:bottom w:val="nil"/>
              <w:right w:val="nil"/>
            </w:tcBorders>
            <w:shd w:val="clear" w:color="000000" w:fill="FFFFFF"/>
            <w:noWrap/>
            <w:vAlign w:val="center"/>
            <w:hideMark/>
          </w:tcPr>
          <w:p w14:paraId="1C713DF1"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3F61F754" w14:textId="77777777"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132</w:t>
            </w:r>
          </w:p>
        </w:tc>
        <w:tc>
          <w:tcPr>
            <w:tcW w:w="1845" w:type="dxa"/>
            <w:tcBorders>
              <w:top w:val="nil"/>
              <w:left w:val="nil"/>
              <w:bottom w:val="nil"/>
              <w:right w:val="nil"/>
            </w:tcBorders>
            <w:shd w:val="clear" w:color="000000" w:fill="FFFFFF"/>
            <w:noWrap/>
            <w:vAlign w:val="center"/>
            <w:hideMark/>
          </w:tcPr>
          <w:p w14:paraId="2C5A34DF" w14:textId="5C568F01" w:rsidR="00AC21BE" w:rsidRPr="004D453A" w:rsidRDefault="00AC21BE" w:rsidP="00AC21BE">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1.92 (1.37</w:t>
            </w:r>
            <w:r w:rsidR="009453F0" w:rsidRPr="004D453A">
              <w:rPr>
                <w:rFonts w:ascii="Arial" w:eastAsia="Times New Roman" w:hAnsi="Arial" w:cs="Arial"/>
                <w:color w:val="000000"/>
                <w:sz w:val="20"/>
                <w:szCs w:val="20"/>
              </w:rPr>
              <w:t>-</w:t>
            </w:r>
            <w:r w:rsidRPr="004D453A">
              <w:rPr>
                <w:rFonts w:ascii="Arial" w:eastAsia="Times New Roman" w:hAnsi="Arial" w:cs="Arial"/>
                <w:color w:val="000000"/>
                <w:sz w:val="20"/>
                <w:szCs w:val="20"/>
              </w:rPr>
              <w:t>2.7</w:t>
            </w:r>
            <w:r w:rsidR="00FA21D1" w:rsidRPr="004D453A">
              <w:rPr>
                <w:rFonts w:ascii="Arial" w:eastAsia="Times New Roman" w:hAnsi="Arial" w:cs="Arial"/>
                <w:color w:val="000000"/>
                <w:sz w:val="20"/>
                <w:szCs w:val="20"/>
              </w:rPr>
              <w:t>0</w:t>
            </w:r>
            <w:r w:rsidRPr="004D453A">
              <w:rPr>
                <w:rFonts w:ascii="Arial" w:eastAsia="Times New Roman" w:hAnsi="Arial" w:cs="Arial"/>
                <w:color w:val="000000"/>
                <w:sz w:val="20"/>
                <w:szCs w:val="20"/>
              </w:rPr>
              <w:t>)</w:t>
            </w:r>
          </w:p>
        </w:tc>
      </w:tr>
      <w:tr w:rsidR="00AC21BE" w:rsidRPr="004D453A" w14:paraId="150DD0FB"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0F764E71" w14:textId="28D77AB0" w:rsidR="00AC21BE" w:rsidRPr="004D453A" w:rsidRDefault="00B65713" w:rsidP="007F6826">
            <w:pPr>
              <w:ind w:firstLine="523"/>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907" w:type="dxa"/>
            <w:tcBorders>
              <w:top w:val="nil"/>
              <w:left w:val="nil"/>
              <w:bottom w:val="nil"/>
              <w:right w:val="nil"/>
            </w:tcBorders>
            <w:shd w:val="clear" w:color="000000" w:fill="FFFFFF"/>
            <w:noWrap/>
            <w:vAlign w:val="center"/>
            <w:hideMark/>
          </w:tcPr>
          <w:p w14:paraId="48ABF621" w14:textId="77777777" w:rsidR="00AC21BE" w:rsidRPr="004D453A" w:rsidRDefault="00AC21BE" w:rsidP="00AC21BE">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907" w:type="dxa"/>
            <w:tcBorders>
              <w:top w:val="nil"/>
              <w:left w:val="nil"/>
              <w:bottom w:val="nil"/>
              <w:right w:val="nil"/>
            </w:tcBorders>
            <w:shd w:val="clear" w:color="000000" w:fill="FFFFFF"/>
            <w:noWrap/>
            <w:vAlign w:val="center"/>
            <w:hideMark/>
          </w:tcPr>
          <w:p w14:paraId="080E28DB" w14:textId="77777777" w:rsidR="00AC21BE" w:rsidRPr="004D453A" w:rsidRDefault="00AC21BE" w:rsidP="00AC21BE">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0.19</w:t>
            </w:r>
          </w:p>
        </w:tc>
        <w:tc>
          <w:tcPr>
            <w:tcW w:w="718" w:type="dxa"/>
            <w:tcBorders>
              <w:top w:val="nil"/>
              <w:left w:val="nil"/>
              <w:bottom w:val="nil"/>
              <w:right w:val="nil"/>
            </w:tcBorders>
            <w:shd w:val="clear" w:color="000000" w:fill="FFFFFF"/>
            <w:noWrap/>
            <w:vAlign w:val="center"/>
            <w:hideMark/>
          </w:tcPr>
          <w:p w14:paraId="22421D5F" w14:textId="77777777" w:rsidR="00AC21BE" w:rsidRPr="004D453A" w:rsidRDefault="00AC21BE" w:rsidP="00AC21BE">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950" w:type="dxa"/>
            <w:tcBorders>
              <w:top w:val="nil"/>
              <w:left w:val="nil"/>
              <w:bottom w:val="nil"/>
              <w:right w:val="nil"/>
            </w:tcBorders>
            <w:shd w:val="clear" w:color="000000" w:fill="FFFFFF"/>
            <w:noWrap/>
            <w:vAlign w:val="center"/>
            <w:hideMark/>
          </w:tcPr>
          <w:p w14:paraId="5D6D87BF" w14:textId="77777777" w:rsidR="00AC21BE" w:rsidRPr="004D453A" w:rsidRDefault="00AC21BE" w:rsidP="00AC21BE">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845" w:type="dxa"/>
            <w:tcBorders>
              <w:top w:val="nil"/>
              <w:left w:val="nil"/>
              <w:bottom w:val="nil"/>
              <w:right w:val="nil"/>
            </w:tcBorders>
            <w:shd w:val="clear" w:color="000000" w:fill="FFFFFF"/>
            <w:noWrap/>
            <w:vAlign w:val="center"/>
            <w:hideMark/>
          </w:tcPr>
          <w:p w14:paraId="4DFD9A1B" w14:textId="77777777" w:rsidR="00AC21BE" w:rsidRPr="004D453A" w:rsidRDefault="00AC21BE" w:rsidP="00AC21BE">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&lt;0.0001</w:t>
            </w:r>
          </w:p>
        </w:tc>
      </w:tr>
      <w:tr w:rsidR="00AF5D97" w:rsidRPr="004D453A" w14:paraId="3BC5FDAD" w14:textId="77777777" w:rsidTr="00961BD8">
        <w:trPr>
          <w:trHeight w:val="20"/>
          <w:jc w:val="center"/>
        </w:trPr>
        <w:tc>
          <w:tcPr>
            <w:tcW w:w="2340" w:type="dxa"/>
            <w:tcBorders>
              <w:top w:val="nil"/>
              <w:left w:val="nil"/>
              <w:bottom w:val="nil"/>
              <w:right w:val="nil"/>
            </w:tcBorders>
            <w:shd w:val="clear" w:color="000000" w:fill="FFFFFF"/>
            <w:noWrap/>
            <w:vAlign w:val="bottom"/>
          </w:tcPr>
          <w:p w14:paraId="76ACE8E3" w14:textId="6208BA40" w:rsidR="00AF5D97" w:rsidRPr="00615CA1" w:rsidRDefault="00AF5D97" w:rsidP="00AF5D97">
            <w:pPr>
              <w:ind w:firstLine="523"/>
              <w:rPr>
                <w:rFonts w:ascii="Arial" w:hAnsi="Arial" w:cs="Arial"/>
                <w:i/>
                <w:iCs/>
                <w:color w:val="000000"/>
                <w:sz w:val="20"/>
                <w:szCs w:val="20"/>
              </w:rPr>
            </w:pPr>
            <w:proofErr w:type="spellStart"/>
            <w:r w:rsidRPr="004D453A">
              <w:rPr>
                <w:rFonts w:ascii="Arial" w:hAnsi="Arial" w:cs="Arial"/>
                <w:i/>
                <w:iCs/>
                <w:color w:val="000000"/>
                <w:sz w:val="20"/>
                <w:szCs w:val="20"/>
              </w:rPr>
              <w:t>P</w:t>
            </w:r>
            <w:r w:rsidRPr="004D453A">
              <w:rPr>
                <w:rFonts w:ascii="Arial" w:hAnsi="Arial" w:cs="Arial"/>
                <w:i/>
                <w:iCs/>
                <w:color w:val="000000"/>
                <w:sz w:val="20"/>
                <w:szCs w:val="20"/>
                <w:vertAlign w:val="subscript"/>
              </w:rPr>
              <w:t>heterogeneity</w:t>
            </w:r>
            <w:proofErr w:type="spellEnd"/>
          </w:p>
        </w:tc>
        <w:tc>
          <w:tcPr>
            <w:tcW w:w="907" w:type="dxa"/>
            <w:tcBorders>
              <w:top w:val="nil"/>
              <w:left w:val="nil"/>
              <w:bottom w:val="nil"/>
              <w:right w:val="nil"/>
            </w:tcBorders>
            <w:shd w:val="clear" w:color="000000" w:fill="FFFFFF"/>
            <w:noWrap/>
            <w:vAlign w:val="center"/>
          </w:tcPr>
          <w:p w14:paraId="626F4A45" w14:textId="77777777" w:rsidR="00AF5D97" w:rsidRPr="004D453A" w:rsidRDefault="00AF5D97" w:rsidP="00AF5D97">
            <w:pPr>
              <w:jc w:val="center"/>
              <w:rPr>
                <w:rFonts w:ascii="Arial" w:eastAsia="Times New Roman" w:hAnsi="Arial" w:cs="Arial"/>
                <w:i/>
                <w:iCs/>
                <w:color w:val="000000"/>
                <w:sz w:val="20"/>
                <w:szCs w:val="20"/>
              </w:rPr>
            </w:pPr>
          </w:p>
        </w:tc>
        <w:tc>
          <w:tcPr>
            <w:tcW w:w="1907" w:type="dxa"/>
            <w:tcBorders>
              <w:top w:val="nil"/>
              <w:left w:val="nil"/>
              <w:bottom w:val="nil"/>
              <w:right w:val="nil"/>
            </w:tcBorders>
            <w:shd w:val="clear" w:color="000000" w:fill="FFFFFF"/>
            <w:noWrap/>
            <w:vAlign w:val="center"/>
          </w:tcPr>
          <w:p w14:paraId="62811201" w14:textId="48BF89F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ref</w:t>
            </w:r>
          </w:p>
        </w:tc>
        <w:tc>
          <w:tcPr>
            <w:tcW w:w="718" w:type="dxa"/>
            <w:tcBorders>
              <w:top w:val="nil"/>
              <w:left w:val="nil"/>
              <w:bottom w:val="nil"/>
              <w:right w:val="nil"/>
            </w:tcBorders>
            <w:shd w:val="clear" w:color="000000" w:fill="FFFFFF"/>
            <w:noWrap/>
            <w:vAlign w:val="center"/>
          </w:tcPr>
          <w:p w14:paraId="0C9CA182" w14:textId="77777777" w:rsidR="00AF5D97" w:rsidRPr="004D453A" w:rsidRDefault="00AF5D97" w:rsidP="00AF5D97">
            <w:pPr>
              <w:jc w:val="center"/>
              <w:rPr>
                <w:rFonts w:ascii="Arial" w:eastAsia="Times New Roman" w:hAnsi="Arial" w:cs="Arial"/>
                <w:i/>
                <w:iCs/>
                <w:color w:val="000000"/>
                <w:sz w:val="20"/>
                <w:szCs w:val="20"/>
              </w:rPr>
            </w:pPr>
          </w:p>
        </w:tc>
        <w:tc>
          <w:tcPr>
            <w:tcW w:w="950" w:type="dxa"/>
            <w:tcBorders>
              <w:top w:val="nil"/>
              <w:left w:val="nil"/>
              <w:bottom w:val="nil"/>
              <w:right w:val="nil"/>
            </w:tcBorders>
            <w:shd w:val="clear" w:color="000000" w:fill="FFFFFF"/>
            <w:noWrap/>
            <w:vAlign w:val="center"/>
          </w:tcPr>
          <w:p w14:paraId="6FECB657" w14:textId="77777777" w:rsidR="00AF5D97" w:rsidRPr="004D453A" w:rsidRDefault="00AF5D97" w:rsidP="00AF5D97">
            <w:pPr>
              <w:jc w:val="center"/>
              <w:rPr>
                <w:rFonts w:ascii="Arial" w:eastAsia="Times New Roman" w:hAnsi="Arial" w:cs="Arial"/>
                <w:i/>
                <w:iCs/>
                <w:color w:val="000000"/>
                <w:sz w:val="20"/>
                <w:szCs w:val="20"/>
              </w:rPr>
            </w:pPr>
          </w:p>
        </w:tc>
        <w:tc>
          <w:tcPr>
            <w:tcW w:w="1845" w:type="dxa"/>
            <w:tcBorders>
              <w:top w:val="nil"/>
              <w:left w:val="nil"/>
              <w:bottom w:val="nil"/>
              <w:right w:val="nil"/>
            </w:tcBorders>
            <w:shd w:val="clear" w:color="000000" w:fill="FFFFFF"/>
            <w:noWrap/>
            <w:vAlign w:val="center"/>
          </w:tcPr>
          <w:p w14:paraId="671C17B2" w14:textId="2F8E36DC"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ref</w:t>
            </w:r>
          </w:p>
        </w:tc>
      </w:tr>
      <w:tr w:rsidR="00AF5D97" w:rsidRPr="004D453A" w14:paraId="06BBAD86" w14:textId="77777777" w:rsidTr="00034351">
        <w:trPr>
          <w:trHeight w:val="20"/>
          <w:jc w:val="center"/>
        </w:trPr>
        <w:tc>
          <w:tcPr>
            <w:tcW w:w="2340" w:type="dxa"/>
            <w:tcBorders>
              <w:top w:val="nil"/>
              <w:left w:val="nil"/>
              <w:bottom w:val="nil"/>
              <w:right w:val="nil"/>
            </w:tcBorders>
            <w:shd w:val="clear" w:color="000000" w:fill="FFFFFF"/>
            <w:vAlign w:val="center"/>
            <w:hideMark/>
          </w:tcPr>
          <w:p w14:paraId="4E16F87C" w14:textId="77777777" w:rsidR="00AF5D97" w:rsidRPr="004D453A" w:rsidRDefault="00AF5D97" w:rsidP="00AF5D97">
            <w:pPr>
              <w:ind w:left="433" w:hanging="180"/>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xml:space="preserve">Tubulovillous or villous </w:t>
            </w:r>
          </w:p>
        </w:tc>
        <w:tc>
          <w:tcPr>
            <w:tcW w:w="907" w:type="dxa"/>
            <w:tcBorders>
              <w:top w:val="nil"/>
              <w:left w:val="nil"/>
              <w:bottom w:val="nil"/>
              <w:right w:val="nil"/>
            </w:tcBorders>
            <w:shd w:val="clear" w:color="000000" w:fill="FFFFFF"/>
            <w:noWrap/>
            <w:vAlign w:val="center"/>
            <w:hideMark/>
          </w:tcPr>
          <w:p w14:paraId="62479BF0"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907" w:type="dxa"/>
            <w:tcBorders>
              <w:top w:val="nil"/>
              <w:left w:val="nil"/>
              <w:bottom w:val="nil"/>
              <w:right w:val="nil"/>
            </w:tcBorders>
            <w:shd w:val="clear" w:color="000000" w:fill="FFFFFF"/>
            <w:noWrap/>
            <w:vAlign w:val="center"/>
            <w:hideMark/>
          </w:tcPr>
          <w:p w14:paraId="70363FCB"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718" w:type="dxa"/>
            <w:tcBorders>
              <w:top w:val="nil"/>
              <w:left w:val="nil"/>
              <w:bottom w:val="nil"/>
              <w:right w:val="nil"/>
            </w:tcBorders>
            <w:shd w:val="clear" w:color="000000" w:fill="FFFFFF"/>
            <w:noWrap/>
            <w:vAlign w:val="center"/>
            <w:hideMark/>
          </w:tcPr>
          <w:p w14:paraId="6C3A4761"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12D13F2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845" w:type="dxa"/>
            <w:tcBorders>
              <w:top w:val="nil"/>
              <w:left w:val="nil"/>
              <w:bottom w:val="nil"/>
              <w:right w:val="nil"/>
            </w:tcBorders>
            <w:shd w:val="clear" w:color="000000" w:fill="FFFFFF"/>
            <w:noWrap/>
            <w:vAlign w:val="center"/>
            <w:hideMark/>
          </w:tcPr>
          <w:p w14:paraId="0070E98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r>
      <w:tr w:rsidR="00AF5D97" w:rsidRPr="004D453A" w14:paraId="7D996915" w14:textId="77777777" w:rsidTr="00034351">
        <w:trPr>
          <w:trHeight w:val="20"/>
          <w:jc w:val="center"/>
        </w:trPr>
        <w:tc>
          <w:tcPr>
            <w:tcW w:w="2340" w:type="dxa"/>
            <w:tcBorders>
              <w:top w:val="nil"/>
              <w:left w:val="nil"/>
              <w:bottom w:val="nil"/>
              <w:right w:val="nil"/>
            </w:tcBorders>
            <w:shd w:val="clear" w:color="000000" w:fill="FFFFFF"/>
            <w:vAlign w:val="center"/>
            <w:hideMark/>
          </w:tcPr>
          <w:p w14:paraId="68FC9A1C"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907" w:type="dxa"/>
            <w:tcBorders>
              <w:top w:val="nil"/>
              <w:left w:val="nil"/>
              <w:bottom w:val="nil"/>
              <w:right w:val="nil"/>
            </w:tcBorders>
            <w:shd w:val="clear" w:color="000000" w:fill="FFFFFF"/>
            <w:noWrap/>
            <w:vAlign w:val="center"/>
            <w:hideMark/>
          </w:tcPr>
          <w:p w14:paraId="3DB124DD"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39</w:t>
            </w:r>
          </w:p>
        </w:tc>
        <w:tc>
          <w:tcPr>
            <w:tcW w:w="1907" w:type="dxa"/>
            <w:tcBorders>
              <w:top w:val="nil"/>
              <w:left w:val="nil"/>
              <w:bottom w:val="nil"/>
              <w:right w:val="nil"/>
            </w:tcBorders>
            <w:shd w:val="clear" w:color="000000" w:fill="FFFFFF"/>
            <w:noWrap/>
            <w:vAlign w:val="center"/>
            <w:hideMark/>
          </w:tcPr>
          <w:p w14:paraId="4FDFF7AB" w14:textId="61D96654"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c>
          <w:tcPr>
            <w:tcW w:w="718" w:type="dxa"/>
            <w:tcBorders>
              <w:top w:val="nil"/>
              <w:left w:val="nil"/>
              <w:bottom w:val="nil"/>
              <w:right w:val="nil"/>
            </w:tcBorders>
            <w:shd w:val="clear" w:color="000000" w:fill="FFFFFF"/>
            <w:noWrap/>
            <w:vAlign w:val="center"/>
            <w:hideMark/>
          </w:tcPr>
          <w:p w14:paraId="5E2D3C9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087AC5D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29</w:t>
            </w:r>
          </w:p>
        </w:tc>
        <w:tc>
          <w:tcPr>
            <w:tcW w:w="1845" w:type="dxa"/>
            <w:tcBorders>
              <w:top w:val="nil"/>
              <w:left w:val="nil"/>
              <w:bottom w:val="nil"/>
              <w:right w:val="nil"/>
            </w:tcBorders>
            <w:shd w:val="clear" w:color="000000" w:fill="FFFFFF"/>
            <w:noWrap/>
            <w:vAlign w:val="center"/>
            <w:hideMark/>
          </w:tcPr>
          <w:p w14:paraId="6904F0DE" w14:textId="2856CC6A"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r>
      <w:tr w:rsidR="00AF5D97" w:rsidRPr="004D453A" w14:paraId="539FE675"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0161552D"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907" w:type="dxa"/>
            <w:tcBorders>
              <w:top w:val="nil"/>
              <w:left w:val="nil"/>
              <w:bottom w:val="nil"/>
              <w:right w:val="nil"/>
            </w:tcBorders>
            <w:shd w:val="clear" w:color="000000" w:fill="FFFFFF"/>
            <w:noWrap/>
            <w:vAlign w:val="center"/>
            <w:hideMark/>
          </w:tcPr>
          <w:p w14:paraId="0E0D4D4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37</w:t>
            </w:r>
          </w:p>
        </w:tc>
        <w:tc>
          <w:tcPr>
            <w:tcW w:w="1907" w:type="dxa"/>
            <w:tcBorders>
              <w:top w:val="nil"/>
              <w:left w:val="nil"/>
              <w:bottom w:val="nil"/>
              <w:right w:val="nil"/>
            </w:tcBorders>
            <w:shd w:val="clear" w:color="000000" w:fill="FFFFFF"/>
            <w:noWrap/>
            <w:vAlign w:val="center"/>
            <w:hideMark/>
          </w:tcPr>
          <w:p w14:paraId="2F5A83E6" w14:textId="7FB8F97E"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0.92 (0.56-1.50)</w:t>
            </w:r>
          </w:p>
        </w:tc>
        <w:tc>
          <w:tcPr>
            <w:tcW w:w="718" w:type="dxa"/>
            <w:tcBorders>
              <w:top w:val="nil"/>
              <w:left w:val="nil"/>
              <w:bottom w:val="nil"/>
              <w:right w:val="nil"/>
            </w:tcBorders>
            <w:shd w:val="clear" w:color="000000" w:fill="FFFFFF"/>
            <w:noWrap/>
            <w:vAlign w:val="center"/>
            <w:hideMark/>
          </w:tcPr>
          <w:p w14:paraId="3E82CB22"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3AB7BEDE"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33</w:t>
            </w:r>
          </w:p>
        </w:tc>
        <w:tc>
          <w:tcPr>
            <w:tcW w:w="1845" w:type="dxa"/>
            <w:tcBorders>
              <w:top w:val="nil"/>
              <w:left w:val="nil"/>
              <w:bottom w:val="nil"/>
              <w:right w:val="nil"/>
            </w:tcBorders>
            <w:shd w:val="clear" w:color="000000" w:fill="FFFFFF"/>
            <w:noWrap/>
            <w:vAlign w:val="center"/>
            <w:hideMark/>
          </w:tcPr>
          <w:p w14:paraId="36220ED6" w14:textId="764858B2"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1.16 (0.68-1.99)</w:t>
            </w:r>
          </w:p>
        </w:tc>
      </w:tr>
      <w:tr w:rsidR="00AF5D97" w:rsidRPr="004D453A" w14:paraId="19E2C378"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3858F19E"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907" w:type="dxa"/>
            <w:tcBorders>
              <w:top w:val="nil"/>
              <w:left w:val="nil"/>
              <w:bottom w:val="nil"/>
              <w:right w:val="nil"/>
            </w:tcBorders>
            <w:shd w:val="clear" w:color="000000" w:fill="FFFFFF"/>
            <w:noWrap/>
            <w:vAlign w:val="center"/>
            <w:hideMark/>
          </w:tcPr>
          <w:p w14:paraId="473A0F71"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39</w:t>
            </w:r>
          </w:p>
        </w:tc>
        <w:tc>
          <w:tcPr>
            <w:tcW w:w="1907" w:type="dxa"/>
            <w:tcBorders>
              <w:top w:val="nil"/>
              <w:left w:val="nil"/>
              <w:bottom w:val="nil"/>
              <w:right w:val="nil"/>
            </w:tcBorders>
            <w:shd w:val="clear" w:color="000000" w:fill="FFFFFF"/>
            <w:noWrap/>
            <w:vAlign w:val="center"/>
            <w:hideMark/>
          </w:tcPr>
          <w:p w14:paraId="196F421D" w14:textId="507FA3AB"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0.94 (0.58-1.53)</w:t>
            </w:r>
          </w:p>
        </w:tc>
        <w:tc>
          <w:tcPr>
            <w:tcW w:w="718" w:type="dxa"/>
            <w:tcBorders>
              <w:top w:val="nil"/>
              <w:left w:val="nil"/>
              <w:bottom w:val="nil"/>
              <w:right w:val="nil"/>
            </w:tcBorders>
            <w:shd w:val="clear" w:color="000000" w:fill="FFFFFF"/>
            <w:noWrap/>
            <w:vAlign w:val="center"/>
            <w:hideMark/>
          </w:tcPr>
          <w:p w14:paraId="5C4800C4"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51523BD0"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43</w:t>
            </w:r>
          </w:p>
        </w:tc>
        <w:tc>
          <w:tcPr>
            <w:tcW w:w="1845" w:type="dxa"/>
            <w:tcBorders>
              <w:top w:val="nil"/>
              <w:left w:val="nil"/>
              <w:bottom w:val="nil"/>
              <w:right w:val="nil"/>
            </w:tcBorders>
            <w:shd w:val="clear" w:color="000000" w:fill="FFFFFF"/>
            <w:noWrap/>
            <w:vAlign w:val="center"/>
            <w:hideMark/>
          </w:tcPr>
          <w:p w14:paraId="5ACD87E2" w14:textId="4BB6AC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1.27 (0.77-2.12)</w:t>
            </w:r>
          </w:p>
        </w:tc>
      </w:tr>
      <w:tr w:rsidR="00AF5D97" w:rsidRPr="004D453A" w14:paraId="12A044A4"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2B718852"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907" w:type="dxa"/>
            <w:tcBorders>
              <w:top w:val="nil"/>
              <w:left w:val="nil"/>
              <w:bottom w:val="nil"/>
              <w:right w:val="nil"/>
            </w:tcBorders>
            <w:shd w:val="clear" w:color="000000" w:fill="FFFFFF"/>
            <w:noWrap/>
            <w:vAlign w:val="center"/>
            <w:hideMark/>
          </w:tcPr>
          <w:p w14:paraId="3D876E55"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45</w:t>
            </w:r>
          </w:p>
        </w:tc>
        <w:tc>
          <w:tcPr>
            <w:tcW w:w="1907" w:type="dxa"/>
            <w:tcBorders>
              <w:top w:val="nil"/>
              <w:left w:val="nil"/>
              <w:bottom w:val="nil"/>
              <w:right w:val="nil"/>
            </w:tcBorders>
            <w:shd w:val="clear" w:color="000000" w:fill="FFFFFF"/>
            <w:noWrap/>
            <w:vAlign w:val="center"/>
            <w:hideMark/>
          </w:tcPr>
          <w:p w14:paraId="0FA083BB" w14:textId="3A0326CD"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1.06 (0.66-1.72)</w:t>
            </w:r>
          </w:p>
        </w:tc>
        <w:tc>
          <w:tcPr>
            <w:tcW w:w="718" w:type="dxa"/>
            <w:tcBorders>
              <w:top w:val="nil"/>
              <w:left w:val="nil"/>
              <w:bottom w:val="nil"/>
              <w:right w:val="nil"/>
            </w:tcBorders>
            <w:shd w:val="clear" w:color="000000" w:fill="FFFFFF"/>
            <w:noWrap/>
            <w:vAlign w:val="center"/>
            <w:hideMark/>
          </w:tcPr>
          <w:p w14:paraId="1BEA500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070D3E7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58</w:t>
            </w:r>
          </w:p>
        </w:tc>
        <w:tc>
          <w:tcPr>
            <w:tcW w:w="1845" w:type="dxa"/>
            <w:tcBorders>
              <w:top w:val="nil"/>
              <w:left w:val="nil"/>
              <w:bottom w:val="nil"/>
              <w:right w:val="nil"/>
            </w:tcBorders>
            <w:shd w:val="clear" w:color="000000" w:fill="FFFFFF"/>
            <w:noWrap/>
            <w:vAlign w:val="center"/>
            <w:hideMark/>
          </w:tcPr>
          <w:p w14:paraId="222222DD" w14:textId="25F44A96"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1.71 (1.07-2.80)</w:t>
            </w:r>
          </w:p>
        </w:tc>
      </w:tr>
      <w:tr w:rsidR="00AF5D97" w:rsidRPr="004D453A" w14:paraId="43693F56"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2975FE94"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907" w:type="dxa"/>
            <w:tcBorders>
              <w:top w:val="nil"/>
              <w:left w:val="nil"/>
              <w:bottom w:val="nil"/>
              <w:right w:val="nil"/>
            </w:tcBorders>
            <w:shd w:val="clear" w:color="000000" w:fill="FFFFFF"/>
            <w:noWrap/>
            <w:vAlign w:val="center"/>
            <w:hideMark/>
          </w:tcPr>
          <w:p w14:paraId="2EB433AE"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62</w:t>
            </w:r>
          </w:p>
        </w:tc>
        <w:tc>
          <w:tcPr>
            <w:tcW w:w="1907" w:type="dxa"/>
            <w:tcBorders>
              <w:top w:val="nil"/>
              <w:left w:val="nil"/>
              <w:bottom w:val="nil"/>
              <w:right w:val="nil"/>
            </w:tcBorders>
            <w:shd w:val="clear" w:color="000000" w:fill="FFFFFF"/>
            <w:noWrap/>
            <w:vAlign w:val="center"/>
            <w:hideMark/>
          </w:tcPr>
          <w:p w14:paraId="522F71BA" w14:textId="27DE143E"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1.47 (0.94-2.32)</w:t>
            </w:r>
          </w:p>
        </w:tc>
        <w:tc>
          <w:tcPr>
            <w:tcW w:w="718" w:type="dxa"/>
            <w:tcBorders>
              <w:top w:val="nil"/>
              <w:left w:val="nil"/>
              <w:bottom w:val="nil"/>
              <w:right w:val="nil"/>
            </w:tcBorders>
            <w:shd w:val="clear" w:color="000000" w:fill="FFFFFF"/>
            <w:noWrap/>
            <w:vAlign w:val="center"/>
            <w:hideMark/>
          </w:tcPr>
          <w:p w14:paraId="012ACC6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61F0717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59</w:t>
            </w:r>
          </w:p>
        </w:tc>
        <w:tc>
          <w:tcPr>
            <w:tcW w:w="1845" w:type="dxa"/>
            <w:tcBorders>
              <w:top w:val="nil"/>
              <w:left w:val="nil"/>
              <w:bottom w:val="nil"/>
              <w:right w:val="nil"/>
            </w:tcBorders>
            <w:shd w:val="clear" w:color="000000" w:fill="FFFFFF"/>
            <w:noWrap/>
            <w:vAlign w:val="center"/>
            <w:hideMark/>
          </w:tcPr>
          <w:p w14:paraId="603DF191" w14:textId="0DBB4766"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2.05 (1.27-3.36)</w:t>
            </w:r>
          </w:p>
        </w:tc>
      </w:tr>
      <w:tr w:rsidR="00AF5D97" w:rsidRPr="004D453A" w14:paraId="6B4680A0"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37AFA327" w14:textId="6D8A85B4" w:rsidR="00AF5D97" w:rsidRPr="004D453A" w:rsidRDefault="00AF5D97" w:rsidP="00AF5D97">
            <w:pPr>
              <w:ind w:firstLine="523"/>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907" w:type="dxa"/>
            <w:tcBorders>
              <w:top w:val="nil"/>
              <w:left w:val="nil"/>
              <w:bottom w:val="nil"/>
              <w:right w:val="nil"/>
            </w:tcBorders>
            <w:shd w:val="clear" w:color="000000" w:fill="FFFFFF"/>
            <w:noWrap/>
            <w:vAlign w:val="center"/>
            <w:hideMark/>
          </w:tcPr>
          <w:p w14:paraId="6812F1FF"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907" w:type="dxa"/>
            <w:tcBorders>
              <w:top w:val="nil"/>
              <w:left w:val="nil"/>
              <w:bottom w:val="nil"/>
              <w:right w:val="nil"/>
            </w:tcBorders>
            <w:shd w:val="clear" w:color="000000" w:fill="FFFFFF"/>
            <w:noWrap/>
            <w:vAlign w:val="center"/>
            <w:hideMark/>
          </w:tcPr>
          <w:p w14:paraId="39DAB3E1"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0.08</w:t>
            </w:r>
          </w:p>
        </w:tc>
        <w:tc>
          <w:tcPr>
            <w:tcW w:w="718" w:type="dxa"/>
            <w:tcBorders>
              <w:top w:val="nil"/>
              <w:left w:val="nil"/>
              <w:bottom w:val="nil"/>
              <w:right w:val="nil"/>
            </w:tcBorders>
            <w:shd w:val="clear" w:color="000000" w:fill="FFFFFF"/>
            <w:noWrap/>
            <w:vAlign w:val="center"/>
            <w:hideMark/>
          </w:tcPr>
          <w:p w14:paraId="16339C54"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950" w:type="dxa"/>
            <w:tcBorders>
              <w:top w:val="nil"/>
              <w:left w:val="nil"/>
              <w:bottom w:val="nil"/>
              <w:right w:val="nil"/>
            </w:tcBorders>
            <w:shd w:val="clear" w:color="000000" w:fill="FFFFFF"/>
            <w:noWrap/>
            <w:vAlign w:val="center"/>
            <w:hideMark/>
          </w:tcPr>
          <w:p w14:paraId="5500F0F8"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845" w:type="dxa"/>
            <w:tcBorders>
              <w:top w:val="nil"/>
              <w:left w:val="nil"/>
              <w:bottom w:val="nil"/>
              <w:right w:val="nil"/>
            </w:tcBorders>
            <w:shd w:val="clear" w:color="000000" w:fill="FFFFFF"/>
            <w:noWrap/>
            <w:vAlign w:val="center"/>
            <w:hideMark/>
          </w:tcPr>
          <w:p w14:paraId="20294B9D"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0.001</w:t>
            </w:r>
          </w:p>
        </w:tc>
      </w:tr>
      <w:tr w:rsidR="00AF5D97" w:rsidRPr="004D453A" w14:paraId="0AB6D50B" w14:textId="77777777" w:rsidTr="00961BD8">
        <w:trPr>
          <w:trHeight w:val="20"/>
          <w:jc w:val="center"/>
        </w:trPr>
        <w:tc>
          <w:tcPr>
            <w:tcW w:w="2340" w:type="dxa"/>
            <w:tcBorders>
              <w:top w:val="nil"/>
              <w:left w:val="nil"/>
              <w:bottom w:val="nil"/>
              <w:right w:val="nil"/>
            </w:tcBorders>
            <w:shd w:val="clear" w:color="000000" w:fill="FFFFFF"/>
            <w:noWrap/>
            <w:vAlign w:val="bottom"/>
          </w:tcPr>
          <w:p w14:paraId="09CC00A3" w14:textId="25DA1A92" w:rsidR="00AF5D97" w:rsidRPr="00615CA1" w:rsidRDefault="00AF5D97" w:rsidP="00AF5D97">
            <w:pPr>
              <w:ind w:firstLine="523"/>
              <w:rPr>
                <w:rFonts w:ascii="Arial" w:hAnsi="Arial" w:cs="Arial"/>
                <w:i/>
                <w:iCs/>
                <w:color w:val="000000"/>
                <w:sz w:val="20"/>
                <w:szCs w:val="20"/>
              </w:rPr>
            </w:pPr>
            <w:proofErr w:type="spellStart"/>
            <w:r w:rsidRPr="004D453A">
              <w:rPr>
                <w:rFonts w:ascii="Arial" w:hAnsi="Arial" w:cs="Arial"/>
                <w:i/>
                <w:iCs/>
                <w:color w:val="000000"/>
                <w:sz w:val="20"/>
                <w:szCs w:val="20"/>
              </w:rPr>
              <w:t>P</w:t>
            </w:r>
            <w:r w:rsidRPr="004D453A">
              <w:rPr>
                <w:rFonts w:ascii="Arial" w:hAnsi="Arial" w:cs="Arial"/>
                <w:i/>
                <w:iCs/>
                <w:color w:val="000000"/>
                <w:sz w:val="20"/>
                <w:szCs w:val="20"/>
                <w:vertAlign w:val="subscript"/>
              </w:rPr>
              <w:t>heterogeneity</w:t>
            </w:r>
            <w:proofErr w:type="spellEnd"/>
          </w:p>
        </w:tc>
        <w:tc>
          <w:tcPr>
            <w:tcW w:w="907" w:type="dxa"/>
            <w:tcBorders>
              <w:top w:val="nil"/>
              <w:left w:val="nil"/>
              <w:bottom w:val="nil"/>
              <w:right w:val="nil"/>
            </w:tcBorders>
            <w:shd w:val="clear" w:color="000000" w:fill="FFFFFF"/>
            <w:noWrap/>
            <w:vAlign w:val="center"/>
          </w:tcPr>
          <w:p w14:paraId="72412748" w14:textId="77777777" w:rsidR="00AF5D97" w:rsidRPr="004D453A" w:rsidRDefault="00AF5D97" w:rsidP="00AF5D97">
            <w:pPr>
              <w:jc w:val="center"/>
              <w:rPr>
                <w:rFonts w:ascii="Arial" w:eastAsia="Times New Roman" w:hAnsi="Arial" w:cs="Arial"/>
                <w:i/>
                <w:iCs/>
                <w:color w:val="000000"/>
                <w:sz w:val="20"/>
                <w:szCs w:val="20"/>
              </w:rPr>
            </w:pPr>
          </w:p>
        </w:tc>
        <w:tc>
          <w:tcPr>
            <w:tcW w:w="1907" w:type="dxa"/>
            <w:tcBorders>
              <w:top w:val="nil"/>
              <w:left w:val="nil"/>
              <w:bottom w:val="nil"/>
              <w:right w:val="nil"/>
            </w:tcBorders>
            <w:shd w:val="clear" w:color="000000" w:fill="FFFFFF"/>
            <w:noWrap/>
            <w:vAlign w:val="center"/>
          </w:tcPr>
          <w:p w14:paraId="488CEC97" w14:textId="6BD45CB3"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0.50</w:t>
            </w:r>
          </w:p>
        </w:tc>
        <w:tc>
          <w:tcPr>
            <w:tcW w:w="718" w:type="dxa"/>
            <w:tcBorders>
              <w:top w:val="nil"/>
              <w:left w:val="nil"/>
              <w:bottom w:val="nil"/>
              <w:right w:val="nil"/>
            </w:tcBorders>
            <w:shd w:val="clear" w:color="000000" w:fill="FFFFFF"/>
            <w:noWrap/>
            <w:vAlign w:val="center"/>
          </w:tcPr>
          <w:p w14:paraId="615D4B5F" w14:textId="77777777" w:rsidR="00AF5D97" w:rsidRPr="004D453A" w:rsidRDefault="00AF5D97" w:rsidP="00AF5D97">
            <w:pPr>
              <w:jc w:val="center"/>
              <w:rPr>
                <w:rFonts w:ascii="Arial" w:eastAsia="Times New Roman" w:hAnsi="Arial" w:cs="Arial"/>
                <w:i/>
                <w:iCs/>
                <w:color w:val="000000"/>
                <w:sz w:val="20"/>
                <w:szCs w:val="20"/>
              </w:rPr>
            </w:pPr>
          </w:p>
        </w:tc>
        <w:tc>
          <w:tcPr>
            <w:tcW w:w="950" w:type="dxa"/>
            <w:tcBorders>
              <w:top w:val="nil"/>
              <w:left w:val="nil"/>
              <w:bottom w:val="nil"/>
              <w:right w:val="nil"/>
            </w:tcBorders>
            <w:shd w:val="clear" w:color="000000" w:fill="FFFFFF"/>
            <w:noWrap/>
            <w:vAlign w:val="center"/>
          </w:tcPr>
          <w:p w14:paraId="532178A4" w14:textId="77777777" w:rsidR="00AF5D97" w:rsidRPr="004D453A" w:rsidRDefault="00AF5D97" w:rsidP="00AF5D97">
            <w:pPr>
              <w:jc w:val="center"/>
              <w:rPr>
                <w:rFonts w:ascii="Arial" w:eastAsia="Times New Roman" w:hAnsi="Arial" w:cs="Arial"/>
                <w:i/>
                <w:iCs/>
                <w:color w:val="000000"/>
                <w:sz w:val="20"/>
                <w:szCs w:val="20"/>
              </w:rPr>
            </w:pPr>
          </w:p>
        </w:tc>
        <w:tc>
          <w:tcPr>
            <w:tcW w:w="1845" w:type="dxa"/>
            <w:tcBorders>
              <w:top w:val="nil"/>
              <w:left w:val="nil"/>
              <w:bottom w:val="nil"/>
              <w:right w:val="nil"/>
            </w:tcBorders>
            <w:shd w:val="clear" w:color="000000" w:fill="FFFFFF"/>
            <w:noWrap/>
            <w:vAlign w:val="center"/>
          </w:tcPr>
          <w:p w14:paraId="461E1274" w14:textId="31A3A5C9"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0.93</w:t>
            </w:r>
          </w:p>
        </w:tc>
      </w:tr>
      <w:tr w:rsidR="00AF5D97" w:rsidRPr="004D453A" w14:paraId="4961790D"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0AC17BFB" w14:textId="77777777" w:rsidR="00AF5D97" w:rsidRPr="004D453A" w:rsidRDefault="00AF5D97" w:rsidP="00AF5D97">
            <w:pPr>
              <w:rPr>
                <w:rFonts w:ascii="Arial" w:eastAsia="Times New Roman" w:hAnsi="Arial" w:cs="Arial"/>
                <w:color w:val="000000"/>
                <w:sz w:val="20"/>
                <w:szCs w:val="20"/>
              </w:rPr>
            </w:pPr>
            <w:r w:rsidRPr="004D453A">
              <w:rPr>
                <w:rFonts w:ascii="Arial" w:eastAsia="Times New Roman" w:hAnsi="Arial" w:cs="Arial"/>
                <w:color w:val="000000"/>
                <w:sz w:val="20"/>
                <w:szCs w:val="20"/>
              </w:rPr>
              <w:t>No. of adenomas</w:t>
            </w:r>
          </w:p>
        </w:tc>
        <w:tc>
          <w:tcPr>
            <w:tcW w:w="907" w:type="dxa"/>
            <w:tcBorders>
              <w:top w:val="nil"/>
              <w:left w:val="nil"/>
              <w:bottom w:val="nil"/>
              <w:right w:val="nil"/>
            </w:tcBorders>
            <w:shd w:val="clear" w:color="000000" w:fill="FFFFFF"/>
            <w:noWrap/>
            <w:vAlign w:val="center"/>
            <w:hideMark/>
          </w:tcPr>
          <w:p w14:paraId="3BBDF76B"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907" w:type="dxa"/>
            <w:tcBorders>
              <w:top w:val="nil"/>
              <w:left w:val="nil"/>
              <w:bottom w:val="nil"/>
              <w:right w:val="nil"/>
            </w:tcBorders>
            <w:shd w:val="clear" w:color="000000" w:fill="FFFFFF"/>
            <w:noWrap/>
            <w:vAlign w:val="center"/>
            <w:hideMark/>
          </w:tcPr>
          <w:p w14:paraId="01C9964C"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718" w:type="dxa"/>
            <w:tcBorders>
              <w:top w:val="nil"/>
              <w:left w:val="nil"/>
              <w:bottom w:val="nil"/>
              <w:right w:val="nil"/>
            </w:tcBorders>
            <w:shd w:val="clear" w:color="000000" w:fill="FFFFFF"/>
            <w:noWrap/>
            <w:vAlign w:val="center"/>
            <w:hideMark/>
          </w:tcPr>
          <w:p w14:paraId="2D978D9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2A1FCB9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845" w:type="dxa"/>
            <w:tcBorders>
              <w:top w:val="nil"/>
              <w:left w:val="nil"/>
              <w:bottom w:val="nil"/>
              <w:right w:val="nil"/>
            </w:tcBorders>
            <w:shd w:val="clear" w:color="000000" w:fill="FFFFFF"/>
            <w:noWrap/>
            <w:vAlign w:val="center"/>
            <w:hideMark/>
          </w:tcPr>
          <w:p w14:paraId="20D29316"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r>
      <w:tr w:rsidR="00AF5D97" w:rsidRPr="004D453A" w14:paraId="18C1E1EC" w14:textId="77777777" w:rsidTr="00034351">
        <w:trPr>
          <w:trHeight w:val="20"/>
          <w:jc w:val="center"/>
        </w:trPr>
        <w:tc>
          <w:tcPr>
            <w:tcW w:w="2340" w:type="dxa"/>
            <w:tcBorders>
              <w:top w:val="nil"/>
              <w:left w:val="nil"/>
              <w:bottom w:val="nil"/>
              <w:right w:val="nil"/>
            </w:tcBorders>
            <w:shd w:val="clear" w:color="000000" w:fill="FFFFFF"/>
            <w:vAlign w:val="center"/>
            <w:hideMark/>
          </w:tcPr>
          <w:p w14:paraId="3B6DBB32" w14:textId="77777777" w:rsidR="00AF5D97" w:rsidRPr="004D453A" w:rsidRDefault="00AF5D97" w:rsidP="00AF5D97">
            <w:pPr>
              <w:ind w:firstLine="253"/>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1 adenoma</w:t>
            </w:r>
          </w:p>
        </w:tc>
        <w:tc>
          <w:tcPr>
            <w:tcW w:w="907" w:type="dxa"/>
            <w:tcBorders>
              <w:top w:val="nil"/>
              <w:left w:val="nil"/>
              <w:bottom w:val="nil"/>
              <w:right w:val="nil"/>
            </w:tcBorders>
            <w:shd w:val="clear" w:color="auto" w:fill="auto"/>
            <w:noWrap/>
            <w:vAlign w:val="center"/>
            <w:hideMark/>
          </w:tcPr>
          <w:p w14:paraId="7BB32DF9" w14:textId="77777777" w:rsidR="00AF5D97" w:rsidRPr="004D453A" w:rsidRDefault="00AF5D97" w:rsidP="00AF5D97">
            <w:pPr>
              <w:jc w:val="right"/>
              <w:rPr>
                <w:rFonts w:ascii="Arial" w:eastAsia="Times New Roman" w:hAnsi="Arial" w:cs="Arial"/>
                <w:i/>
                <w:iCs/>
                <w:color w:val="000000"/>
                <w:sz w:val="20"/>
                <w:szCs w:val="20"/>
              </w:rPr>
            </w:pPr>
          </w:p>
        </w:tc>
        <w:tc>
          <w:tcPr>
            <w:tcW w:w="1907" w:type="dxa"/>
            <w:tcBorders>
              <w:top w:val="nil"/>
              <w:left w:val="nil"/>
              <w:bottom w:val="nil"/>
              <w:right w:val="nil"/>
            </w:tcBorders>
            <w:shd w:val="clear" w:color="auto" w:fill="auto"/>
            <w:noWrap/>
            <w:vAlign w:val="center"/>
            <w:hideMark/>
          </w:tcPr>
          <w:p w14:paraId="23F7AE3B" w14:textId="77777777" w:rsidR="00AF5D97" w:rsidRPr="004D453A" w:rsidRDefault="00AF5D97" w:rsidP="00AF5D97">
            <w:pPr>
              <w:jc w:val="center"/>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center"/>
            <w:hideMark/>
          </w:tcPr>
          <w:p w14:paraId="6FE3E22D" w14:textId="77777777" w:rsidR="00AF5D97" w:rsidRPr="004D453A" w:rsidRDefault="00AF5D97" w:rsidP="00AF5D97">
            <w:pPr>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center"/>
            <w:hideMark/>
          </w:tcPr>
          <w:p w14:paraId="1468C2E6" w14:textId="77777777" w:rsidR="00AF5D97" w:rsidRPr="004D453A" w:rsidRDefault="00AF5D97" w:rsidP="00AF5D97">
            <w:pPr>
              <w:jc w:val="center"/>
              <w:rPr>
                <w:rFonts w:ascii="Times New Roman" w:eastAsia="Times New Roman" w:hAnsi="Times New Roman" w:cs="Times New Roman"/>
                <w:sz w:val="20"/>
                <w:szCs w:val="20"/>
              </w:rPr>
            </w:pPr>
          </w:p>
        </w:tc>
        <w:tc>
          <w:tcPr>
            <w:tcW w:w="1845" w:type="dxa"/>
            <w:tcBorders>
              <w:top w:val="nil"/>
              <w:left w:val="nil"/>
              <w:bottom w:val="nil"/>
              <w:right w:val="nil"/>
            </w:tcBorders>
            <w:shd w:val="clear" w:color="auto" w:fill="auto"/>
            <w:noWrap/>
            <w:vAlign w:val="center"/>
            <w:hideMark/>
          </w:tcPr>
          <w:p w14:paraId="1209B06C" w14:textId="77777777" w:rsidR="00AF5D97" w:rsidRPr="004D453A" w:rsidRDefault="00AF5D97" w:rsidP="00AF5D97">
            <w:pPr>
              <w:jc w:val="center"/>
              <w:rPr>
                <w:rFonts w:ascii="Times New Roman" w:eastAsia="Times New Roman" w:hAnsi="Times New Roman" w:cs="Times New Roman"/>
                <w:sz w:val="20"/>
                <w:szCs w:val="20"/>
              </w:rPr>
            </w:pPr>
          </w:p>
        </w:tc>
      </w:tr>
      <w:tr w:rsidR="00AF5D97" w:rsidRPr="004D453A" w14:paraId="384ABFBA" w14:textId="77777777" w:rsidTr="00034351">
        <w:trPr>
          <w:trHeight w:val="20"/>
          <w:jc w:val="center"/>
        </w:trPr>
        <w:tc>
          <w:tcPr>
            <w:tcW w:w="2340" w:type="dxa"/>
            <w:tcBorders>
              <w:top w:val="nil"/>
              <w:left w:val="nil"/>
              <w:bottom w:val="nil"/>
              <w:right w:val="nil"/>
            </w:tcBorders>
            <w:shd w:val="clear" w:color="000000" w:fill="FFFFFF"/>
            <w:vAlign w:val="center"/>
            <w:hideMark/>
          </w:tcPr>
          <w:p w14:paraId="6104E789"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907" w:type="dxa"/>
            <w:tcBorders>
              <w:top w:val="nil"/>
              <w:left w:val="nil"/>
              <w:bottom w:val="nil"/>
              <w:right w:val="nil"/>
            </w:tcBorders>
            <w:shd w:val="clear" w:color="000000" w:fill="FFFFFF"/>
            <w:noWrap/>
            <w:vAlign w:val="center"/>
            <w:hideMark/>
          </w:tcPr>
          <w:p w14:paraId="14335394"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91</w:t>
            </w:r>
          </w:p>
        </w:tc>
        <w:tc>
          <w:tcPr>
            <w:tcW w:w="1907" w:type="dxa"/>
            <w:tcBorders>
              <w:top w:val="nil"/>
              <w:left w:val="nil"/>
              <w:bottom w:val="nil"/>
              <w:right w:val="nil"/>
            </w:tcBorders>
            <w:shd w:val="clear" w:color="000000" w:fill="FFFFFF"/>
            <w:noWrap/>
            <w:vAlign w:val="center"/>
            <w:hideMark/>
          </w:tcPr>
          <w:p w14:paraId="101A2252" w14:textId="4C5E4729"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c>
          <w:tcPr>
            <w:tcW w:w="718" w:type="dxa"/>
            <w:tcBorders>
              <w:top w:val="nil"/>
              <w:left w:val="nil"/>
              <w:bottom w:val="nil"/>
              <w:right w:val="nil"/>
            </w:tcBorders>
            <w:shd w:val="clear" w:color="000000" w:fill="FFFFFF"/>
            <w:noWrap/>
            <w:vAlign w:val="center"/>
            <w:hideMark/>
          </w:tcPr>
          <w:p w14:paraId="55A35730"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7654BD80"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72</w:t>
            </w:r>
          </w:p>
        </w:tc>
        <w:tc>
          <w:tcPr>
            <w:tcW w:w="1845" w:type="dxa"/>
            <w:tcBorders>
              <w:top w:val="nil"/>
              <w:left w:val="nil"/>
              <w:bottom w:val="nil"/>
              <w:right w:val="nil"/>
            </w:tcBorders>
            <w:shd w:val="clear" w:color="000000" w:fill="FFFFFF"/>
            <w:noWrap/>
            <w:vAlign w:val="center"/>
            <w:hideMark/>
          </w:tcPr>
          <w:p w14:paraId="2BF6DB60" w14:textId="0FF2153D"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r>
      <w:tr w:rsidR="00AF5D97" w:rsidRPr="004D453A" w14:paraId="4DA45FB9"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26AA11D9"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907" w:type="dxa"/>
            <w:tcBorders>
              <w:top w:val="nil"/>
              <w:left w:val="nil"/>
              <w:bottom w:val="nil"/>
              <w:right w:val="nil"/>
            </w:tcBorders>
            <w:shd w:val="clear" w:color="000000" w:fill="FFFFFF"/>
            <w:noWrap/>
            <w:vAlign w:val="center"/>
            <w:hideMark/>
          </w:tcPr>
          <w:p w14:paraId="657B6C0D"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93</w:t>
            </w:r>
          </w:p>
        </w:tc>
        <w:tc>
          <w:tcPr>
            <w:tcW w:w="1907" w:type="dxa"/>
            <w:tcBorders>
              <w:top w:val="nil"/>
              <w:left w:val="nil"/>
              <w:bottom w:val="nil"/>
              <w:right w:val="nil"/>
            </w:tcBorders>
            <w:shd w:val="clear" w:color="000000" w:fill="FFFFFF"/>
            <w:noWrap/>
            <w:vAlign w:val="center"/>
            <w:hideMark/>
          </w:tcPr>
          <w:p w14:paraId="4AED0DBB" w14:textId="64AEC25C"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0.99 (0.71-1.39)</w:t>
            </w:r>
          </w:p>
        </w:tc>
        <w:tc>
          <w:tcPr>
            <w:tcW w:w="718" w:type="dxa"/>
            <w:tcBorders>
              <w:top w:val="nil"/>
              <w:left w:val="nil"/>
              <w:bottom w:val="nil"/>
              <w:right w:val="nil"/>
            </w:tcBorders>
            <w:shd w:val="clear" w:color="000000" w:fill="FFFFFF"/>
            <w:noWrap/>
            <w:vAlign w:val="center"/>
            <w:hideMark/>
          </w:tcPr>
          <w:p w14:paraId="0334A511"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15AD2065"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71</w:t>
            </w:r>
          </w:p>
        </w:tc>
        <w:tc>
          <w:tcPr>
            <w:tcW w:w="1845" w:type="dxa"/>
            <w:tcBorders>
              <w:top w:val="nil"/>
              <w:left w:val="nil"/>
              <w:bottom w:val="nil"/>
              <w:right w:val="nil"/>
            </w:tcBorders>
            <w:shd w:val="clear" w:color="000000" w:fill="FFFFFF"/>
            <w:noWrap/>
            <w:vAlign w:val="center"/>
            <w:hideMark/>
          </w:tcPr>
          <w:p w14:paraId="2DC08468" w14:textId="1F632701"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0.99 (0.69-1.44)</w:t>
            </w:r>
          </w:p>
        </w:tc>
      </w:tr>
      <w:tr w:rsidR="00AF5D97" w:rsidRPr="004D453A" w14:paraId="7A810A2F"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35F92329"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907" w:type="dxa"/>
            <w:tcBorders>
              <w:top w:val="nil"/>
              <w:left w:val="nil"/>
              <w:bottom w:val="nil"/>
              <w:right w:val="nil"/>
            </w:tcBorders>
            <w:shd w:val="clear" w:color="000000" w:fill="FFFFFF"/>
            <w:noWrap/>
            <w:vAlign w:val="center"/>
            <w:hideMark/>
          </w:tcPr>
          <w:p w14:paraId="31C6A566"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99</w:t>
            </w:r>
          </w:p>
        </w:tc>
        <w:tc>
          <w:tcPr>
            <w:tcW w:w="1907" w:type="dxa"/>
            <w:tcBorders>
              <w:top w:val="nil"/>
              <w:left w:val="nil"/>
              <w:bottom w:val="nil"/>
              <w:right w:val="nil"/>
            </w:tcBorders>
            <w:shd w:val="clear" w:color="000000" w:fill="FFFFFF"/>
            <w:noWrap/>
            <w:vAlign w:val="center"/>
            <w:hideMark/>
          </w:tcPr>
          <w:p w14:paraId="2CC41B2A" w14:textId="39DC1433"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1.03 (0.74-1.44)</w:t>
            </w:r>
          </w:p>
        </w:tc>
        <w:tc>
          <w:tcPr>
            <w:tcW w:w="718" w:type="dxa"/>
            <w:tcBorders>
              <w:top w:val="nil"/>
              <w:left w:val="nil"/>
              <w:bottom w:val="nil"/>
              <w:right w:val="nil"/>
            </w:tcBorders>
            <w:shd w:val="clear" w:color="000000" w:fill="FFFFFF"/>
            <w:noWrap/>
            <w:vAlign w:val="center"/>
            <w:hideMark/>
          </w:tcPr>
          <w:p w14:paraId="7A52DD51"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58015C11"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117</w:t>
            </w:r>
          </w:p>
        </w:tc>
        <w:tc>
          <w:tcPr>
            <w:tcW w:w="1845" w:type="dxa"/>
            <w:tcBorders>
              <w:top w:val="nil"/>
              <w:left w:val="nil"/>
              <w:bottom w:val="nil"/>
              <w:right w:val="nil"/>
            </w:tcBorders>
            <w:shd w:val="clear" w:color="000000" w:fill="FFFFFF"/>
            <w:noWrap/>
            <w:vAlign w:val="center"/>
            <w:hideMark/>
          </w:tcPr>
          <w:p w14:paraId="4735EAE4" w14:textId="4AFFC344"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1.52 (1.09-2.13)</w:t>
            </w:r>
          </w:p>
        </w:tc>
      </w:tr>
      <w:tr w:rsidR="00AF5D97" w:rsidRPr="004D453A" w14:paraId="005B80BB"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4370B9B7"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907" w:type="dxa"/>
            <w:tcBorders>
              <w:top w:val="nil"/>
              <w:left w:val="nil"/>
              <w:bottom w:val="nil"/>
              <w:right w:val="nil"/>
            </w:tcBorders>
            <w:shd w:val="clear" w:color="000000" w:fill="FFFFFF"/>
            <w:noWrap/>
            <w:vAlign w:val="center"/>
            <w:hideMark/>
          </w:tcPr>
          <w:p w14:paraId="56917912"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98</w:t>
            </w:r>
          </w:p>
        </w:tc>
        <w:tc>
          <w:tcPr>
            <w:tcW w:w="1907" w:type="dxa"/>
            <w:tcBorders>
              <w:top w:val="nil"/>
              <w:left w:val="nil"/>
              <w:bottom w:val="nil"/>
              <w:right w:val="nil"/>
            </w:tcBorders>
            <w:shd w:val="clear" w:color="000000" w:fill="FFFFFF"/>
            <w:noWrap/>
            <w:vAlign w:val="center"/>
            <w:hideMark/>
          </w:tcPr>
          <w:p w14:paraId="25DE8E58" w14:textId="50F2E045"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1.04 (0.74-1.45)</w:t>
            </w:r>
          </w:p>
        </w:tc>
        <w:tc>
          <w:tcPr>
            <w:tcW w:w="718" w:type="dxa"/>
            <w:tcBorders>
              <w:top w:val="nil"/>
              <w:left w:val="nil"/>
              <w:bottom w:val="nil"/>
              <w:right w:val="nil"/>
            </w:tcBorders>
            <w:shd w:val="clear" w:color="000000" w:fill="FFFFFF"/>
            <w:noWrap/>
            <w:vAlign w:val="center"/>
            <w:hideMark/>
          </w:tcPr>
          <w:p w14:paraId="66078189"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49014E1E"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130</w:t>
            </w:r>
          </w:p>
        </w:tc>
        <w:tc>
          <w:tcPr>
            <w:tcW w:w="1845" w:type="dxa"/>
            <w:tcBorders>
              <w:top w:val="nil"/>
              <w:left w:val="nil"/>
              <w:bottom w:val="nil"/>
              <w:right w:val="nil"/>
            </w:tcBorders>
            <w:shd w:val="clear" w:color="000000" w:fill="FFFFFF"/>
            <w:noWrap/>
            <w:vAlign w:val="center"/>
            <w:hideMark/>
          </w:tcPr>
          <w:p w14:paraId="521EBD93" w14:textId="1092855F"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1.68 (1.21-2.35)</w:t>
            </w:r>
          </w:p>
        </w:tc>
      </w:tr>
      <w:tr w:rsidR="00AF5D97" w:rsidRPr="004D453A" w14:paraId="69F6641A"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51662E9E"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907" w:type="dxa"/>
            <w:tcBorders>
              <w:top w:val="nil"/>
              <w:left w:val="nil"/>
              <w:bottom w:val="nil"/>
              <w:right w:val="nil"/>
            </w:tcBorders>
            <w:shd w:val="clear" w:color="000000" w:fill="FFFFFF"/>
            <w:noWrap/>
            <w:vAlign w:val="center"/>
            <w:hideMark/>
          </w:tcPr>
          <w:p w14:paraId="58175571"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122</w:t>
            </w:r>
          </w:p>
        </w:tc>
        <w:tc>
          <w:tcPr>
            <w:tcW w:w="1907" w:type="dxa"/>
            <w:tcBorders>
              <w:top w:val="nil"/>
              <w:left w:val="nil"/>
              <w:bottom w:val="nil"/>
              <w:right w:val="nil"/>
            </w:tcBorders>
            <w:shd w:val="clear" w:color="000000" w:fill="FFFFFF"/>
            <w:noWrap/>
            <w:vAlign w:val="center"/>
            <w:hideMark/>
          </w:tcPr>
          <w:p w14:paraId="1235A373" w14:textId="601339DE"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1.28 (0.93-1.78)</w:t>
            </w:r>
          </w:p>
        </w:tc>
        <w:tc>
          <w:tcPr>
            <w:tcW w:w="718" w:type="dxa"/>
            <w:tcBorders>
              <w:top w:val="nil"/>
              <w:left w:val="nil"/>
              <w:bottom w:val="nil"/>
              <w:right w:val="nil"/>
            </w:tcBorders>
            <w:shd w:val="clear" w:color="000000" w:fill="FFFFFF"/>
            <w:noWrap/>
            <w:vAlign w:val="center"/>
            <w:hideMark/>
          </w:tcPr>
          <w:p w14:paraId="2ECC2CA0"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69D8B24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113</w:t>
            </w:r>
          </w:p>
        </w:tc>
        <w:tc>
          <w:tcPr>
            <w:tcW w:w="1845" w:type="dxa"/>
            <w:tcBorders>
              <w:top w:val="nil"/>
              <w:left w:val="nil"/>
              <w:bottom w:val="nil"/>
              <w:right w:val="nil"/>
            </w:tcBorders>
            <w:shd w:val="clear" w:color="000000" w:fill="FFFFFF"/>
            <w:noWrap/>
            <w:vAlign w:val="center"/>
            <w:hideMark/>
          </w:tcPr>
          <w:p w14:paraId="393CBB9E" w14:textId="5C9FE7DE"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1.68 (1.20-2.37)</w:t>
            </w:r>
          </w:p>
        </w:tc>
      </w:tr>
      <w:tr w:rsidR="00AF5D97" w:rsidRPr="004D453A" w14:paraId="08533C06"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2C6B3321" w14:textId="76384D70" w:rsidR="00AF5D97" w:rsidRPr="004D453A" w:rsidRDefault="00AF5D97" w:rsidP="00AF5D97">
            <w:pPr>
              <w:ind w:firstLine="523"/>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907" w:type="dxa"/>
            <w:tcBorders>
              <w:top w:val="nil"/>
              <w:left w:val="nil"/>
              <w:bottom w:val="nil"/>
              <w:right w:val="nil"/>
            </w:tcBorders>
            <w:shd w:val="clear" w:color="000000" w:fill="FFFFFF"/>
            <w:noWrap/>
            <w:vAlign w:val="center"/>
            <w:hideMark/>
          </w:tcPr>
          <w:p w14:paraId="2795523B"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907" w:type="dxa"/>
            <w:tcBorders>
              <w:top w:val="nil"/>
              <w:left w:val="nil"/>
              <w:bottom w:val="nil"/>
              <w:right w:val="nil"/>
            </w:tcBorders>
            <w:shd w:val="clear" w:color="000000" w:fill="FFFFFF"/>
            <w:noWrap/>
            <w:vAlign w:val="center"/>
            <w:hideMark/>
          </w:tcPr>
          <w:p w14:paraId="268061B9"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0.12</w:t>
            </w:r>
          </w:p>
        </w:tc>
        <w:tc>
          <w:tcPr>
            <w:tcW w:w="718" w:type="dxa"/>
            <w:tcBorders>
              <w:top w:val="nil"/>
              <w:left w:val="nil"/>
              <w:bottom w:val="nil"/>
              <w:right w:val="nil"/>
            </w:tcBorders>
            <w:shd w:val="clear" w:color="000000" w:fill="FFFFFF"/>
            <w:noWrap/>
            <w:vAlign w:val="center"/>
            <w:hideMark/>
          </w:tcPr>
          <w:p w14:paraId="2631CA34"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950" w:type="dxa"/>
            <w:tcBorders>
              <w:top w:val="nil"/>
              <w:left w:val="nil"/>
              <w:bottom w:val="nil"/>
              <w:right w:val="nil"/>
            </w:tcBorders>
            <w:shd w:val="clear" w:color="000000" w:fill="FFFFFF"/>
            <w:noWrap/>
            <w:vAlign w:val="center"/>
            <w:hideMark/>
          </w:tcPr>
          <w:p w14:paraId="5F26F81E"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845" w:type="dxa"/>
            <w:tcBorders>
              <w:top w:val="nil"/>
              <w:left w:val="nil"/>
              <w:bottom w:val="nil"/>
              <w:right w:val="nil"/>
            </w:tcBorders>
            <w:shd w:val="clear" w:color="000000" w:fill="FFFFFF"/>
            <w:noWrap/>
            <w:vAlign w:val="center"/>
            <w:hideMark/>
          </w:tcPr>
          <w:p w14:paraId="75097ED2"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&lt;0.0001</w:t>
            </w:r>
          </w:p>
        </w:tc>
      </w:tr>
      <w:tr w:rsidR="00AF5D97" w:rsidRPr="004D453A" w14:paraId="272EA3CD" w14:textId="77777777" w:rsidTr="00961BD8">
        <w:trPr>
          <w:trHeight w:val="20"/>
          <w:jc w:val="center"/>
        </w:trPr>
        <w:tc>
          <w:tcPr>
            <w:tcW w:w="2340" w:type="dxa"/>
            <w:tcBorders>
              <w:top w:val="nil"/>
              <w:left w:val="nil"/>
              <w:bottom w:val="nil"/>
              <w:right w:val="nil"/>
            </w:tcBorders>
            <w:shd w:val="clear" w:color="000000" w:fill="FFFFFF"/>
            <w:noWrap/>
            <w:vAlign w:val="bottom"/>
          </w:tcPr>
          <w:p w14:paraId="5ACE39CE" w14:textId="32947611" w:rsidR="00AF5D97" w:rsidRPr="00615CA1" w:rsidRDefault="00AF5D97" w:rsidP="00AF5D97">
            <w:pPr>
              <w:ind w:firstLine="523"/>
              <w:rPr>
                <w:rFonts w:ascii="Arial" w:hAnsi="Arial" w:cs="Arial"/>
                <w:i/>
                <w:iCs/>
                <w:color w:val="000000"/>
                <w:sz w:val="20"/>
                <w:szCs w:val="20"/>
              </w:rPr>
            </w:pPr>
            <w:proofErr w:type="spellStart"/>
            <w:r w:rsidRPr="004D453A">
              <w:rPr>
                <w:rFonts w:ascii="Arial" w:hAnsi="Arial" w:cs="Arial"/>
                <w:i/>
                <w:iCs/>
                <w:color w:val="000000"/>
                <w:sz w:val="20"/>
                <w:szCs w:val="20"/>
              </w:rPr>
              <w:t>P</w:t>
            </w:r>
            <w:r w:rsidRPr="004D453A">
              <w:rPr>
                <w:rFonts w:ascii="Arial" w:hAnsi="Arial" w:cs="Arial"/>
                <w:i/>
                <w:iCs/>
                <w:color w:val="000000"/>
                <w:sz w:val="20"/>
                <w:szCs w:val="20"/>
                <w:vertAlign w:val="subscript"/>
              </w:rPr>
              <w:t>heterogeneity</w:t>
            </w:r>
            <w:proofErr w:type="spellEnd"/>
          </w:p>
        </w:tc>
        <w:tc>
          <w:tcPr>
            <w:tcW w:w="907" w:type="dxa"/>
            <w:tcBorders>
              <w:top w:val="nil"/>
              <w:left w:val="nil"/>
              <w:bottom w:val="nil"/>
              <w:right w:val="nil"/>
            </w:tcBorders>
            <w:shd w:val="clear" w:color="000000" w:fill="FFFFFF"/>
            <w:noWrap/>
            <w:vAlign w:val="center"/>
          </w:tcPr>
          <w:p w14:paraId="348C7D30" w14:textId="77777777" w:rsidR="00AF5D97" w:rsidRPr="004D453A" w:rsidRDefault="00AF5D97" w:rsidP="00AF5D97">
            <w:pPr>
              <w:jc w:val="center"/>
              <w:rPr>
                <w:rFonts w:ascii="Arial" w:eastAsia="Times New Roman" w:hAnsi="Arial" w:cs="Arial"/>
                <w:i/>
                <w:iCs/>
                <w:color w:val="000000"/>
                <w:sz w:val="20"/>
                <w:szCs w:val="20"/>
              </w:rPr>
            </w:pPr>
          </w:p>
        </w:tc>
        <w:tc>
          <w:tcPr>
            <w:tcW w:w="1907" w:type="dxa"/>
            <w:tcBorders>
              <w:top w:val="nil"/>
              <w:left w:val="nil"/>
              <w:bottom w:val="nil"/>
              <w:right w:val="nil"/>
            </w:tcBorders>
            <w:shd w:val="clear" w:color="000000" w:fill="FFFFFF"/>
            <w:noWrap/>
            <w:vAlign w:val="center"/>
          </w:tcPr>
          <w:p w14:paraId="0CAB5CC1" w14:textId="37096F28"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ref</w:t>
            </w:r>
          </w:p>
        </w:tc>
        <w:tc>
          <w:tcPr>
            <w:tcW w:w="718" w:type="dxa"/>
            <w:tcBorders>
              <w:top w:val="nil"/>
              <w:left w:val="nil"/>
              <w:bottom w:val="nil"/>
              <w:right w:val="nil"/>
            </w:tcBorders>
            <w:shd w:val="clear" w:color="000000" w:fill="FFFFFF"/>
            <w:noWrap/>
            <w:vAlign w:val="center"/>
          </w:tcPr>
          <w:p w14:paraId="25120213" w14:textId="77777777" w:rsidR="00AF5D97" w:rsidRPr="004D453A" w:rsidRDefault="00AF5D97" w:rsidP="00AF5D97">
            <w:pPr>
              <w:jc w:val="center"/>
              <w:rPr>
                <w:rFonts w:ascii="Arial" w:eastAsia="Times New Roman" w:hAnsi="Arial" w:cs="Arial"/>
                <w:i/>
                <w:iCs/>
                <w:color w:val="000000"/>
                <w:sz w:val="20"/>
                <w:szCs w:val="20"/>
              </w:rPr>
            </w:pPr>
          </w:p>
        </w:tc>
        <w:tc>
          <w:tcPr>
            <w:tcW w:w="950" w:type="dxa"/>
            <w:tcBorders>
              <w:top w:val="nil"/>
              <w:left w:val="nil"/>
              <w:bottom w:val="nil"/>
              <w:right w:val="nil"/>
            </w:tcBorders>
            <w:shd w:val="clear" w:color="000000" w:fill="FFFFFF"/>
            <w:noWrap/>
            <w:vAlign w:val="center"/>
          </w:tcPr>
          <w:p w14:paraId="3EE661F4" w14:textId="77777777" w:rsidR="00AF5D97" w:rsidRPr="004D453A" w:rsidRDefault="00AF5D97" w:rsidP="00AF5D97">
            <w:pPr>
              <w:jc w:val="center"/>
              <w:rPr>
                <w:rFonts w:ascii="Arial" w:eastAsia="Times New Roman" w:hAnsi="Arial" w:cs="Arial"/>
                <w:i/>
                <w:iCs/>
                <w:color w:val="000000"/>
                <w:sz w:val="20"/>
                <w:szCs w:val="20"/>
              </w:rPr>
            </w:pPr>
          </w:p>
        </w:tc>
        <w:tc>
          <w:tcPr>
            <w:tcW w:w="1845" w:type="dxa"/>
            <w:tcBorders>
              <w:top w:val="nil"/>
              <w:left w:val="nil"/>
              <w:bottom w:val="nil"/>
              <w:right w:val="nil"/>
            </w:tcBorders>
            <w:shd w:val="clear" w:color="000000" w:fill="FFFFFF"/>
            <w:noWrap/>
            <w:vAlign w:val="center"/>
          </w:tcPr>
          <w:p w14:paraId="27489952" w14:textId="6F537FDD"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ref</w:t>
            </w:r>
          </w:p>
        </w:tc>
      </w:tr>
      <w:tr w:rsidR="00AF5D97" w:rsidRPr="004D453A" w14:paraId="7C75F432" w14:textId="77777777" w:rsidTr="00034351">
        <w:trPr>
          <w:trHeight w:val="20"/>
          <w:jc w:val="center"/>
        </w:trPr>
        <w:tc>
          <w:tcPr>
            <w:tcW w:w="2340" w:type="dxa"/>
            <w:tcBorders>
              <w:top w:val="nil"/>
              <w:left w:val="nil"/>
              <w:bottom w:val="nil"/>
              <w:right w:val="nil"/>
            </w:tcBorders>
            <w:shd w:val="clear" w:color="000000" w:fill="FFFFFF"/>
            <w:vAlign w:val="center"/>
            <w:hideMark/>
          </w:tcPr>
          <w:p w14:paraId="7C325DDC" w14:textId="77777777" w:rsidR="00AF5D97" w:rsidRPr="004D453A" w:rsidRDefault="00AF5D97" w:rsidP="00AF5D97">
            <w:pPr>
              <w:ind w:firstLine="253"/>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2 adenomas</w:t>
            </w:r>
          </w:p>
        </w:tc>
        <w:tc>
          <w:tcPr>
            <w:tcW w:w="907" w:type="dxa"/>
            <w:tcBorders>
              <w:top w:val="nil"/>
              <w:left w:val="nil"/>
              <w:bottom w:val="nil"/>
              <w:right w:val="nil"/>
            </w:tcBorders>
            <w:shd w:val="clear" w:color="auto" w:fill="auto"/>
            <w:noWrap/>
            <w:vAlign w:val="center"/>
            <w:hideMark/>
          </w:tcPr>
          <w:p w14:paraId="3347BD27" w14:textId="77777777" w:rsidR="00AF5D97" w:rsidRPr="004D453A" w:rsidRDefault="00AF5D97" w:rsidP="00AF5D97">
            <w:pPr>
              <w:jc w:val="right"/>
              <w:rPr>
                <w:rFonts w:ascii="Arial" w:eastAsia="Times New Roman" w:hAnsi="Arial" w:cs="Arial"/>
                <w:i/>
                <w:iCs/>
                <w:color w:val="000000"/>
                <w:sz w:val="20"/>
                <w:szCs w:val="20"/>
              </w:rPr>
            </w:pPr>
          </w:p>
        </w:tc>
        <w:tc>
          <w:tcPr>
            <w:tcW w:w="1907" w:type="dxa"/>
            <w:tcBorders>
              <w:top w:val="nil"/>
              <w:left w:val="nil"/>
              <w:bottom w:val="nil"/>
              <w:right w:val="nil"/>
            </w:tcBorders>
            <w:shd w:val="clear" w:color="auto" w:fill="auto"/>
            <w:noWrap/>
            <w:vAlign w:val="center"/>
            <w:hideMark/>
          </w:tcPr>
          <w:p w14:paraId="6230614D" w14:textId="77777777" w:rsidR="00AF5D97" w:rsidRPr="004D453A" w:rsidRDefault="00AF5D97" w:rsidP="00AF5D97">
            <w:pPr>
              <w:jc w:val="center"/>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center"/>
            <w:hideMark/>
          </w:tcPr>
          <w:p w14:paraId="7511A288" w14:textId="77777777" w:rsidR="00AF5D97" w:rsidRPr="004D453A" w:rsidRDefault="00AF5D97" w:rsidP="00AF5D97">
            <w:pPr>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center"/>
            <w:hideMark/>
          </w:tcPr>
          <w:p w14:paraId="40953A43" w14:textId="77777777" w:rsidR="00AF5D97" w:rsidRPr="004D453A" w:rsidRDefault="00AF5D97" w:rsidP="00AF5D97">
            <w:pPr>
              <w:jc w:val="center"/>
              <w:rPr>
                <w:rFonts w:ascii="Times New Roman" w:eastAsia="Times New Roman" w:hAnsi="Times New Roman" w:cs="Times New Roman"/>
                <w:sz w:val="20"/>
                <w:szCs w:val="20"/>
              </w:rPr>
            </w:pPr>
          </w:p>
        </w:tc>
        <w:tc>
          <w:tcPr>
            <w:tcW w:w="1845" w:type="dxa"/>
            <w:tcBorders>
              <w:top w:val="nil"/>
              <w:left w:val="nil"/>
              <w:bottom w:val="nil"/>
              <w:right w:val="nil"/>
            </w:tcBorders>
            <w:shd w:val="clear" w:color="auto" w:fill="auto"/>
            <w:noWrap/>
            <w:vAlign w:val="center"/>
            <w:hideMark/>
          </w:tcPr>
          <w:p w14:paraId="37E8E3BF" w14:textId="77777777" w:rsidR="00AF5D97" w:rsidRPr="004D453A" w:rsidRDefault="00AF5D97" w:rsidP="00AF5D97">
            <w:pPr>
              <w:jc w:val="center"/>
              <w:rPr>
                <w:rFonts w:ascii="Times New Roman" w:eastAsia="Times New Roman" w:hAnsi="Times New Roman" w:cs="Times New Roman"/>
                <w:sz w:val="20"/>
                <w:szCs w:val="20"/>
              </w:rPr>
            </w:pPr>
          </w:p>
        </w:tc>
      </w:tr>
      <w:tr w:rsidR="00AF5D97" w:rsidRPr="004D453A" w14:paraId="2E63D7FF" w14:textId="77777777" w:rsidTr="00034351">
        <w:trPr>
          <w:trHeight w:val="20"/>
          <w:jc w:val="center"/>
        </w:trPr>
        <w:tc>
          <w:tcPr>
            <w:tcW w:w="2340" w:type="dxa"/>
            <w:tcBorders>
              <w:top w:val="nil"/>
              <w:left w:val="nil"/>
              <w:bottom w:val="nil"/>
              <w:right w:val="nil"/>
            </w:tcBorders>
            <w:shd w:val="clear" w:color="000000" w:fill="FFFFFF"/>
            <w:vAlign w:val="center"/>
            <w:hideMark/>
          </w:tcPr>
          <w:p w14:paraId="54260BE3"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907" w:type="dxa"/>
            <w:tcBorders>
              <w:top w:val="nil"/>
              <w:left w:val="nil"/>
              <w:bottom w:val="nil"/>
              <w:right w:val="nil"/>
            </w:tcBorders>
            <w:shd w:val="clear" w:color="000000" w:fill="FFFFFF"/>
            <w:noWrap/>
            <w:vAlign w:val="center"/>
            <w:hideMark/>
          </w:tcPr>
          <w:p w14:paraId="52A2E8B1"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35</w:t>
            </w:r>
          </w:p>
        </w:tc>
        <w:tc>
          <w:tcPr>
            <w:tcW w:w="1907" w:type="dxa"/>
            <w:tcBorders>
              <w:top w:val="nil"/>
              <w:left w:val="nil"/>
              <w:bottom w:val="nil"/>
              <w:right w:val="nil"/>
            </w:tcBorders>
            <w:shd w:val="clear" w:color="000000" w:fill="FFFFFF"/>
            <w:noWrap/>
            <w:vAlign w:val="center"/>
            <w:hideMark/>
          </w:tcPr>
          <w:p w14:paraId="4EC5B75A" w14:textId="765AC690"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c>
          <w:tcPr>
            <w:tcW w:w="718" w:type="dxa"/>
            <w:tcBorders>
              <w:top w:val="nil"/>
              <w:left w:val="nil"/>
              <w:bottom w:val="nil"/>
              <w:right w:val="nil"/>
            </w:tcBorders>
            <w:shd w:val="clear" w:color="000000" w:fill="FFFFFF"/>
            <w:noWrap/>
            <w:vAlign w:val="center"/>
            <w:hideMark/>
          </w:tcPr>
          <w:p w14:paraId="1217C480"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34DA1CF2"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29</w:t>
            </w:r>
          </w:p>
        </w:tc>
        <w:tc>
          <w:tcPr>
            <w:tcW w:w="1845" w:type="dxa"/>
            <w:tcBorders>
              <w:top w:val="nil"/>
              <w:left w:val="nil"/>
              <w:bottom w:val="nil"/>
              <w:right w:val="nil"/>
            </w:tcBorders>
            <w:shd w:val="clear" w:color="000000" w:fill="FFFFFF"/>
            <w:noWrap/>
            <w:vAlign w:val="center"/>
            <w:hideMark/>
          </w:tcPr>
          <w:p w14:paraId="2E953D77" w14:textId="617D6EDD"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r>
      <w:tr w:rsidR="00AF5D97" w:rsidRPr="004D453A" w14:paraId="17BEC7F6"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47621C57"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907" w:type="dxa"/>
            <w:tcBorders>
              <w:top w:val="nil"/>
              <w:left w:val="nil"/>
              <w:bottom w:val="nil"/>
              <w:right w:val="nil"/>
            </w:tcBorders>
            <w:shd w:val="clear" w:color="000000" w:fill="FFFFFF"/>
            <w:noWrap/>
            <w:vAlign w:val="center"/>
            <w:hideMark/>
          </w:tcPr>
          <w:p w14:paraId="19E6131E"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60</w:t>
            </w:r>
          </w:p>
        </w:tc>
        <w:tc>
          <w:tcPr>
            <w:tcW w:w="1907" w:type="dxa"/>
            <w:tcBorders>
              <w:top w:val="nil"/>
              <w:left w:val="nil"/>
              <w:bottom w:val="nil"/>
              <w:right w:val="nil"/>
            </w:tcBorders>
            <w:shd w:val="clear" w:color="000000" w:fill="FFFFFF"/>
            <w:noWrap/>
            <w:vAlign w:val="center"/>
            <w:hideMark/>
          </w:tcPr>
          <w:p w14:paraId="2A7833C0" w14:textId="7D8F10E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1.57 (0.98-2.55)</w:t>
            </w:r>
          </w:p>
        </w:tc>
        <w:tc>
          <w:tcPr>
            <w:tcW w:w="718" w:type="dxa"/>
            <w:tcBorders>
              <w:top w:val="nil"/>
              <w:left w:val="nil"/>
              <w:bottom w:val="nil"/>
              <w:right w:val="nil"/>
            </w:tcBorders>
            <w:shd w:val="clear" w:color="000000" w:fill="FFFFFF"/>
            <w:noWrap/>
            <w:vAlign w:val="center"/>
            <w:hideMark/>
          </w:tcPr>
          <w:p w14:paraId="60661C06"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484DF2C3"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45</w:t>
            </w:r>
          </w:p>
        </w:tc>
        <w:tc>
          <w:tcPr>
            <w:tcW w:w="1845" w:type="dxa"/>
            <w:tcBorders>
              <w:top w:val="nil"/>
              <w:left w:val="nil"/>
              <w:bottom w:val="nil"/>
              <w:right w:val="nil"/>
            </w:tcBorders>
            <w:shd w:val="clear" w:color="000000" w:fill="FFFFFF"/>
            <w:noWrap/>
            <w:vAlign w:val="center"/>
            <w:hideMark/>
          </w:tcPr>
          <w:p w14:paraId="716701D9" w14:textId="7488654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1.47 (0.88-2.47)</w:t>
            </w:r>
          </w:p>
        </w:tc>
      </w:tr>
      <w:tr w:rsidR="00AF5D97" w:rsidRPr="004D453A" w14:paraId="1BA20DEF"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0D09F206"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907" w:type="dxa"/>
            <w:tcBorders>
              <w:top w:val="nil"/>
              <w:left w:val="nil"/>
              <w:bottom w:val="nil"/>
              <w:right w:val="nil"/>
            </w:tcBorders>
            <w:shd w:val="clear" w:color="000000" w:fill="FFFFFF"/>
            <w:noWrap/>
            <w:vAlign w:val="center"/>
            <w:hideMark/>
          </w:tcPr>
          <w:p w14:paraId="519698DC"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44</w:t>
            </w:r>
          </w:p>
        </w:tc>
        <w:tc>
          <w:tcPr>
            <w:tcW w:w="1907" w:type="dxa"/>
            <w:tcBorders>
              <w:top w:val="nil"/>
              <w:left w:val="nil"/>
              <w:bottom w:val="nil"/>
              <w:right w:val="nil"/>
            </w:tcBorders>
            <w:shd w:val="clear" w:color="000000" w:fill="FFFFFF"/>
            <w:noWrap/>
            <w:vAlign w:val="center"/>
            <w:hideMark/>
          </w:tcPr>
          <w:p w14:paraId="1973111B" w14:textId="2FA23C45"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1.17 (0.71-1.93)</w:t>
            </w:r>
          </w:p>
        </w:tc>
        <w:tc>
          <w:tcPr>
            <w:tcW w:w="718" w:type="dxa"/>
            <w:tcBorders>
              <w:top w:val="nil"/>
              <w:left w:val="nil"/>
              <w:bottom w:val="nil"/>
              <w:right w:val="nil"/>
            </w:tcBorders>
            <w:shd w:val="clear" w:color="000000" w:fill="FFFFFF"/>
            <w:noWrap/>
            <w:vAlign w:val="center"/>
            <w:hideMark/>
          </w:tcPr>
          <w:p w14:paraId="6E6402D6"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0DCDB745"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47</w:t>
            </w:r>
          </w:p>
        </w:tc>
        <w:tc>
          <w:tcPr>
            <w:tcW w:w="1845" w:type="dxa"/>
            <w:tcBorders>
              <w:top w:val="nil"/>
              <w:left w:val="nil"/>
              <w:bottom w:val="nil"/>
              <w:right w:val="nil"/>
            </w:tcBorders>
            <w:shd w:val="clear" w:color="000000" w:fill="FFFFFF"/>
            <w:noWrap/>
            <w:vAlign w:val="center"/>
            <w:hideMark/>
          </w:tcPr>
          <w:p w14:paraId="27FC785B" w14:textId="7DEEF70F"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1.33 (0.81-2.23)</w:t>
            </w:r>
          </w:p>
        </w:tc>
      </w:tr>
      <w:tr w:rsidR="00AF5D97" w:rsidRPr="004D453A" w14:paraId="26FD0C6D"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32FD3941"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lastRenderedPageBreak/>
              <w:t>4</w:t>
            </w:r>
          </w:p>
        </w:tc>
        <w:tc>
          <w:tcPr>
            <w:tcW w:w="907" w:type="dxa"/>
            <w:tcBorders>
              <w:top w:val="nil"/>
              <w:left w:val="nil"/>
              <w:bottom w:val="nil"/>
              <w:right w:val="nil"/>
            </w:tcBorders>
            <w:shd w:val="clear" w:color="000000" w:fill="FFFFFF"/>
            <w:noWrap/>
            <w:vAlign w:val="center"/>
            <w:hideMark/>
          </w:tcPr>
          <w:p w14:paraId="378A4BA1"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56</w:t>
            </w:r>
          </w:p>
        </w:tc>
        <w:tc>
          <w:tcPr>
            <w:tcW w:w="1907" w:type="dxa"/>
            <w:tcBorders>
              <w:top w:val="nil"/>
              <w:left w:val="nil"/>
              <w:bottom w:val="nil"/>
              <w:right w:val="nil"/>
            </w:tcBorders>
            <w:shd w:val="clear" w:color="000000" w:fill="FFFFFF"/>
            <w:noWrap/>
            <w:vAlign w:val="center"/>
            <w:hideMark/>
          </w:tcPr>
          <w:p w14:paraId="4F84313C" w14:textId="5388EC0A"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1.55 (0.96-2.54)</w:t>
            </w:r>
          </w:p>
        </w:tc>
        <w:tc>
          <w:tcPr>
            <w:tcW w:w="718" w:type="dxa"/>
            <w:tcBorders>
              <w:top w:val="nil"/>
              <w:left w:val="nil"/>
              <w:bottom w:val="nil"/>
              <w:right w:val="nil"/>
            </w:tcBorders>
            <w:shd w:val="clear" w:color="000000" w:fill="FFFFFF"/>
            <w:noWrap/>
            <w:vAlign w:val="center"/>
            <w:hideMark/>
          </w:tcPr>
          <w:p w14:paraId="1D61AB2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46EFE7A3"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49</w:t>
            </w:r>
          </w:p>
        </w:tc>
        <w:tc>
          <w:tcPr>
            <w:tcW w:w="1845" w:type="dxa"/>
            <w:tcBorders>
              <w:top w:val="nil"/>
              <w:left w:val="nil"/>
              <w:bottom w:val="nil"/>
              <w:right w:val="nil"/>
            </w:tcBorders>
            <w:shd w:val="clear" w:color="000000" w:fill="FFFFFF"/>
            <w:noWrap/>
            <w:vAlign w:val="center"/>
            <w:hideMark/>
          </w:tcPr>
          <w:p w14:paraId="7C962457" w14:textId="46D4238F"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1.42 (0.86-2.36)</w:t>
            </w:r>
          </w:p>
        </w:tc>
      </w:tr>
      <w:tr w:rsidR="00AF5D97" w:rsidRPr="004D453A" w14:paraId="2C468A62"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54D27DF3"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907" w:type="dxa"/>
            <w:tcBorders>
              <w:top w:val="nil"/>
              <w:left w:val="nil"/>
              <w:bottom w:val="nil"/>
              <w:right w:val="nil"/>
            </w:tcBorders>
            <w:shd w:val="clear" w:color="000000" w:fill="FFFFFF"/>
            <w:noWrap/>
            <w:vAlign w:val="center"/>
            <w:hideMark/>
          </w:tcPr>
          <w:p w14:paraId="2A36B0A4"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53</w:t>
            </w:r>
          </w:p>
        </w:tc>
        <w:tc>
          <w:tcPr>
            <w:tcW w:w="1907" w:type="dxa"/>
            <w:tcBorders>
              <w:top w:val="nil"/>
              <w:left w:val="nil"/>
              <w:bottom w:val="nil"/>
              <w:right w:val="nil"/>
            </w:tcBorders>
            <w:shd w:val="clear" w:color="000000" w:fill="FFFFFF"/>
            <w:noWrap/>
            <w:vAlign w:val="center"/>
            <w:hideMark/>
          </w:tcPr>
          <w:p w14:paraId="0F23437F" w14:textId="5364FC51"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1.42 (0.88-2.33)</w:t>
            </w:r>
          </w:p>
        </w:tc>
        <w:tc>
          <w:tcPr>
            <w:tcW w:w="718" w:type="dxa"/>
            <w:tcBorders>
              <w:top w:val="nil"/>
              <w:left w:val="nil"/>
              <w:bottom w:val="nil"/>
              <w:right w:val="nil"/>
            </w:tcBorders>
            <w:shd w:val="clear" w:color="000000" w:fill="FFFFFF"/>
            <w:noWrap/>
            <w:vAlign w:val="center"/>
            <w:hideMark/>
          </w:tcPr>
          <w:p w14:paraId="56E1104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133AC6B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78</w:t>
            </w:r>
          </w:p>
        </w:tc>
        <w:tc>
          <w:tcPr>
            <w:tcW w:w="1845" w:type="dxa"/>
            <w:tcBorders>
              <w:top w:val="nil"/>
              <w:left w:val="nil"/>
              <w:bottom w:val="nil"/>
              <w:right w:val="nil"/>
            </w:tcBorders>
            <w:shd w:val="clear" w:color="000000" w:fill="FFFFFF"/>
            <w:noWrap/>
            <w:vAlign w:val="center"/>
            <w:hideMark/>
          </w:tcPr>
          <w:p w14:paraId="50E64088" w14:textId="64308152"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2.71 (1.70-4.40)</w:t>
            </w:r>
          </w:p>
        </w:tc>
      </w:tr>
      <w:tr w:rsidR="00AF5D97" w:rsidRPr="004D453A" w14:paraId="2C9F2D0B"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29379770" w14:textId="68FFB60D" w:rsidR="00AF5D97" w:rsidRPr="004D453A" w:rsidRDefault="00AF5D97" w:rsidP="00AF5D97">
            <w:pPr>
              <w:ind w:firstLine="523"/>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907" w:type="dxa"/>
            <w:tcBorders>
              <w:top w:val="nil"/>
              <w:left w:val="nil"/>
              <w:bottom w:val="nil"/>
              <w:right w:val="nil"/>
            </w:tcBorders>
            <w:shd w:val="clear" w:color="000000" w:fill="FFFFFF"/>
            <w:noWrap/>
            <w:vAlign w:val="center"/>
            <w:hideMark/>
          </w:tcPr>
          <w:p w14:paraId="54B96240"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907" w:type="dxa"/>
            <w:tcBorders>
              <w:top w:val="nil"/>
              <w:left w:val="nil"/>
              <w:bottom w:val="nil"/>
              <w:right w:val="nil"/>
            </w:tcBorders>
            <w:shd w:val="clear" w:color="000000" w:fill="FFFFFF"/>
            <w:noWrap/>
            <w:vAlign w:val="center"/>
            <w:hideMark/>
          </w:tcPr>
          <w:p w14:paraId="66FB24CA"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0.23</w:t>
            </w:r>
          </w:p>
        </w:tc>
        <w:tc>
          <w:tcPr>
            <w:tcW w:w="718" w:type="dxa"/>
            <w:tcBorders>
              <w:top w:val="nil"/>
              <w:left w:val="nil"/>
              <w:bottom w:val="nil"/>
              <w:right w:val="nil"/>
            </w:tcBorders>
            <w:shd w:val="clear" w:color="000000" w:fill="FFFFFF"/>
            <w:noWrap/>
            <w:vAlign w:val="center"/>
            <w:hideMark/>
          </w:tcPr>
          <w:p w14:paraId="4BBF36AB"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950" w:type="dxa"/>
            <w:tcBorders>
              <w:top w:val="nil"/>
              <w:left w:val="nil"/>
              <w:bottom w:val="nil"/>
              <w:right w:val="nil"/>
            </w:tcBorders>
            <w:shd w:val="clear" w:color="000000" w:fill="FFFFFF"/>
            <w:noWrap/>
            <w:vAlign w:val="center"/>
            <w:hideMark/>
          </w:tcPr>
          <w:p w14:paraId="01A11D6F"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845" w:type="dxa"/>
            <w:tcBorders>
              <w:top w:val="nil"/>
              <w:left w:val="nil"/>
              <w:bottom w:val="nil"/>
              <w:right w:val="nil"/>
            </w:tcBorders>
            <w:shd w:val="clear" w:color="000000" w:fill="FFFFFF"/>
            <w:noWrap/>
            <w:vAlign w:val="center"/>
            <w:hideMark/>
          </w:tcPr>
          <w:p w14:paraId="1CF2E09A"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&lt;0.0001</w:t>
            </w:r>
          </w:p>
        </w:tc>
      </w:tr>
      <w:tr w:rsidR="00AF5D97" w:rsidRPr="004D453A" w14:paraId="7431E095" w14:textId="77777777" w:rsidTr="00961BD8">
        <w:trPr>
          <w:trHeight w:val="20"/>
          <w:jc w:val="center"/>
        </w:trPr>
        <w:tc>
          <w:tcPr>
            <w:tcW w:w="2340" w:type="dxa"/>
            <w:tcBorders>
              <w:top w:val="nil"/>
              <w:left w:val="nil"/>
              <w:bottom w:val="nil"/>
              <w:right w:val="nil"/>
            </w:tcBorders>
            <w:shd w:val="clear" w:color="000000" w:fill="FFFFFF"/>
            <w:noWrap/>
            <w:vAlign w:val="bottom"/>
          </w:tcPr>
          <w:p w14:paraId="51ACCDE5" w14:textId="280B113C" w:rsidR="00AF5D97" w:rsidRPr="00615CA1" w:rsidRDefault="00AF5D97" w:rsidP="00AF5D97">
            <w:pPr>
              <w:ind w:firstLine="523"/>
              <w:rPr>
                <w:rFonts w:ascii="Arial" w:hAnsi="Arial" w:cs="Arial"/>
                <w:i/>
                <w:iCs/>
                <w:color w:val="000000"/>
                <w:sz w:val="20"/>
                <w:szCs w:val="20"/>
              </w:rPr>
            </w:pPr>
            <w:proofErr w:type="spellStart"/>
            <w:r w:rsidRPr="004D453A">
              <w:rPr>
                <w:rFonts w:ascii="Arial" w:hAnsi="Arial" w:cs="Arial"/>
                <w:i/>
                <w:iCs/>
                <w:color w:val="000000"/>
                <w:sz w:val="20"/>
                <w:szCs w:val="20"/>
              </w:rPr>
              <w:t>P</w:t>
            </w:r>
            <w:r w:rsidRPr="004D453A">
              <w:rPr>
                <w:rFonts w:ascii="Arial" w:hAnsi="Arial" w:cs="Arial"/>
                <w:i/>
                <w:iCs/>
                <w:color w:val="000000"/>
                <w:sz w:val="20"/>
                <w:szCs w:val="20"/>
                <w:vertAlign w:val="subscript"/>
              </w:rPr>
              <w:t>heterogeneity</w:t>
            </w:r>
            <w:proofErr w:type="spellEnd"/>
          </w:p>
        </w:tc>
        <w:tc>
          <w:tcPr>
            <w:tcW w:w="907" w:type="dxa"/>
            <w:tcBorders>
              <w:top w:val="nil"/>
              <w:left w:val="nil"/>
              <w:bottom w:val="nil"/>
              <w:right w:val="nil"/>
            </w:tcBorders>
            <w:shd w:val="clear" w:color="000000" w:fill="FFFFFF"/>
            <w:noWrap/>
            <w:vAlign w:val="center"/>
          </w:tcPr>
          <w:p w14:paraId="6D63A4DA" w14:textId="77777777" w:rsidR="00AF5D97" w:rsidRPr="004D453A" w:rsidRDefault="00AF5D97" w:rsidP="00AF5D97">
            <w:pPr>
              <w:jc w:val="center"/>
              <w:rPr>
                <w:rFonts w:ascii="Arial" w:eastAsia="Times New Roman" w:hAnsi="Arial" w:cs="Arial"/>
                <w:i/>
                <w:iCs/>
                <w:color w:val="000000"/>
                <w:sz w:val="20"/>
                <w:szCs w:val="20"/>
              </w:rPr>
            </w:pPr>
          </w:p>
        </w:tc>
        <w:tc>
          <w:tcPr>
            <w:tcW w:w="1907" w:type="dxa"/>
            <w:tcBorders>
              <w:top w:val="nil"/>
              <w:left w:val="nil"/>
              <w:bottom w:val="nil"/>
              <w:right w:val="nil"/>
            </w:tcBorders>
            <w:shd w:val="clear" w:color="000000" w:fill="FFFFFF"/>
            <w:noWrap/>
            <w:vAlign w:val="center"/>
          </w:tcPr>
          <w:p w14:paraId="22B83728" w14:textId="1CCBBF15"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0.82</w:t>
            </w:r>
          </w:p>
        </w:tc>
        <w:tc>
          <w:tcPr>
            <w:tcW w:w="718" w:type="dxa"/>
            <w:tcBorders>
              <w:top w:val="nil"/>
              <w:left w:val="nil"/>
              <w:bottom w:val="nil"/>
              <w:right w:val="nil"/>
            </w:tcBorders>
            <w:shd w:val="clear" w:color="000000" w:fill="FFFFFF"/>
            <w:noWrap/>
            <w:vAlign w:val="center"/>
          </w:tcPr>
          <w:p w14:paraId="1028CC08" w14:textId="77777777" w:rsidR="00AF5D97" w:rsidRPr="004D453A" w:rsidRDefault="00AF5D97" w:rsidP="00AF5D97">
            <w:pPr>
              <w:jc w:val="center"/>
              <w:rPr>
                <w:rFonts w:ascii="Arial" w:eastAsia="Times New Roman" w:hAnsi="Arial" w:cs="Arial"/>
                <w:i/>
                <w:iCs/>
                <w:color w:val="000000"/>
                <w:sz w:val="20"/>
                <w:szCs w:val="20"/>
              </w:rPr>
            </w:pPr>
          </w:p>
        </w:tc>
        <w:tc>
          <w:tcPr>
            <w:tcW w:w="950" w:type="dxa"/>
            <w:tcBorders>
              <w:top w:val="nil"/>
              <w:left w:val="nil"/>
              <w:bottom w:val="nil"/>
              <w:right w:val="nil"/>
            </w:tcBorders>
            <w:shd w:val="clear" w:color="000000" w:fill="FFFFFF"/>
            <w:noWrap/>
            <w:vAlign w:val="center"/>
          </w:tcPr>
          <w:p w14:paraId="082801DC" w14:textId="77777777" w:rsidR="00AF5D97" w:rsidRPr="004D453A" w:rsidRDefault="00AF5D97" w:rsidP="00AF5D97">
            <w:pPr>
              <w:jc w:val="center"/>
              <w:rPr>
                <w:rFonts w:ascii="Arial" w:eastAsia="Times New Roman" w:hAnsi="Arial" w:cs="Arial"/>
                <w:i/>
                <w:iCs/>
                <w:color w:val="000000"/>
                <w:sz w:val="20"/>
                <w:szCs w:val="20"/>
              </w:rPr>
            </w:pPr>
          </w:p>
        </w:tc>
        <w:tc>
          <w:tcPr>
            <w:tcW w:w="1845" w:type="dxa"/>
            <w:tcBorders>
              <w:top w:val="nil"/>
              <w:left w:val="nil"/>
              <w:bottom w:val="nil"/>
              <w:right w:val="nil"/>
            </w:tcBorders>
            <w:shd w:val="clear" w:color="000000" w:fill="FFFFFF"/>
            <w:noWrap/>
            <w:vAlign w:val="center"/>
          </w:tcPr>
          <w:p w14:paraId="01DC1C2F" w14:textId="5C24DFCB"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0.06</w:t>
            </w:r>
          </w:p>
        </w:tc>
      </w:tr>
      <w:tr w:rsidR="00AF5D97" w:rsidRPr="004D453A" w14:paraId="700209E4"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718FCDB5" w14:textId="77777777" w:rsidR="00AF5D97" w:rsidRPr="004D453A" w:rsidRDefault="00AF5D97" w:rsidP="00AF5D97">
            <w:pPr>
              <w:ind w:hanging="17"/>
              <w:rPr>
                <w:rFonts w:ascii="Arial" w:eastAsia="Times New Roman" w:hAnsi="Arial" w:cs="Arial"/>
                <w:color w:val="000000"/>
                <w:sz w:val="20"/>
                <w:szCs w:val="20"/>
              </w:rPr>
            </w:pPr>
            <w:r w:rsidRPr="004D453A">
              <w:rPr>
                <w:rFonts w:ascii="Arial" w:eastAsia="Times New Roman" w:hAnsi="Arial" w:cs="Arial"/>
                <w:color w:val="000000"/>
                <w:sz w:val="20"/>
                <w:szCs w:val="20"/>
              </w:rPr>
              <w:t>Adenoma size</w:t>
            </w:r>
          </w:p>
        </w:tc>
        <w:tc>
          <w:tcPr>
            <w:tcW w:w="907" w:type="dxa"/>
            <w:tcBorders>
              <w:top w:val="nil"/>
              <w:left w:val="nil"/>
              <w:bottom w:val="nil"/>
              <w:right w:val="nil"/>
            </w:tcBorders>
            <w:shd w:val="clear" w:color="000000" w:fill="FFFFFF"/>
            <w:noWrap/>
            <w:vAlign w:val="center"/>
            <w:hideMark/>
          </w:tcPr>
          <w:p w14:paraId="34D37E9F"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907" w:type="dxa"/>
            <w:tcBorders>
              <w:top w:val="nil"/>
              <w:left w:val="nil"/>
              <w:bottom w:val="nil"/>
              <w:right w:val="nil"/>
            </w:tcBorders>
            <w:shd w:val="clear" w:color="000000" w:fill="FFFFFF"/>
            <w:noWrap/>
            <w:vAlign w:val="center"/>
            <w:hideMark/>
          </w:tcPr>
          <w:p w14:paraId="30AD5E2C"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718" w:type="dxa"/>
            <w:tcBorders>
              <w:top w:val="nil"/>
              <w:left w:val="nil"/>
              <w:bottom w:val="nil"/>
              <w:right w:val="nil"/>
            </w:tcBorders>
            <w:shd w:val="clear" w:color="000000" w:fill="FFFFFF"/>
            <w:noWrap/>
            <w:vAlign w:val="center"/>
            <w:hideMark/>
          </w:tcPr>
          <w:p w14:paraId="0602919C"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2B98B60F"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845" w:type="dxa"/>
            <w:tcBorders>
              <w:top w:val="nil"/>
              <w:left w:val="nil"/>
              <w:bottom w:val="nil"/>
              <w:right w:val="nil"/>
            </w:tcBorders>
            <w:shd w:val="clear" w:color="000000" w:fill="FFFFFF"/>
            <w:noWrap/>
            <w:vAlign w:val="center"/>
            <w:hideMark/>
          </w:tcPr>
          <w:p w14:paraId="1C8D339F"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r>
      <w:tr w:rsidR="00AF5D97" w:rsidRPr="004D453A" w14:paraId="7CB967C2" w14:textId="77777777" w:rsidTr="00034351">
        <w:trPr>
          <w:trHeight w:val="20"/>
          <w:jc w:val="center"/>
        </w:trPr>
        <w:tc>
          <w:tcPr>
            <w:tcW w:w="2340" w:type="dxa"/>
            <w:tcBorders>
              <w:top w:val="nil"/>
              <w:left w:val="nil"/>
              <w:bottom w:val="nil"/>
              <w:right w:val="nil"/>
            </w:tcBorders>
            <w:shd w:val="clear" w:color="000000" w:fill="FFFFFF"/>
            <w:vAlign w:val="center"/>
            <w:hideMark/>
          </w:tcPr>
          <w:p w14:paraId="19425356" w14:textId="77777777" w:rsidR="00AF5D97" w:rsidRPr="004D453A" w:rsidRDefault="00AF5D97" w:rsidP="00AF5D97">
            <w:pPr>
              <w:ind w:firstLine="253"/>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&lt; 1 cm</w:t>
            </w:r>
          </w:p>
        </w:tc>
        <w:tc>
          <w:tcPr>
            <w:tcW w:w="907" w:type="dxa"/>
            <w:tcBorders>
              <w:top w:val="nil"/>
              <w:left w:val="nil"/>
              <w:bottom w:val="nil"/>
              <w:right w:val="nil"/>
            </w:tcBorders>
            <w:shd w:val="clear" w:color="000000" w:fill="FFFFFF"/>
            <w:noWrap/>
            <w:vAlign w:val="center"/>
            <w:hideMark/>
          </w:tcPr>
          <w:p w14:paraId="2083C61D"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907" w:type="dxa"/>
            <w:tcBorders>
              <w:top w:val="nil"/>
              <w:left w:val="nil"/>
              <w:bottom w:val="nil"/>
              <w:right w:val="nil"/>
            </w:tcBorders>
            <w:shd w:val="clear" w:color="000000" w:fill="FFFFFF"/>
            <w:noWrap/>
            <w:vAlign w:val="center"/>
            <w:hideMark/>
          </w:tcPr>
          <w:p w14:paraId="7A53FF07"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718" w:type="dxa"/>
            <w:tcBorders>
              <w:top w:val="nil"/>
              <w:left w:val="nil"/>
              <w:bottom w:val="nil"/>
              <w:right w:val="nil"/>
            </w:tcBorders>
            <w:shd w:val="clear" w:color="000000" w:fill="FFFFFF"/>
            <w:noWrap/>
            <w:vAlign w:val="center"/>
            <w:hideMark/>
          </w:tcPr>
          <w:p w14:paraId="036BAE1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5502C6F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845" w:type="dxa"/>
            <w:tcBorders>
              <w:top w:val="nil"/>
              <w:left w:val="nil"/>
              <w:bottom w:val="nil"/>
              <w:right w:val="nil"/>
            </w:tcBorders>
            <w:shd w:val="clear" w:color="000000" w:fill="FFFFFF"/>
            <w:noWrap/>
            <w:vAlign w:val="center"/>
            <w:hideMark/>
          </w:tcPr>
          <w:p w14:paraId="6698531D"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r>
      <w:tr w:rsidR="00AF5D97" w:rsidRPr="004D453A" w14:paraId="3AE830B3" w14:textId="77777777" w:rsidTr="00034351">
        <w:trPr>
          <w:trHeight w:val="20"/>
          <w:jc w:val="center"/>
        </w:trPr>
        <w:tc>
          <w:tcPr>
            <w:tcW w:w="2340" w:type="dxa"/>
            <w:tcBorders>
              <w:top w:val="nil"/>
              <w:left w:val="nil"/>
              <w:bottom w:val="nil"/>
              <w:right w:val="nil"/>
            </w:tcBorders>
            <w:shd w:val="clear" w:color="000000" w:fill="FFFFFF"/>
            <w:vAlign w:val="center"/>
            <w:hideMark/>
          </w:tcPr>
          <w:p w14:paraId="6FCE70B7"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907" w:type="dxa"/>
            <w:tcBorders>
              <w:top w:val="nil"/>
              <w:left w:val="nil"/>
              <w:bottom w:val="nil"/>
              <w:right w:val="nil"/>
            </w:tcBorders>
            <w:shd w:val="clear" w:color="000000" w:fill="FFFFFF"/>
            <w:noWrap/>
            <w:vAlign w:val="center"/>
            <w:hideMark/>
          </w:tcPr>
          <w:p w14:paraId="5DC7046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73</w:t>
            </w:r>
          </w:p>
        </w:tc>
        <w:tc>
          <w:tcPr>
            <w:tcW w:w="1907" w:type="dxa"/>
            <w:tcBorders>
              <w:top w:val="nil"/>
              <w:left w:val="nil"/>
              <w:bottom w:val="nil"/>
              <w:right w:val="nil"/>
            </w:tcBorders>
            <w:shd w:val="clear" w:color="000000" w:fill="FFFFFF"/>
            <w:noWrap/>
            <w:vAlign w:val="center"/>
            <w:hideMark/>
          </w:tcPr>
          <w:p w14:paraId="3700E139" w14:textId="5ADD2590"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c>
          <w:tcPr>
            <w:tcW w:w="718" w:type="dxa"/>
            <w:tcBorders>
              <w:top w:val="nil"/>
              <w:left w:val="nil"/>
              <w:bottom w:val="nil"/>
              <w:right w:val="nil"/>
            </w:tcBorders>
            <w:shd w:val="clear" w:color="000000" w:fill="FFFFFF"/>
            <w:noWrap/>
            <w:vAlign w:val="center"/>
            <w:hideMark/>
          </w:tcPr>
          <w:p w14:paraId="37CD2093"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53676B36"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65</w:t>
            </w:r>
          </w:p>
        </w:tc>
        <w:tc>
          <w:tcPr>
            <w:tcW w:w="1845" w:type="dxa"/>
            <w:tcBorders>
              <w:top w:val="nil"/>
              <w:left w:val="nil"/>
              <w:bottom w:val="nil"/>
              <w:right w:val="nil"/>
            </w:tcBorders>
            <w:shd w:val="clear" w:color="000000" w:fill="FFFFFF"/>
            <w:noWrap/>
            <w:vAlign w:val="center"/>
            <w:hideMark/>
          </w:tcPr>
          <w:p w14:paraId="4188DF38" w14:textId="75F6C585"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r>
      <w:tr w:rsidR="00AF5D97" w:rsidRPr="004D453A" w14:paraId="7EC3438B"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78A11632"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907" w:type="dxa"/>
            <w:tcBorders>
              <w:top w:val="nil"/>
              <w:left w:val="nil"/>
              <w:bottom w:val="nil"/>
              <w:right w:val="nil"/>
            </w:tcBorders>
            <w:shd w:val="clear" w:color="000000" w:fill="FFFFFF"/>
            <w:noWrap/>
            <w:vAlign w:val="center"/>
            <w:hideMark/>
          </w:tcPr>
          <w:p w14:paraId="56DD6DD4"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w:t>
            </w:r>
          </w:p>
        </w:tc>
        <w:tc>
          <w:tcPr>
            <w:tcW w:w="1907" w:type="dxa"/>
            <w:tcBorders>
              <w:top w:val="nil"/>
              <w:left w:val="nil"/>
              <w:bottom w:val="nil"/>
              <w:right w:val="nil"/>
            </w:tcBorders>
            <w:shd w:val="clear" w:color="000000" w:fill="FFFFFF"/>
            <w:noWrap/>
            <w:vAlign w:val="center"/>
            <w:hideMark/>
          </w:tcPr>
          <w:p w14:paraId="07CB4CFD" w14:textId="33DE1516"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1.27 (0.90-1.82)</w:t>
            </w:r>
          </w:p>
        </w:tc>
        <w:tc>
          <w:tcPr>
            <w:tcW w:w="718" w:type="dxa"/>
            <w:tcBorders>
              <w:top w:val="nil"/>
              <w:left w:val="nil"/>
              <w:bottom w:val="nil"/>
              <w:right w:val="nil"/>
            </w:tcBorders>
            <w:shd w:val="clear" w:color="000000" w:fill="FFFFFF"/>
            <w:noWrap/>
            <w:vAlign w:val="center"/>
            <w:hideMark/>
          </w:tcPr>
          <w:p w14:paraId="1D5539C3"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6995BBFD"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74</w:t>
            </w:r>
          </w:p>
        </w:tc>
        <w:tc>
          <w:tcPr>
            <w:tcW w:w="1845" w:type="dxa"/>
            <w:tcBorders>
              <w:top w:val="nil"/>
              <w:left w:val="nil"/>
              <w:bottom w:val="nil"/>
              <w:right w:val="nil"/>
            </w:tcBorders>
            <w:shd w:val="clear" w:color="000000" w:fill="FFFFFF"/>
            <w:noWrap/>
            <w:vAlign w:val="center"/>
            <w:hideMark/>
          </w:tcPr>
          <w:p w14:paraId="3059C40F" w14:textId="69DBAEDA"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1.09 (0.75-1.59)</w:t>
            </w:r>
          </w:p>
        </w:tc>
      </w:tr>
      <w:tr w:rsidR="00AF5D97" w:rsidRPr="004D453A" w14:paraId="65D98A79"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2403325E"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907" w:type="dxa"/>
            <w:tcBorders>
              <w:top w:val="nil"/>
              <w:left w:val="nil"/>
              <w:bottom w:val="nil"/>
              <w:right w:val="nil"/>
            </w:tcBorders>
            <w:shd w:val="clear" w:color="000000" w:fill="FFFFFF"/>
            <w:noWrap/>
            <w:vAlign w:val="center"/>
            <w:hideMark/>
          </w:tcPr>
          <w:p w14:paraId="29B01831"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82</w:t>
            </w:r>
          </w:p>
        </w:tc>
        <w:tc>
          <w:tcPr>
            <w:tcW w:w="1907" w:type="dxa"/>
            <w:tcBorders>
              <w:top w:val="nil"/>
              <w:left w:val="nil"/>
              <w:bottom w:val="nil"/>
              <w:right w:val="nil"/>
            </w:tcBorders>
            <w:shd w:val="clear" w:color="000000" w:fill="FFFFFF"/>
            <w:noWrap/>
            <w:vAlign w:val="center"/>
            <w:hideMark/>
          </w:tcPr>
          <w:p w14:paraId="639CD3AF" w14:textId="2BCFD470"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1.08 (0.75-1.56)</w:t>
            </w:r>
          </w:p>
        </w:tc>
        <w:tc>
          <w:tcPr>
            <w:tcW w:w="718" w:type="dxa"/>
            <w:tcBorders>
              <w:top w:val="nil"/>
              <w:left w:val="nil"/>
              <w:bottom w:val="nil"/>
              <w:right w:val="nil"/>
            </w:tcBorders>
            <w:shd w:val="clear" w:color="000000" w:fill="FFFFFF"/>
            <w:noWrap/>
            <w:vAlign w:val="center"/>
            <w:hideMark/>
          </w:tcPr>
          <w:p w14:paraId="1271D025"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334AE0AD"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94</w:t>
            </w:r>
          </w:p>
        </w:tc>
        <w:tc>
          <w:tcPr>
            <w:tcW w:w="1845" w:type="dxa"/>
            <w:tcBorders>
              <w:top w:val="nil"/>
              <w:left w:val="nil"/>
              <w:bottom w:val="nil"/>
              <w:right w:val="nil"/>
            </w:tcBorders>
            <w:shd w:val="clear" w:color="000000" w:fill="FFFFFF"/>
            <w:noWrap/>
            <w:vAlign w:val="center"/>
            <w:hideMark/>
          </w:tcPr>
          <w:p w14:paraId="5A9A2064" w14:textId="5F158E19"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1.27 (0.89-1.82)</w:t>
            </w:r>
          </w:p>
        </w:tc>
      </w:tr>
      <w:tr w:rsidR="00AF5D97" w:rsidRPr="004D453A" w14:paraId="3E563218"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65A21E3E"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907" w:type="dxa"/>
            <w:tcBorders>
              <w:top w:val="nil"/>
              <w:left w:val="nil"/>
              <w:bottom w:val="nil"/>
              <w:right w:val="nil"/>
            </w:tcBorders>
            <w:shd w:val="clear" w:color="000000" w:fill="FFFFFF"/>
            <w:noWrap/>
            <w:vAlign w:val="center"/>
            <w:hideMark/>
          </w:tcPr>
          <w:p w14:paraId="176F2C02"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94</w:t>
            </w:r>
          </w:p>
        </w:tc>
        <w:tc>
          <w:tcPr>
            <w:tcW w:w="1907" w:type="dxa"/>
            <w:tcBorders>
              <w:top w:val="nil"/>
              <w:left w:val="nil"/>
              <w:bottom w:val="nil"/>
              <w:right w:val="nil"/>
            </w:tcBorders>
            <w:shd w:val="clear" w:color="000000" w:fill="FFFFFF"/>
            <w:noWrap/>
            <w:vAlign w:val="center"/>
            <w:hideMark/>
          </w:tcPr>
          <w:p w14:paraId="1EF80964" w14:textId="58F944E0"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1.28 (0.89-1.84)</w:t>
            </w:r>
          </w:p>
        </w:tc>
        <w:tc>
          <w:tcPr>
            <w:tcW w:w="718" w:type="dxa"/>
            <w:tcBorders>
              <w:top w:val="nil"/>
              <w:left w:val="nil"/>
              <w:bottom w:val="nil"/>
              <w:right w:val="nil"/>
            </w:tcBorders>
            <w:shd w:val="clear" w:color="000000" w:fill="FFFFFF"/>
            <w:noWrap/>
            <w:vAlign w:val="center"/>
            <w:hideMark/>
          </w:tcPr>
          <w:p w14:paraId="2C8D11CD"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3AF0C276"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112</w:t>
            </w:r>
          </w:p>
        </w:tc>
        <w:tc>
          <w:tcPr>
            <w:tcW w:w="1845" w:type="dxa"/>
            <w:tcBorders>
              <w:top w:val="nil"/>
              <w:left w:val="nil"/>
              <w:bottom w:val="nil"/>
              <w:right w:val="nil"/>
            </w:tcBorders>
            <w:shd w:val="clear" w:color="000000" w:fill="FFFFFF"/>
            <w:noWrap/>
            <w:vAlign w:val="center"/>
            <w:hideMark/>
          </w:tcPr>
          <w:p w14:paraId="4160EC4E" w14:textId="6DD41F83"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1.55 (1.09-2.21)</w:t>
            </w:r>
          </w:p>
        </w:tc>
      </w:tr>
      <w:tr w:rsidR="00AF5D97" w:rsidRPr="004D453A" w14:paraId="3C093499"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0BCCA0AF"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907" w:type="dxa"/>
            <w:tcBorders>
              <w:top w:val="nil"/>
              <w:left w:val="nil"/>
              <w:bottom w:val="nil"/>
              <w:right w:val="nil"/>
            </w:tcBorders>
            <w:shd w:val="clear" w:color="000000" w:fill="FFFFFF"/>
            <w:noWrap/>
            <w:vAlign w:val="center"/>
            <w:hideMark/>
          </w:tcPr>
          <w:p w14:paraId="443D0482"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102</w:t>
            </w:r>
          </w:p>
        </w:tc>
        <w:tc>
          <w:tcPr>
            <w:tcW w:w="1907" w:type="dxa"/>
            <w:tcBorders>
              <w:top w:val="nil"/>
              <w:left w:val="nil"/>
              <w:bottom w:val="nil"/>
              <w:right w:val="nil"/>
            </w:tcBorders>
            <w:shd w:val="clear" w:color="000000" w:fill="FFFFFF"/>
            <w:noWrap/>
            <w:vAlign w:val="center"/>
            <w:hideMark/>
          </w:tcPr>
          <w:p w14:paraId="73E2CC23" w14:textId="7DC9D222"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1.37 (0.96-1.97)</w:t>
            </w:r>
          </w:p>
        </w:tc>
        <w:tc>
          <w:tcPr>
            <w:tcW w:w="718" w:type="dxa"/>
            <w:tcBorders>
              <w:top w:val="nil"/>
              <w:left w:val="nil"/>
              <w:bottom w:val="nil"/>
              <w:right w:val="nil"/>
            </w:tcBorders>
            <w:shd w:val="clear" w:color="000000" w:fill="FFFFFF"/>
            <w:noWrap/>
            <w:vAlign w:val="center"/>
            <w:hideMark/>
          </w:tcPr>
          <w:p w14:paraId="5EBE3D8B"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434BEDD0"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106</w:t>
            </w:r>
          </w:p>
        </w:tc>
        <w:tc>
          <w:tcPr>
            <w:tcW w:w="1845" w:type="dxa"/>
            <w:tcBorders>
              <w:top w:val="nil"/>
              <w:left w:val="nil"/>
              <w:bottom w:val="nil"/>
              <w:right w:val="nil"/>
            </w:tcBorders>
            <w:shd w:val="clear" w:color="000000" w:fill="FFFFFF"/>
            <w:noWrap/>
            <w:vAlign w:val="center"/>
            <w:hideMark/>
          </w:tcPr>
          <w:p w14:paraId="52EF291E" w14:textId="428F51C5"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1.72 (1.21-2.46)</w:t>
            </w:r>
          </w:p>
        </w:tc>
      </w:tr>
      <w:tr w:rsidR="00AF5D97" w:rsidRPr="004D453A" w14:paraId="055FD434"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48339D1C" w14:textId="34F7EE02" w:rsidR="00AF5D97" w:rsidRPr="004D453A" w:rsidRDefault="00AF5D97" w:rsidP="00AF5D97">
            <w:pPr>
              <w:ind w:firstLine="523"/>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907" w:type="dxa"/>
            <w:tcBorders>
              <w:top w:val="nil"/>
              <w:left w:val="nil"/>
              <w:bottom w:val="nil"/>
              <w:right w:val="nil"/>
            </w:tcBorders>
            <w:shd w:val="clear" w:color="000000" w:fill="FFFFFF"/>
            <w:noWrap/>
            <w:vAlign w:val="center"/>
            <w:hideMark/>
          </w:tcPr>
          <w:p w14:paraId="7F1F189B"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907" w:type="dxa"/>
            <w:tcBorders>
              <w:top w:val="nil"/>
              <w:left w:val="nil"/>
              <w:bottom w:val="nil"/>
              <w:right w:val="nil"/>
            </w:tcBorders>
            <w:shd w:val="clear" w:color="000000" w:fill="FFFFFF"/>
            <w:noWrap/>
            <w:vAlign w:val="center"/>
            <w:hideMark/>
          </w:tcPr>
          <w:p w14:paraId="66FFDF8D"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0.09</w:t>
            </w:r>
          </w:p>
        </w:tc>
        <w:tc>
          <w:tcPr>
            <w:tcW w:w="718" w:type="dxa"/>
            <w:tcBorders>
              <w:top w:val="nil"/>
              <w:left w:val="nil"/>
              <w:bottom w:val="nil"/>
              <w:right w:val="nil"/>
            </w:tcBorders>
            <w:shd w:val="clear" w:color="000000" w:fill="FFFFFF"/>
            <w:noWrap/>
            <w:vAlign w:val="center"/>
            <w:hideMark/>
          </w:tcPr>
          <w:p w14:paraId="01301E23"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950" w:type="dxa"/>
            <w:tcBorders>
              <w:top w:val="nil"/>
              <w:left w:val="nil"/>
              <w:bottom w:val="nil"/>
              <w:right w:val="nil"/>
            </w:tcBorders>
            <w:shd w:val="clear" w:color="000000" w:fill="FFFFFF"/>
            <w:noWrap/>
            <w:vAlign w:val="center"/>
            <w:hideMark/>
          </w:tcPr>
          <w:p w14:paraId="2E00C622"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845" w:type="dxa"/>
            <w:tcBorders>
              <w:top w:val="nil"/>
              <w:left w:val="nil"/>
              <w:bottom w:val="nil"/>
              <w:right w:val="nil"/>
            </w:tcBorders>
            <w:shd w:val="clear" w:color="000000" w:fill="FFFFFF"/>
            <w:noWrap/>
            <w:vAlign w:val="center"/>
            <w:hideMark/>
          </w:tcPr>
          <w:p w14:paraId="6EBDE0A4"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0.0003</w:t>
            </w:r>
          </w:p>
        </w:tc>
      </w:tr>
      <w:tr w:rsidR="00AF5D97" w:rsidRPr="004D453A" w14:paraId="31AD3E87" w14:textId="77777777" w:rsidTr="00961BD8">
        <w:trPr>
          <w:trHeight w:val="20"/>
          <w:jc w:val="center"/>
        </w:trPr>
        <w:tc>
          <w:tcPr>
            <w:tcW w:w="2340" w:type="dxa"/>
            <w:tcBorders>
              <w:top w:val="nil"/>
              <w:left w:val="nil"/>
              <w:bottom w:val="nil"/>
              <w:right w:val="nil"/>
            </w:tcBorders>
            <w:shd w:val="clear" w:color="000000" w:fill="FFFFFF"/>
            <w:noWrap/>
            <w:vAlign w:val="bottom"/>
          </w:tcPr>
          <w:p w14:paraId="09DF1572" w14:textId="37562C59" w:rsidR="00AF5D97" w:rsidRPr="00615CA1" w:rsidRDefault="00AF5D97" w:rsidP="00AF5D97">
            <w:pPr>
              <w:ind w:firstLine="523"/>
              <w:rPr>
                <w:rFonts w:ascii="Arial" w:hAnsi="Arial" w:cs="Arial"/>
                <w:i/>
                <w:iCs/>
                <w:color w:val="000000"/>
                <w:sz w:val="20"/>
                <w:szCs w:val="20"/>
              </w:rPr>
            </w:pPr>
            <w:proofErr w:type="spellStart"/>
            <w:r w:rsidRPr="004D453A">
              <w:rPr>
                <w:rFonts w:ascii="Arial" w:hAnsi="Arial" w:cs="Arial"/>
                <w:i/>
                <w:iCs/>
                <w:color w:val="000000"/>
                <w:sz w:val="20"/>
                <w:szCs w:val="20"/>
              </w:rPr>
              <w:t>P</w:t>
            </w:r>
            <w:r w:rsidRPr="004D453A">
              <w:rPr>
                <w:rFonts w:ascii="Arial" w:hAnsi="Arial" w:cs="Arial"/>
                <w:i/>
                <w:iCs/>
                <w:color w:val="000000"/>
                <w:sz w:val="20"/>
                <w:szCs w:val="20"/>
                <w:vertAlign w:val="subscript"/>
              </w:rPr>
              <w:t>heterogeneity</w:t>
            </w:r>
            <w:proofErr w:type="spellEnd"/>
          </w:p>
        </w:tc>
        <w:tc>
          <w:tcPr>
            <w:tcW w:w="907" w:type="dxa"/>
            <w:tcBorders>
              <w:top w:val="nil"/>
              <w:left w:val="nil"/>
              <w:bottom w:val="nil"/>
              <w:right w:val="nil"/>
            </w:tcBorders>
            <w:shd w:val="clear" w:color="000000" w:fill="FFFFFF"/>
            <w:noWrap/>
            <w:vAlign w:val="center"/>
          </w:tcPr>
          <w:p w14:paraId="4E467A86" w14:textId="77777777" w:rsidR="00AF5D97" w:rsidRPr="004D453A" w:rsidRDefault="00AF5D97" w:rsidP="00AF5D97">
            <w:pPr>
              <w:jc w:val="center"/>
              <w:rPr>
                <w:rFonts w:ascii="Arial" w:eastAsia="Times New Roman" w:hAnsi="Arial" w:cs="Arial"/>
                <w:i/>
                <w:iCs/>
                <w:color w:val="000000"/>
                <w:sz w:val="20"/>
                <w:szCs w:val="20"/>
              </w:rPr>
            </w:pPr>
          </w:p>
        </w:tc>
        <w:tc>
          <w:tcPr>
            <w:tcW w:w="1907" w:type="dxa"/>
            <w:tcBorders>
              <w:top w:val="nil"/>
              <w:left w:val="nil"/>
              <w:bottom w:val="nil"/>
              <w:right w:val="nil"/>
            </w:tcBorders>
            <w:shd w:val="clear" w:color="000000" w:fill="FFFFFF"/>
            <w:noWrap/>
            <w:vAlign w:val="center"/>
          </w:tcPr>
          <w:p w14:paraId="00D744CB" w14:textId="59C6D84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ref</w:t>
            </w:r>
          </w:p>
        </w:tc>
        <w:tc>
          <w:tcPr>
            <w:tcW w:w="718" w:type="dxa"/>
            <w:tcBorders>
              <w:top w:val="nil"/>
              <w:left w:val="nil"/>
              <w:bottom w:val="nil"/>
              <w:right w:val="nil"/>
            </w:tcBorders>
            <w:shd w:val="clear" w:color="000000" w:fill="FFFFFF"/>
            <w:noWrap/>
            <w:vAlign w:val="center"/>
          </w:tcPr>
          <w:p w14:paraId="5D76D89D" w14:textId="77777777" w:rsidR="00AF5D97" w:rsidRPr="004D453A" w:rsidRDefault="00AF5D97" w:rsidP="00AF5D97">
            <w:pPr>
              <w:jc w:val="center"/>
              <w:rPr>
                <w:rFonts w:ascii="Arial" w:eastAsia="Times New Roman" w:hAnsi="Arial" w:cs="Arial"/>
                <w:i/>
                <w:iCs/>
                <w:color w:val="000000"/>
                <w:sz w:val="20"/>
                <w:szCs w:val="20"/>
              </w:rPr>
            </w:pPr>
          </w:p>
        </w:tc>
        <w:tc>
          <w:tcPr>
            <w:tcW w:w="950" w:type="dxa"/>
            <w:tcBorders>
              <w:top w:val="nil"/>
              <w:left w:val="nil"/>
              <w:bottom w:val="nil"/>
              <w:right w:val="nil"/>
            </w:tcBorders>
            <w:shd w:val="clear" w:color="000000" w:fill="FFFFFF"/>
            <w:noWrap/>
            <w:vAlign w:val="center"/>
          </w:tcPr>
          <w:p w14:paraId="3360FA12" w14:textId="77777777" w:rsidR="00AF5D97" w:rsidRPr="004D453A" w:rsidRDefault="00AF5D97" w:rsidP="00AF5D97">
            <w:pPr>
              <w:jc w:val="center"/>
              <w:rPr>
                <w:rFonts w:ascii="Arial" w:eastAsia="Times New Roman" w:hAnsi="Arial" w:cs="Arial"/>
                <w:i/>
                <w:iCs/>
                <w:color w:val="000000"/>
                <w:sz w:val="20"/>
                <w:szCs w:val="20"/>
              </w:rPr>
            </w:pPr>
          </w:p>
        </w:tc>
        <w:tc>
          <w:tcPr>
            <w:tcW w:w="1845" w:type="dxa"/>
            <w:tcBorders>
              <w:top w:val="nil"/>
              <w:left w:val="nil"/>
              <w:bottom w:val="nil"/>
              <w:right w:val="nil"/>
            </w:tcBorders>
            <w:shd w:val="clear" w:color="000000" w:fill="FFFFFF"/>
            <w:noWrap/>
            <w:vAlign w:val="center"/>
          </w:tcPr>
          <w:p w14:paraId="2A664D39" w14:textId="506641CE"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ref</w:t>
            </w:r>
          </w:p>
        </w:tc>
      </w:tr>
      <w:tr w:rsidR="00AF5D97" w:rsidRPr="004D453A" w14:paraId="3A450DCD"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485C77E0" w14:textId="77777777" w:rsidR="00AF5D97" w:rsidRPr="004D453A" w:rsidRDefault="00AF5D97" w:rsidP="00AF5D97">
            <w:pPr>
              <w:ind w:firstLine="253"/>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1 cm</w:t>
            </w:r>
          </w:p>
        </w:tc>
        <w:tc>
          <w:tcPr>
            <w:tcW w:w="907" w:type="dxa"/>
            <w:tcBorders>
              <w:top w:val="nil"/>
              <w:left w:val="nil"/>
              <w:bottom w:val="nil"/>
              <w:right w:val="nil"/>
            </w:tcBorders>
            <w:shd w:val="clear" w:color="000000" w:fill="FFFFFF"/>
            <w:noWrap/>
            <w:vAlign w:val="center"/>
            <w:hideMark/>
          </w:tcPr>
          <w:p w14:paraId="1E6FB3EE"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907" w:type="dxa"/>
            <w:tcBorders>
              <w:top w:val="nil"/>
              <w:left w:val="nil"/>
              <w:bottom w:val="nil"/>
              <w:right w:val="nil"/>
            </w:tcBorders>
            <w:shd w:val="clear" w:color="000000" w:fill="FFFFFF"/>
            <w:noWrap/>
            <w:vAlign w:val="center"/>
            <w:hideMark/>
          </w:tcPr>
          <w:p w14:paraId="3E5665FC"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718" w:type="dxa"/>
            <w:tcBorders>
              <w:top w:val="nil"/>
              <w:left w:val="nil"/>
              <w:bottom w:val="nil"/>
              <w:right w:val="nil"/>
            </w:tcBorders>
            <w:shd w:val="clear" w:color="000000" w:fill="FFFFFF"/>
            <w:noWrap/>
            <w:vAlign w:val="center"/>
            <w:hideMark/>
          </w:tcPr>
          <w:p w14:paraId="13935B0D"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1718C7C9"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845" w:type="dxa"/>
            <w:tcBorders>
              <w:top w:val="nil"/>
              <w:left w:val="nil"/>
              <w:bottom w:val="nil"/>
              <w:right w:val="nil"/>
            </w:tcBorders>
            <w:shd w:val="clear" w:color="000000" w:fill="FFFFFF"/>
            <w:noWrap/>
            <w:vAlign w:val="center"/>
            <w:hideMark/>
          </w:tcPr>
          <w:p w14:paraId="2CB51721"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r>
      <w:tr w:rsidR="00AF5D97" w:rsidRPr="004D453A" w14:paraId="68242C7A" w14:textId="77777777" w:rsidTr="00034351">
        <w:trPr>
          <w:trHeight w:val="20"/>
          <w:jc w:val="center"/>
        </w:trPr>
        <w:tc>
          <w:tcPr>
            <w:tcW w:w="2340" w:type="dxa"/>
            <w:tcBorders>
              <w:top w:val="nil"/>
              <w:left w:val="nil"/>
              <w:bottom w:val="nil"/>
              <w:right w:val="nil"/>
            </w:tcBorders>
            <w:shd w:val="clear" w:color="000000" w:fill="FFFFFF"/>
            <w:vAlign w:val="center"/>
            <w:hideMark/>
          </w:tcPr>
          <w:p w14:paraId="062F4FE3"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907" w:type="dxa"/>
            <w:tcBorders>
              <w:top w:val="nil"/>
              <w:left w:val="nil"/>
              <w:bottom w:val="nil"/>
              <w:right w:val="nil"/>
            </w:tcBorders>
            <w:shd w:val="clear" w:color="000000" w:fill="FFFFFF"/>
            <w:noWrap/>
            <w:vAlign w:val="center"/>
            <w:hideMark/>
          </w:tcPr>
          <w:p w14:paraId="601865D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41</w:t>
            </w:r>
          </w:p>
        </w:tc>
        <w:tc>
          <w:tcPr>
            <w:tcW w:w="1907" w:type="dxa"/>
            <w:tcBorders>
              <w:top w:val="nil"/>
              <w:left w:val="nil"/>
              <w:bottom w:val="nil"/>
              <w:right w:val="nil"/>
            </w:tcBorders>
            <w:shd w:val="clear" w:color="000000" w:fill="FFFFFF"/>
            <w:noWrap/>
            <w:vAlign w:val="center"/>
            <w:hideMark/>
          </w:tcPr>
          <w:p w14:paraId="2307FA05" w14:textId="010D474B"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c>
          <w:tcPr>
            <w:tcW w:w="718" w:type="dxa"/>
            <w:tcBorders>
              <w:top w:val="nil"/>
              <w:left w:val="nil"/>
              <w:bottom w:val="nil"/>
              <w:right w:val="nil"/>
            </w:tcBorders>
            <w:shd w:val="clear" w:color="000000" w:fill="FFFFFF"/>
            <w:noWrap/>
            <w:vAlign w:val="center"/>
            <w:hideMark/>
          </w:tcPr>
          <w:p w14:paraId="040F5089"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5A914C85"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27</w:t>
            </w:r>
          </w:p>
        </w:tc>
        <w:tc>
          <w:tcPr>
            <w:tcW w:w="1845" w:type="dxa"/>
            <w:tcBorders>
              <w:top w:val="nil"/>
              <w:left w:val="nil"/>
              <w:bottom w:val="nil"/>
              <w:right w:val="nil"/>
            </w:tcBorders>
            <w:shd w:val="clear" w:color="000000" w:fill="FFFFFF"/>
            <w:noWrap/>
            <w:vAlign w:val="center"/>
            <w:hideMark/>
          </w:tcPr>
          <w:p w14:paraId="13315F5D" w14:textId="6489D719"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r>
      <w:tr w:rsidR="00AF5D97" w:rsidRPr="004D453A" w14:paraId="3F4B0E85"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4ECB3F47"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907" w:type="dxa"/>
            <w:tcBorders>
              <w:top w:val="nil"/>
              <w:left w:val="nil"/>
              <w:bottom w:val="nil"/>
              <w:right w:val="nil"/>
            </w:tcBorders>
            <w:shd w:val="clear" w:color="000000" w:fill="FFFFFF"/>
            <w:noWrap/>
            <w:vAlign w:val="center"/>
            <w:hideMark/>
          </w:tcPr>
          <w:p w14:paraId="66476367"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39</w:t>
            </w:r>
          </w:p>
        </w:tc>
        <w:tc>
          <w:tcPr>
            <w:tcW w:w="1907" w:type="dxa"/>
            <w:tcBorders>
              <w:top w:val="nil"/>
              <w:left w:val="nil"/>
              <w:bottom w:val="nil"/>
              <w:right w:val="nil"/>
            </w:tcBorders>
            <w:shd w:val="clear" w:color="000000" w:fill="FFFFFF"/>
            <w:noWrap/>
            <w:vAlign w:val="center"/>
            <w:hideMark/>
          </w:tcPr>
          <w:p w14:paraId="5BBD53BD" w14:textId="0F40D04E"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0.93 (0.57-1.51)</w:t>
            </w:r>
          </w:p>
        </w:tc>
        <w:tc>
          <w:tcPr>
            <w:tcW w:w="718" w:type="dxa"/>
            <w:tcBorders>
              <w:top w:val="nil"/>
              <w:left w:val="nil"/>
              <w:bottom w:val="nil"/>
              <w:right w:val="nil"/>
            </w:tcBorders>
            <w:shd w:val="clear" w:color="000000" w:fill="FFFFFF"/>
            <w:noWrap/>
            <w:vAlign w:val="center"/>
            <w:hideMark/>
          </w:tcPr>
          <w:p w14:paraId="09425407"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509E4644"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29</w:t>
            </w:r>
          </w:p>
        </w:tc>
        <w:tc>
          <w:tcPr>
            <w:tcW w:w="1845" w:type="dxa"/>
            <w:tcBorders>
              <w:top w:val="nil"/>
              <w:left w:val="nil"/>
              <w:bottom w:val="nil"/>
              <w:right w:val="nil"/>
            </w:tcBorders>
            <w:shd w:val="clear" w:color="000000" w:fill="FFFFFF"/>
            <w:noWrap/>
            <w:vAlign w:val="center"/>
            <w:hideMark/>
          </w:tcPr>
          <w:p w14:paraId="62FA819B" w14:textId="4483FCBA"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1.08 (0.62-1.90)</w:t>
            </w:r>
          </w:p>
        </w:tc>
      </w:tr>
      <w:tr w:rsidR="00AF5D97" w:rsidRPr="004D453A" w14:paraId="44817961"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3D78DDC8"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907" w:type="dxa"/>
            <w:tcBorders>
              <w:top w:val="nil"/>
              <w:left w:val="nil"/>
              <w:bottom w:val="nil"/>
              <w:right w:val="nil"/>
            </w:tcBorders>
            <w:shd w:val="clear" w:color="000000" w:fill="FFFFFF"/>
            <w:noWrap/>
            <w:vAlign w:val="center"/>
            <w:hideMark/>
          </w:tcPr>
          <w:p w14:paraId="60E116D9"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48</w:t>
            </w:r>
          </w:p>
        </w:tc>
        <w:tc>
          <w:tcPr>
            <w:tcW w:w="1907" w:type="dxa"/>
            <w:tcBorders>
              <w:top w:val="nil"/>
              <w:left w:val="nil"/>
              <w:bottom w:val="nil"/>
              <w:right w:val="nil"/>
            </w:tcBorders>
            <w:shd w:val="clear" w:color="000000" w:fill="FFFFFF"/>
            <w:noWrap/>
            <w:vAlign w:val="center"/>
            <w:hideMark/>
          </w:tcPr>
          <w:p w14:paraId="363670D4" w14:textId="168354D9"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1.12 (0.70-1.79)</w:t>
            </w:r>
          </w:p>
        </w:tc>
        <w:tc>
          <w:tcPr>
            <w:tcW w:w="718" w:type="dxa"/>
            <w:tcBorders>
              <w:top w:val="nil"/>
              <w:left w:val="nil"/>
              <w:bottom w:val="nil"/>
              <w:right w:val="nil"/>
            </w:tcBorders>
            <w:shd w:val="clear" w:color="000000" w:fill="FFFFFF"/>
            <w:noWrap/>
            <w:vAlign w:val="center"/>
            <w:hideMark/>
          </w:tcPr>
          <w:p w14:paraId="6193415E"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693F9082"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55</w:t>
            </w:r>
          </w:p>
        </w:tc>
        <w:tc>
          <w:tcPr>
            <w:tcW w:w="1845" w:type="dxa"/>
            <w:tcBorders>
              <w:top w:val="nil"/>
              <w:left w:val="nil"/>
              <w:bottom w:val="nil"/>
              <w:right w:val="nil"/>
            </w:tcBorders>
            <w:shd w:val="clear" w:color="000000" w:fill="FFFFFF"/>
            <w:noWrap/>
            <w:vAlign w:val="center"/>
            <w:hideMark/>
          </w:tcPr>
          <w:p w14:paraId="4697B181" w14:textId="475AC42D"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1.83 (1.13-3.04)</w:t>
            </w:r>
          </w:p>
        </w:tc>
      </w:tr>
      <w:tr w:rsidR="00AF5D97" w:rsidRPr="004D453A" w14:paraId="04D5EE8F"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361A5E13"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907" w:type="dxa"/>
            <w:tcBorders>
              <w:top w:val="nil"/>
              <w:left w:val="nil"/>
              <w:bottom w:val="nil"/>
              <w:right w:val="nil"/>
            </w:tcBorders>
            <w:shd w:val="clear" w:color="000000" w:fill="FFFFFF"/>
            <w:noWrap/>
            <w:vAlign w:val="center"/>
            <w:hideMark/>
          </w:tcPr>
          <w:p w14:paraId="2C97BE9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54</w:t>
            </w:r>
          </w:p>
        </w:tc>
        <w:tc>
          <w:tcPr>
            <w:tcW w:w="1907" w:type="dxa"/>
            <w:tcBorders>
              <w:top w:val="nil"/>
              <w:left w:val="nil"/>
              <w:bottom w:val="nil"/>
              <w:right w:val="nil"/>
            </w:tcBorders>
            <w:shd w:val="clear" w:color="000000" w:fill="FFFFFF"/>
            <w:noWrap/>
            <w:vAlign w:val="center"/>
            <w:hideMark/>
          </w:tcPr>
          <w:p w14:paraId="54778FD4" w14:textId="0024C6CC"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1.19 (0.75-1.90)</w:t>
            </w:r>
          </w:p>
        </w:tc>
        <w:tc>
          <w:tcPr>
            <w:tcW w:w="718" w:type="dxa"/>
            <w:tcBorders>
              <w:top w:val="nil"/>
              <w:left w:val="nil"/>
              <w:bottom w:val="nil"/>
              <w:right w:val="nil"/>
            </w:tcBorders>
            <w:shd w:val="clear" w:color="000000" w:fill="FFFFFF"/>
            <w:noWrap/>
            <w:vAlign w:val="center"/>
            <w:hideMark/>
          </w:tcPr>
          <w:p w14:paraId="09D5A437"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6409908B"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57</w:t>
            </w:r>
          </w:p>
        </w:tc>
        <w:tc>
          <w:tcPr>
            <w:tcW w:w="1845" w:type="dxa"/>
            <w:tcBorders>
              <w:top w:val="nil"/>
              <w:left w:val="nil"/>
              <w:bottom w:val="nil"/>
              <w:right w:val="nil"/>
            </w:tcBorders>
            <w:shd w:val="clear" w:color="000000" w:fill="FFFFFF"/>
            <w:noWrap/>
            <w:vAlign w:val="center"/>
            <w:hideMark/>
          </w:tcPr>
          <w:p w14:paraId="5DFB1809" w14:textId="1DEB286C"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1.90 (1.17-3.16)</w:t>
            </w:r>
          </w:p>
        </w:tc>
      </w:tr>
      <w:tr w:rsidR="00AF5D97" w:rsidRPr="004D453A" w14:paraId="49DB2D2A"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1E2D9CE6"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907" w:type="dxa"/>
            <w:tcBorders>
              <w:top w:val="nil"/>
              <w:left w:val="nil"/>
              <w:bottom w:val="nil"/>
              <w:right w:val="nil"/>
            </w:tcBorders>
            <w:shd w:val="clear" w:color="000000" w:fill="FFFFFF"/>
            <w:noWrap/>
            <w:vAlign w:val="center"/>
            <w:hideMark/>
          </w:tcPr>
          <w:p w14:paraId="56E8D8D4"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62</w:t>
            </w:r>
          </w:p>
        </w:tc>
        <w:tc>
          <w:tcPr>
            <w:tcW w:w="1907" w:type="dxa"/>
            <w:tcBorders>
              <w:top w:val="nil"/>
              <w:left w:val="nil"/>
              <w:bottom w:val="nil"/>
              <w:right w:val="nil"/>
            </w:tcBorders>
            <w:shd w:val="clear" w:color="000000" w:fill="FFFFFF"/>
            <w:noWrap/>
            <w:vAlign w:val="center"/>
            <w:hideMark/>
          </w:tcPr>
          <w:p w14:paraId="3DD31C7A" w14:textId="617A866F"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1.38 (0.88-2.18)</w:t>
            </w:r>
          </w:p>
        </w:tc>
        <w:tc>
          <w:tcPr>
            <w:tcW w:w="718" w:type="dxa"/>
            <w:tcBorders>
              <w:top w:val="nil"/>
              <w:left w:val="nil"/>
              <w:bottom w:val="nil"/>
              <w:right w:val="nil"/>
            </w:tcBorders>
            <w:shd w:val="clear" w:color="000000" w:fill="FFFFFF"/>
            <w:noWrap/>
            <w:vAlign w:val="center"/>
            <w:hideMark/>
          </w:tcPr>
          <w:p w14:paraId="66F83787"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5B77339F"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76</w:t>
            </w:r>
          </w:p>
        </w:tc>
        <w:tc>
          <w:tcPr>
            <w:tcW w:w="1845" w:type="dxa"/>
            <w:tcBorders>
              <w:top w:val="nil"/>
              <w:left w:val="nil"/>
              <w:bottom w:val="nil"/>
              <w:right w:val="nil"/>
            </w:tcBorders>
            <w:shd w:val="clear" w:color="000000" w:fill="FFFFFF"/>
            <w:noWrap/>
            <w:vAlign w:val="center"/>
            <w:hideMark/>
          </w:tcPr>
          <w:p w14:paraId="07044517" w14:textId="34843853"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2.84 (1.79-4.65)</w:t>
            </w:r>
          </w:p>
        </w:tc>
      </w:tr>
      <w:tr w:rsidR="00AF5D97" w:rsidRPr="004D453A" w14:paraId="437144CC"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78608BBB" w14:textId="2672A20A" w:rsidR="00AF5D97" w:rsidRPr="004D453A" w:rsidRDefault="00AF5D97" w:rsidP="00AF5D97">
            <w:pPr>
              <w:ind w:firstLine="523"/>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907" w:type="dxa"/>
            <w:tcBorders>
              <w:top w:val="nil"/>
              <w:left w:val="nil"/>
              <w:bottom w:val="nil"/>
              <w:right w:val="nil"/>
            </w:tcBorders>
            <w:shd w:val="clear" w:color="000000" w:fill="FFFFFF"/>
            <w:noWrap/>
            <w:vAlign w:val="center"/>
            <w:hideMark/>
          </w:tcPr>
          <w:p w14:paraId="2ADD7F38"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907" w:type="dxa"/>
            <w:tcBorders>
              <w:top w:val="nil"/>
              <w:left w:val="nil"/>
              <w:bottom w:val="nil"/>
              <w:right w:val="nil"/>
            </w:tcBorders>
            <w:shd w:val="clear" w:color="000000" w:fill="FFFFFF"/>
            <w:noWrap/>
            <w:vAlign w:val="center"/>
            <w:hideMark/>
          </w:tcPr>
          <w:p w14:paraId="0E664B9B"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0.10</w:t>
            </w:r>
          </w:p>
        </w:tc>
        <w:tc>
          <w:tcPr>
            <w:tcW w:w="718" w:type="dxa"/>
            <w:tcBorders>
              <w:top w:val="nil"/>
              <w:left w:val="nil"/>
              <w:bottom w:val="nil"/>
              <w:right w:val="nil"/>
            </w:tcBorders>
            <w:shd w:val="clear" w:color="000000" w:fill="FFFFFF"/>
            <w:noWrap/>
            <w:vAlign w:val="center"/>
            <w:hideMark/>
          </w:tcPr>
          <w:p w14:paraId="056F3EFF"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950" w:type="dxa"/>
            <w:tcBorders>
              <w:top w:val="nil"/>
              <w:left w:val="nil"/>
              <w:bottom w:val="nil"/>
              <w:right w:val="nil"/>
            </w:tcBorders>
            <w:shd w:val="clear" w:color="000000" w:fill="FFFFFF"/>
            <w:noWrap/>
            <w:vAlign w:val="center"/>
            <w:hideMark/>
          </w:tcPr>
          <w:p w14:paraId="17D06D45"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845" w:type="dxa"/>
            <w:tcBorders>
              <w:top w:val="nil"/>
              <w:left w:val="nil"/>
              <w:bottom w:val="nil"/>
              <w:right w:val="nil"/>
            </w:tcBorders>
            <w:shd w:val="clear" w:color="000000" w:fill="FFFFFF"/>
            <w:noWrap/>
            <w:vAlign w:val="center"/>
            <w:hideMark/>
          </w:tcPr>
          <w:p w14:paraId="31FC9F1F"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&lt;0.0001</w:t>
            </w:r>
          </w:p>
        </w:tc>
      </w:tr>
      <w:tr w:rsidR="00AF5D97" w:rsidRPr="004D453A" w14:paraId="6D8FC032" w14:textId="77777777" w:rsidTr="00961BD8">
        <w:trPr>
          <w:trHeight w:val="20"/>
          <w:jc w:val="center"/>
        </w:trPr>
        <w:tc>
          <w:tcPr>
            <w:tcW w:w="2340" w:type="dxa"/>
            <w:tcBorders>
              <w:top w:val="nil"/>
              <w:left w:val="nil"/>
              <w:bottom w:val="nil"/>
              <w:right w:val="nil"/>
            </w:tcBorders>
            <w:shd w:val="clear" w:color="000000" w:fill="FFFFFF"/>
            <w:noWrap/>
            <w:vAlign w:val="bottom"/>
          </w:tcPr>
          <w:p w14:paraId="2CFCC4D0" w14:textId="6477C829" w:rsidR="00AF5D97" w:rsidRPr="00615CA1" w:rsidRDefault="00AF5D97" w:rsidP="00AF5D97">
            <w:pPr>
              <w:ind w:firstLine="523"/>
              <w:rPr>
                <w:rFonts w:ascii="Arial" w:hAnsi="Arial" w:cs="Arial"/>
                <w:i/>
                <w:iCs/>
                <w:color w:val="000000"/>
                <w:sz w:val="20"/>
                <w:szCs w:val="20"/>
              </w:rPr>
            </w:pPr>
            <w:proofErr w:type="spellStart"/>
            <w:r w:rsidRPr="004D453A">
              <w:rPr>
                <w:rFonts w:ascii="Arial" w:hAnsi="Arial" w:cs="Arial"/>
                <w:i/>
                <w:iCs/>
                <w:color w:val="000000"/>
                <w:sz w:val="20"/>
                <w:szCs w:val="20"/>
              </w:rPr>
              <w:t>P</w:t>
            </w:r>
            <w:r w:rsidRPr="004D453A">
              <w:rPr>
                <w:rFonts w:ascii="Arial" w:hAnsi="Arial" w:cs="Arial"/>
                <w:i/>
                <w:iCs/>
                <w:color w:val="000000"/>
                <w:sz w:val="20"/>
                <w:szCs w:val="20"/>
                <w:vertAlign w:val="subscript"/>
              </w:rPr>
              <w:t>heterogeneity</w:t>
            </w:r>
            <w:proofErr w:type="spellEnd"/>
          </w:p>
        </w:tc>
        <w:tc>
          <w:tcPr>
            <w:tcW w:w="907" w:type="dxa"/>
            <w:tcBorders>
              <w:top w:val="nil"/>
              <w:left w:val="nil"/>
              <w:bottom w:val="nil"/>
              <w:right w:val="nil"/>
            </w:tcBorders>
            <w:shd w:val="clear" w:color="000000" w:fill="FFFFFF"/>
            <w:noWrap/>
            <w:vAlign w:val="center"/>
          </w:tcPr>
          <w:p w14:paraId="7817180E" w14:textId="77777777" w:rsidR="00AF5D97" w:rsidRPr="004D453A" w:rsidRDefault="00AF5D97" w:rsidP="00AF5D97">
            <w:pPr>
              <w:jc w:val="center"/>
              <w:rPr>
                <w:rFonts w:ascii="Arial" w:eastAsia="Times New Roman" w:hAnsi="Arial" w:cs="Arial"/>
                <w:i/>
                <w:iCs/>
                <w:color w:val="000000"/>
                <w:sz w:val="20"/>
                <w:szCs w:val="20"/>
              </w:rPr>
            </w:pPr>
          </w:p>
        </w:tc>
        <w:tc>
          <w:tcPr>
            <w:tcW w:w="1907" w:type="dxa"/>
            <w:tcBorders>
              <w:top w:val="nil"/>
              <w:left w:val="nil"/>
              <w:bottom w:val="nil"/>
              <w:right w:val="nil"/>
            </w:tcBorders>
            <w:shd w:val="clear" w:color="000000" w:fill="FFFFFF"/>
            <w:noWrap/>
            <w:vAlign w:val="center"/>
          </w:tcPr>
          <w:p w14:paraId="2902CFA4" w14:textId="628E1461"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0.45</w:t>
            </w:r>
          </w:p>
        </w:tc>
        <w:tc>
          <w:tcPr>
            <w:tcW w:w="718" w:type="dxa"/>
            <w:tcBorders>
              <w:top w:val="nil"/>
              <w:left w:val="nil"/>
              <w:bottom w:val="nil"/>
              <w:right w:val="nil"/>
            </w:tcBorders>
            <w:shd w:val="clear" w:color="000000" w:fill="FFFFFF"/>
            <w:noWrap/>
            <w:vAlign w:val="center"/>
          </w:tcPr>
          <w:p w14:paraId="6BE49879" w14:textId="77777777" w:rsidR="00AF5D97" w:rsidRPr="004D453A" w:rsidRDefault="00AF5D97" w:rsidP="00AF5D97">
            <w:pPr>
              <w:jc w:val="center"/>
              <w:rPr>
                <w:rFonts w:ascii="Arial" w:eastAsia="Times New Roman" w:hAnsi="Arial" w:cs="Arial"/>
                <w:i/>
                <w:iCs/>
                <w:color w:val="000000"/>
                <w:sz w:val="20"/>
                <w:szCs w:val="20"/>
              </w:rPr>
            </w:pPr>
          </w:p>
        </w:tc>
        <w:tc>
          <w:tcPr>
            <w:tcW w:w="950" w:type="dxa"/>
            <w:tcBorders>
              <w:top w:val="nil"/>
              <w:left w:val="nil"/>
              <w:bottom w:val="nil"/>
              <w:right w:val="nil"/>
            </w:tcBorders>
            <w:shd w:val="clear" w:color="000000" w:fill="FFFFFF"/>
            <w:noWrap/>
            <w:vAlign w:val="center"/>
          </w:tcPr>
          <w:p w14:paraId="3BBA4841" w14:textId="77777777" w:rsidR="00AF5D97" w:rsidRPr="004D453A" w:rsidRDefault="00AF5D97" w:rsidP="00AF5D97">
            <w:pPr>
              <w:jc w:val="center"/>
              <w:rPr>
                <w:rFonts w:ascii="Arial" w:eastAsia="Times New Roman" w:hAnsi="Arial" w:cs="Arial"/>
                <w:i/>
                <w:iCs/>
                <w:color w:val="000000"/>
                <w:sz w:val="20"/>
                <w:szCs w:val="20"/>
              </w:rPr>
            </w:pPr>
          </w:p>
        </w:tc>
        <w:tc>
          <w:tcPr>
            <w:tcW w:w="1845" w:type="dxa"/>
            <w:tcBorders>
              <w:top w:val="nil"/>
              <w:left w:val="nil"/>
              <w:bottom w:val="nil"/>
              <w:right w:val="nil"/>
            </w:tcBorders>
            <w:shd w:val="clear" w:color="000000" w:fill="FFFFFF"/>
            <w:noWrap/>
            <w:vAlign w:val="center"/>
          </w:tcPr>
          <w:p w14:paraId="7472A779" w14:textId="70B34DFE"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0.09</w:t>
            </w:r>
          </w:p>
        </w:tc>
      </w:tr>
      <w:tr w:rsidR="00AF5D97" w:rsidRPr="004D453A" w14:paraId="2178A803"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6B692C76" w14:textId="77777777" w:rsidR="00AF5D97" w:rsidRPr="004D453A" w:rsidRDefault="00AF5D97" w:rsidP="00AF5D97">
            <w:pPr>
              <w:rPr>
                <w:rFonts w:ascii="Arial" w:eastAsia="Times New Roman" w:hAnsi="Arial" w:cs="Arial"/>
                <w:color w:val="000000"/>
                <w:sz w:val="20"/>
                <w:szCs w:val="20"/>
              </w:rPr>
            </w:pPr>
            <w:r w:rsidRPr="004D453A">
              <w:rPr>
                <w:rFonts w:ascii="Arial" w:eastAsia="Times New Roman" w:hAnsi="Arial" w:cs="Arial"/>
                <w:color w:val="000000"/>
                <w:sz w:val="20"/>
                <w:szCs w:val="20"/>
              </w:rPr>
              <w:t>Degree of atypia</w:t>
            </w:r>
          </w:p>
        </w:tc>
        <w:tc>
          <w:tcPr>
            <w:tcW w:w="907" w:type="dxa"/>
            <w:tcBorders>
              <w:top w:val="nil"/>
              <w:left w:val="nil"/>
              <w:bottom w:val="nil"/>
              <w:right w:val="nil"/>
            </w:tcBorders>
            <w:shd w:val="clear" w:color="000000" w:fill="FFFFFF"/>
            <w:noWrap/>
            <w:vAlign w:val="center"/>
            <w:hideMark/>
          </w:tcPr>
          <w:p w14:paraId="3CDB895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907" w:type="dxa"/>
            <w:tcBorders>
              <w:top w:val="nil"/>
              <w:left w:val="nil"/>
              <w:bottom w:val="nil"/>
              <w:right w:val="nil"/>
            </w:tcBorders>
            <w:shd w:val="clear" w:color="000000" w:fill="FFFFFF"/>
            <w:noWrap/>
            <w:vAlign w:val="center"/>
            <w:hideMark/>
          </w:tcPr>
          <w:p w14:paraId="4D311D7B"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718" w:type="dxa"/>
            <w:tcBorders>
              <w:top w:val="nil"/>
              <w:left w:val="nil"/>
              <w:bottom w:val="nil"/>
              <w:right w:val="nil"/>
            </w:tcBorders>
            <w:shd w:val="clear" w:color="000000" w:fill="FFFFFF"/>
            <w:noWrap/>
            <w:vAlign w:val="center"/>
            <w:hideMark/>
          </w:tcPr>
          <w:p w14:paraId="7044E514"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1E15119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845" w:type="dxa"/>
            <w:tcBorders>
              <w:top w:val="nil"/>
              <w:left w:val="nil"/>
              <w:bottom w:val="nil"/>
              <w:right w:val="nil"/>
            </w:tcBorders>
            <w:shd w:val="clear" w:color="000000" w:fill="FFFFFF"/>
            <w:noWrap/>
            <w:vAlign w:val="center"/>
            <w:hideMark/>
          </w:tcPr>
          <w:p w14:paraId="2950F2A0"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r>
      <w:tr w:rsidR="00AF5D97" w:rsidRPr="004D453A" w14:paraId="7D061132"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2CD2444C" w14:textId="77777777" w:rsidR="00AF5D97" w:rsidRPr="004D453A" w:rsidRDefault="00AF5D97" w:rsidP="00AF5D97">
            <w:pPr>
              <w:ind w:firstLine="253"/>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xml:space="preserve">Mild </w:t>
            </w:r>
          </w:p>
        </w:tc>
        <w:tc>
          <w:tcPr>
            <w:tcW w:w="907" w:type="dxa"/>
            <w:tcBorders>
              <w:top w:val="nil"/>
              <w:left w:val="nil"/>
              <w:bottom w:val="nil"/>
              <w:right w:val="nil"/>
            </w:tcBorders>
            <w:shd w:val="clear" w:color="000000" w:fill="FFFFFF"/>
            <w:noWrap/>
            <w:vAlign w:val="center"/>
            <w:hideMark/>
          </w:tcPr>
          <w:p w14:paraId="1992DCD9"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907" w:type="dxa"/>
            <w:tcBorders>
              <w:top w:val="nil"/>
              <w:left w:val="nil"/>
              <w:bottom w:val="nil"/>
              <w:right w:val="nil"/>
            </w:tcBorders>
            <w:shd w:val="clear" w:color="000000" w:fill="FFFFFF"/>
            <w:noWrap/>
            <w:vAlign w:val="center"/>
            <w:hideMark/>
          </w:tcPr>
          <w:p w14:paraId="322F1E04"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718" w:type="dxa"/>
            <w:tcBorders>
              <w:top w:val="nil"/>
              <w:left w:val="nil"/>
              <w:bottom w:val="nil"/>
              <w:right w:val="nil"/>
            </w:tcBorders>
            <w:shd w:val="clear" w:color="000000" w:fill="FFFFFF"/>
            <w:noWrap/>
            <w:vAlign w:val="center"/>
            <w:hideMark/>
          </w:tcPr>
          <w:p w14:paraId="549F473C"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7D7CA315"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845" w:type="dxa"/>
            <w:tcBorders>
              <w:top w:val="nil"/>
              <w:left w:val="nil"/>
              <w:bottom w:val="nil"/>
              <w:right w:val="nil"/>
            </w:tcBorders>
            <w:shd w:val="clear" w:color="000000" w:fill="FFFFFF"/>
            <w:noWrap/>
            <w:vAlign w:val="center"/>
            <w:hideMark/>
          </w:tcPr>
          <w:p w14:paraId="3189581D"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r>
      <w:tr w:rsidR="00AF5D97" w:rsidRPr="004D453A" w14:paraId="255FAE4D" w14:textId="77777777" w:rsidTr="00034351">
        <w:trPr>
          <w:trHeight w:val="20"/>
          <w:jc w:val="center"/>
        </w:trPr>
        <w:tc>
          <w:tcPr>
            <w:tcW w:w="2340" w:type="dxa"/>
            <w:tcBorders>
              <w:top w:val="nil"/>
              <w:left w:val="nil"/>
              <w:bottom w:val="nil"/>
              <w:right w:val="nil"/>
            </w:tcBorders>
            <w:shd w:val="clear" w:color="000000" w:fill="FFFFFF"/>
            <w:vAlign w:val="center"/>
            <w:hideMark/>
          </w:tcPr>
          <w:p w14:paraId="6CCEA1FF"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907" w:type="dxa"/>
            <w:tcBorders>
              <w:top w:val="nil"/>
              <w:left w:val="nil"/>
              <w:bottom w:val="nil"/>
              <w:right w:val="nil"/>
            </w:tcBorders>
            <w:shd w:val="clear" w:color="000000" w:fill="FFFFFF"/>
            <w:noWrap/>
            <w:vAlign w:val="center"/>
            <w:hideMark/>
          </w:tcPr>
          <w:p w14:paraId="4E29B723"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58</w:t>
            </w:r>
          </w:p>
        </w:tc>
        <w:tc>
          <w:tcPr>
            <w:tcW w:w="1907" w:type="dxa"/>
            <w:tcBorders>
              <w:top w:val="nil"/>
              <w:left w:val="nil"/>
              <w:bottom w:val="nil"/>
              <w:right w:val="nil"/>
            </w:tcBorders>
            <w:shd w:val="clear" w:color="000000" w:fill="FFFFFF"/>
            <w:noWrap/>
            <w:vAlign w:val="center"/>
            <w:hideMark/>
          </w:tcPr>
          <w:p w14:paraId="31638B2A" w14:textId="1D974355"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c>
          <w:tcPr>
            <w:tcW w:w="718" w:type="dxa"/>
            <w:tcBorders>
              <w:top w:val="nil"/>
              <w:left w:val="nil"/>
              <w:bottom w:val="nil"/>
              <w:right w:val="nil"/>
            </w:tcBorders>
            <w:shd w:val="clear" w:color="000000" w:fill="FFFFFF"/>
            <w:noWrap/>
            <w:vAlign w:val="center"/>
            <w:hideMark/>
          </w:tcPr>
          <w:p w14:paraId="52DE8EBE"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3F16E99D"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47</w:t>
            </w:r>
          </w:p>
        </w:tc>
        <w:tc>
          <w:tcPr>
            <w:tcW w:w="1845" w:type="dxa"/>
            <w:tcBorders>
              <w:top w:val="nil"/>
              <w:left w:val="nil"/>
              <w:bottom w:val="nil"/>
              <w:right w:val="nil"/>
            </w:tcBorders>
            <w:shd w:val="clear" w:color="000000" w:fill="FFFFFF"/>
            <w:noWrap/>
            <w:vAlign w:val="center"/>
            <w:hideMark/>
          </w:tcPr>
          <w:p w14:paraId="6D0CF6A9" w14:textId="3351D813"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r>
      <w:tr w:rsidR="00AF5D97" w:rsidRPr="004D453A" w14:paraId="547AFD7E"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62AE9204"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907" w:type="dxa"/>
            <w:tcBorders>
              <w:top w:val="nil"/>
              <w:left w:val="nil"/>
              <w:bottom w:val="nil"/>
              <w:right w:val="nil"/>
            </w:tcBorders>
            <w:shd w:val="clear" w:color="000000" w:fill="FFFFFF"/>
            <w:noWrap/>
            <w:vAlign w:val="center"/>
            <w:hideMark/>
          </w:tcPr>
          <w:p w14:paraId="5E249FAF"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73</w:t>
            </w:r>
          </w:p>
        </w:tc>
        <w:tc>
          <w:tcPr>
            <w:tcW w:w="1907" w:type="dxa"/>
            <w:tcBorders>
              <w:top w:val="nil"/>
              <w:left w:val="nil"/>
              <w:bottom w:val="nil"/>
              <w:right w:val="nil"/>
            </w:tcBorders>
            <w:shd w:val="clear" w:color="000000" w:fill="FFFFFF"/>
            <w:noWrap/>
            <w:vAlign w:val="center"/>
            <w:hideMark/>
          </w:tcPr>
          <w:p w14:paraId="3E0EDC8F" w14:textId="4F71A67D"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1.19 (0.80-1.76)</w:t>
            </w:r>
          </w:p>
        </w:tc>
        <w:tc>
          <w:tcPr>
            <w:tcW w:w="718" w:type="dxa"/>
            <w:tcBorders>
              <w:top w:val="nil"/>
              <w:left w:val="nil"/>
              <w:bottom w:val="nil"/>
              <w:right w:val="nil"/>
            </w:tcBorders>
            <w:shd w:val="clear" w:color="000000" w:fill="FFFFFF"/>
            <w:noWrap/>
            <w:vAlign w:val="center"/>
            <w:hideMark/>
          </w:tcPr>
          <w:p w14:paraId="5B302793"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616B1322"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46</w:t>
            </w:r>
          </w:p>
        </w:tc>
        <w:tc>
          <w:tcPr>
            <w:tcW w:w="1845" w:type="dxa"/>
            <w:tcBorders>
              <w:top w:val="nil"/>
              <w:left w:val="nil"/>
              <w:bottom w:val="nil"/>
              <w:right w:val="nil"/>
            </w:tcBorders>
            <w:shd w:val="clear" w:color="000000" w:fill="FFFFFF"/>
            <w:noWrap/>
            <w:vAlign w:val="center"/>
            <w:hideMark/>
          </w:tcPr>
          <w:p w14:paraId="63C9EC4C" w14:textId="560CD72F"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0.90 (0.57-1.41)</w:t>
            </w:r>
          </w:p>
        </w:tc>
      </w:tr>
      <w:tr w:rsidR="00AF5D97" w:rsidRPr="004D453A" w14:paraId="34CF9AB0"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0D5BBB78"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907" w:type="dxa"/>
            <w:tcBorders>
              <w:top w:val="nil"/>
              <w:left w:val="nil"/>
              <w:bottom w:val="nil"/>
              <w:right w:val="nil"/>
            </w:tcBorders>
            <w:shd w:val="clear" w:color="000000" w:fill="FFFFFF"/>
            <w:noWrap/>
            <w:vAlign w:val="center"/>
            <w:hideMark/>
          </w:tcPr>
          <w:p w14:paraId="1333A544"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67</w:t>
            </w:r>
          </w:p>
        </w:tc>
        <w:tc>
          <w:tcPr>
            <w:tcW w:w="1907" w:type="dxa"/>
            <w:tcBorders>
              <w:top w:val="nil"/>
              <w:left w:val="nil"/>
              <w:bottom w:val="nil"/>
              <w:right w:val="nil"/>
            </w:tcBorders>
            <w:shd w:val="clear" w:color="000000" w:fill="FFFFFF"/>
            <w:noWrap/>
            <w:vAlign w:val="center"/>
            <w:hideMark/>
          </w:tcPr>
          <w:p w14:paraId="3F57DDCC" w14:textId="45A814BE"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1.08 (0.72-1.62)</w:t>
            </w:r>
          </w:p>
        </w:tc>
        <w:tc>
          <w:tcPr>
            <w:tcW w:w="718" w:type="dxa"/>
            <w:tcBorders>
              <w:top w:val="nil"/>
              <w:left w:val="nil"/>
              <w:bottom w:val="nil"/>
              <w:right w:val="nil"/>
            </w:tcBorders>
            <w:shd w:val="clear" w:color="000000" w:fill="FFFFFF"/>
            <w:noWrap/>
            <w:vAlign w:val="center"/>
            <w:hideMark/>
          </w:tcPr>
          <w:p w14:paraId="28E4A883"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6721756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73</w:t>
            </w:r>
          </w:p>
        </w:tc>
        <w:tc>
          <w:tcPr>
            <w:tcW w:w="1845" w:type="dxa"/>
            <w:tcBorders>
              <w:top w:val="nil"/>
              <w:left w:val="nil"/>
              <w:bottom w:val="nil"/>
              <w:right w:val="nil"/>
            </w:tcBorders>
            <w:shd w:val="clear" w:color="000000" w:fill="FFFFFF"/>
            <w:noWrap/>
            <w:vAlign w:val="center"/>
            <w:hideMark/>
          </w:tcPr>
          <w:p w14:paraId="09A25CD2" w14:textId="5C30A1BA"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1.40 (0.94-2.12)</w:t>
            </w:r>
          </w:p>
        </w:tc>
      </w:tr>
      <w:tr w:rsidR="00AF5D97" w:rsidRPr="004D453A" w14:paraId="777CD030"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1B6E26D5"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907" w:type="dxa"/>
            <w:tcBorders>
              <w:top w:val="nil"/>
              <w:left w:val="nil"/>
              <w:bottom w:val="nil"/>
              <w:right w:val="nil"/>
            </w:tcBorders>
            <w:shd w:val="clear" w:color="000000" w:fill="FFFFFF"/>
            <w:noWrap/>
            <w:vAlign w:val="center"/>
            <w:hideMark/>
          </w:tcPr>
          <w:p w14:paraId="6BD48B7F"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58</w:t>
            </w:r>
          </w:p>
        </w:tc>
        <w:tc>
          <w:tcPr>
            <w:tcW w:w="1907" w:type="dxa"/>
            <w:tcBorders>
              <w:top w:val="nil"/>
              <w:left w:val="nil"/>
              <w:bottom w:val="nil"/>
              <w:right w:val="nil"/>
            </w:tcBorders>
            <w:shd w:val="clear" w:color="000000" w:fill="FFFFFF"/>
            <w:noWrap/>
            <w:vAlign w:val="center"/>
            <w:hideMark/>
          </w:tcPr>
          <w:p w14:paraId="53F88A56" w14:textId="50B93B34"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0.96 (0.63-1.45)</w:t>
            </w:r>
          </w:p>
        </w:tc>
        <w:tc>
          <w:tcPr>
            <w:tcW w:w="718" w:type="dxa"/>
            <w:tcBorders>
              <w:top w:val="nil"/>
              <w:left w:val="nil"/>
              <w:bottom w:val="nil"/>
              <w:right w:val="nil"/>
            </w:tcBorders>
            <w:shd w:val="clear" w:color="000000" w:fill="FFFFFF"/>
            <w:noWrap/>
            <w:vAlign w:val="center"/>
            <w:hideMark/>
          </w:tcPr>
          <w:p w14:paraId="00DFE12F"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27CE76AE"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77</w:t>
            </w:r>
          </w:p>
        </w:tc>
        <w:tc>
          <w:tcPr>
            <w:tcW w:w="1845" w:type="dxa"/>
            <w:tcBorders>
              <w:top w:val="nil"/>
              <w:left w:val="nil"/>
              <w:bottom w:val="nil"/>
              <w:right w:val="nil"/>
            </w:tcBorders>
            <w:shd w:val="clear" w:color="000000" w:fill="FFFFFF"/>
            <w:noWrap/>
            <w:vAlign w:val="center"/>
            <w:hideMark/>
          </w:tcPr>
          <w:p w14:paraId="36ABCA4E" w14:textId="6D212389"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1.44 (0.96-2.17)</w:t>
            </w:r>
          </w:p>
        </w:tc>
      </w:tr>
      <w:tr w:rsidR="00AF5D97" w:rsidRPr="004D453A" w14:paraId="0F74CB0F"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0A4BAC4A"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907" w:type="dxa"/>
            <w:tcBorders>
              <w:top w:val="nil"/>
              <w:left w:val="nil"/>
              <w:bottom w:val="nil"/>
              <w:right w:val="nil"/>
            </w:tcBorders>
            <w:shd w:val="clear" w:color="000000" w:fill="FFFFFF"/>
            <w:noWrap/>
            <w:vAlign w:val="center"/>
            <w:hideMark/>
          </w:tcPr>
          <w:p w14:paraId="141D4743"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67</w:t>
            </w:r>
          </w:p>
        </w:tc>
        <w:tc>
          <w:tcPr>
            <w:tcW w:w="1907" w:type="dxa"/>
            <w:tcBorders>
              <w:top w:val="nil"/>
              <w:left w:val="nil"/>
              <w:bottom w:val="nil"/>
              <w:right w:val="nil"/>
            </w:tcBorders>
            <w:shd w:val="clear" w:color="000000" w:fill="FFFFFF"/>
            <w:noWrap/>
            <w:vAlign w:val="center"/>
            <w:hideMark/>
          </w:tcPr>
          <w:p w14:paraId="4243878B" w14:textId="2B5D4352"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1.08 (0.72-1.62)</w:t>
            </w:r>
          </w:p>
        </w:tc>
        <w:tc>
          <w:tcPr>
            <w:tcW w:w="718" w:type="dxa"/>
            <w:tcBorders>
              <w:top w:val="nil"/>
              <w:left w:val="nil"/>
              <w:bottom w:val="nil"/>
              <w:right w:val="nil"/>
            </w:tcBorders>
            <w:shd w:val="clear" w:color="000000" w:fill="FFFFFF"/>
            <w:noWrap/>
            <w:vAlign w:val="center"/>
            <w:hideMark/>
          </w:tcPr>
          <w:p w14:paraId="33B3ADCC"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0F1F3DD5"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80</w:t>
            </w:r>
          </w:p>
        </w:tc>
        <w:tc>
          <w:tcPr>
            <w:tcW w:w="1845" w:type="dxa"/>
            <w:tcBorders>
              <w:top w:val="nil"/>
              <w:left w:val="nil"/>
              <w:bottom w:val="nil"/>
              <w:right w:val="nil"/>
            </w:tcBorders>
            <w:shd w:val="clear" w:color="000000" w:fill="FFFFFF"/>
            <w:noWrap/>
            <w:vAlign w:val="center"/>
            <w:hideMark/>
          </w:tcPr>
          <w:p w14:paraId="3C93DC3C" w14:textId="33EC60B4"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1.70 (1.14-2.56)</w:t>
            </w:r>
          </w:p>
        </w:tc>
      </w:tr>
      <w:tr w:rsidR="00AF5D97" w:rsidRPr="004D453A" w14:paraId="1DBFB65F"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0E9EA916" w14:textId="16BF0EE9" w:rsidR="00AF5D97" w:rsidRPr="004D453A" w:rsidRDefault="00AF5D97" w:rsidP="00AF5D97">
            <w:pPr>
              <w:ind w:firstLine="523"/>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907" w:type="dxa"/>
            <w:tcBorders>
              <w:top w:val="nil"/>
              <w:left w:val="nil"/>
              <w:bottom w:val="nil"/>
              <w:right w:val="nil"/>
            </w:tcBorders>
            <w:shd w:val="clear" w:color="000000" w:fill="FFFFFF"/>
            <w:noWrap/>
            <w:vAlign w:val="center"/>
            <w:hideMark/>
          </w:tcPr>
          <w:p w14:paraId="77C97207"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907" w:type="dxa"/>
            <w:tcBorders>
              <w:top w:val="nil"/>
              <w:left w:val="nil"/>
              <w:bottom w:val="nil"/>
              <w:right w:val="nil"/>
            </w:tcBorders>
            <w:shd w:val="clear" w:color="000000" w:fill="FFFFFF"/>
            <w:noWrap/>
            <w:vAlign w:val="center"/>
            <w:hideMark/>
          </w:tcPr>
          <w:p w14:paraId="062869DD"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0.97</w:t>
            </w:r>
          </w:p>
        </w:tc>
        <w:tc>
          <w:tcPr>
            <w:tcW w:w="718" w:type="dxa"/>
            <w:tcBorders>
              <w:top w:val="nil"/>
              <w:left w:val="nil"/>
              <w:bottom w:val="nil"/>
              <w:right w:val="nil"/>
            </w:tcBorders>
            <w:shd w:val="clear" w:color="000000" w:fill="FFFFFF"/>
            <w:noWrap/>
            <w:vAlign w:val="center"/>
            <w:hideMark/>
          </w:tcPr>
          <w:p w14:paraId="5771E560"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950" w:type="dxa"/>
            <w:tcBorders>
              <w:top w:val="nil"/>
              <w:left w:val="nil"/>
              <w:bottom w:val="nil"/>
              <w:right w:val="nil"/>
            </w:tcBorders>
            <w:shd w:val="clear" w:color="000000" w:fill="FFFFFF"/>
            <w:noWrap/>
            <w:vAlign w:val="center"/>
            <w:hideMark/>
          </w:tcPr>
          <w:p w14:paraId="47798684"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845" w:type="dxa"/>
            <w:tcBorders>
              <w:top w:val="nil"/>
              <w:left w:val="nil"/>
              <w:bottom w:val="nil"/>
              <w:right w:val="nil"/>
            </w:tcBorders>
            <w:shd w:val="clear" w:color="000000" w:fill="FFFFFF"/>
            <w:noWrap/>
            <w:vAlign w:val="center"/>
            <w:hideMark/>
          </w:tcPr>
          <w:p w14:paraId="1C2A4C59"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0.002</w:t>
            </w:r>
          </w:p>
        </w:tc>
      </w:tr>
      <w:tr w:rsidR="00AF5D97" w:rsidRPr="004D453A" w14:paraId="3C1A2275" w14:textId="77777777" w:rsidTr="00961BD8">
        <w:trPr>
          <w:trHeight w:val="20"/>
          <w:jc w:val="center"/>
        </w:trPr>
        <w:tc>
          <w:tcPr>
            <w:tcW w:w="2340" w:type="dxa"/>
            <w:tcBorders>
              <w:top w:val="nil"/>
              <w:left w:val="nil"/>
              <w:bottom w:val="nil"/>
              <w:right w:val="nil"/>
            </w:tcBorders>
            <w:shd w:val="clear" w:color="000000" w:fill="FFFFFF"/>
            <w:noWrap/>
            <w:vAlign w:val="bottom"/>
          </w:tcPr>
          <w:p w14:paraId="32E10860" w14:textId="48A0E7F9" w:rsidR="00AF5D97" w:rsidRPr="00615CA1" w:rsidRDefault="00AF5D97" w:rsidP="00AF5D97">
            <w:pPr>
              <w:ind w:firstLine="523"/>
              <w:rPr>
                <w:rFonts w:ascii="Arial" w:hAnsi="Arial" w:cs="Arial"/>
                <w:i/>
                <w:iCs/>
                <w:color w:val="000000"/>
                <w:sz w:val="20"/>
                <w:szCs w:val="20"/>
              </w:rPr>
            </w:pPr>
            <w:proofErr w:type="spellStart"/>
            <w:r w:rsidRPr="004D453A">
              <w:rPr>
                <w:rFonts w:ascii="Arial" w:hAnsi="Arial" w:cs="Arial"/>
                <w:i/>
                <w:iCs/>
                <w:color w:val="000000"/>
                <w:sz w:val="20"/>
                <w:szCs w:val="20"/>
              </w:rPr>
              <w:t>P</w:t>
            </w:r>
            <w:r w:rsidRPr="004D453A">
              <w:rPr>
                <w:rFonts w:ascii="Arial" w:hAnsi="Arial" w:cs="Arial"/>
                <w:i/>
                <w:iCs/>
                <w:color w:val="000000"/>
                <w:sz w:val="20"/>
                <w:szCs w:val="20"/>
                <w:vertAlign w:val="subscript"/>
              </w:rPr>
              <w:t>heterogeneity</w:t>
            </w:r>
            <w:proofErr w:type="spellEnd"/>
          </w:p>
        </w:tc>
        <w:tc>
          <w:tcPr>
            <w:tcW w:w="907" w:type="dxa"/>
            <w:tcBorders>
              <w:top w:val="nil"/>
              <w:left w:val="nil"/>
              <w:bottom w:val="nil"/>
              <w:right w:val="nil"/>
            </w:tcBorders>
            <w:shd w:val="clear" w:color="000000" w:fill="FFFFFF"/>
            <w:noWrap/>
            <w:vAlign w:val="center"/>
          </w:tcPr>
          <w:p w14:paraId="7E0B1979" w14:textId="77777777" w:rsidR="00AF5D97" w:rsidRPr="004D453A" w:rsidRDefault="00AF5D97" w:rsidP="00AF5D97">
            <w:pPr>
              <w:jc w:val="center"/>
              <w:rPr>
                <w:rFonts w:ascii="Arial" w:eastAsia="Times New Roman" w:hAnsi="Arial" w:cs="Arial"/>
                <w:i/>
                <w:iCs/>
                <w:color w:val="000000"/>
                <w:sz w:val="20"/>
                <w:szCs w:val="20"/>
              </w:rPr>
            </w:pPr>
          </w:p>
        </w:tc>
        <w:tc>
          <w:tcPr>
            <w:tcW w:w="1907" w:type="dxa"/>
            <w:tcBorders>
              <w:top w:val="nil"/>
              <w:left w:val="nil"/>
              <w:bottom w:val="nil"/>
              <w:right w:val="nil"/>
            </w:tcBorders>
            <w:shd w:val="clear" w:color="000000" w:fill="FFFFFF"/>
            <w:noWrap/>
            <w:vAlign w:val="center"/>
          </w:tcPr>
          <w:p w14:paraId="0ADD258E" w14:textId="6250F8F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ref</w:t>
            </w:r>
          </w:p>
        </w:tc>
        <w:tc>
          <w:tcPr>
            <w:tcW w:w="718" w:type="dxa"/>
            <w:tcBorders>
              <w:top w:val="nil"/>
              <w:left w:val="nil"/>
              <w:bottom w:val="nil"/>
              <w:right w:val="nil"/>
            </w:tcBorders>
            <w:shd w:val="clear" w:color="000000" w:fill="FFFFFF"/>
            <w:noWrap/>
            <w:vAlign w:val="center"/>
          </w:tcPr>
          <w:p w14:paraId="60F66FF5" w14:textId="77777777" w:rsidR="00AF5D97" w:rsidRPr="004D453A" w:rsidRDefault="00AF5D97" w:rsidP="00AF5D97">
            <w:pPr>
              <w:jc w:val="center"/>
              <w:rPr>
                <w:rFonts w:ascii="Arial" w:eastAsia="Times New Roman" w:hAnsi="Arial" w:cs="Arial"/>
                <w:i/>
                <w:iCs/>
                <w:color w:val="000000"/>
                <w:sz w:val="20"/>
                <w:szCs w:val="20"/>
              </w:rPr>
            </w:pPr>
          </w:p>
        </w:tc>
        <w:tc>
          <w:tcPr>
            <w:tcW w:w="950" w:type="dxa"/>
            <w:tcBorders>
              <w:top w:val="nil"/>
              <w:left w:val="nil"/>
              <w:bottom w:val="nil"/>
              <w:right w:val="nil"/>
            </w:tcBorders>
            <w:shd w:val="clear" w:color="000000" w:fill="FFFFFF"/>
            <w:noWrap/>
            <w:vAlign w:val="center"/>
          </w:tcPr>
          <w:p w14:paraId="6931ECC2" w14:textId="77777777" w:rsidR="00AF5D97" w:rsidRPr="004D453A" w:rsidRDefault="00AF5D97" w:rsidP="00AF5D97">
            <w:pPr>
              <w:jc w:val="center"/>
              <w:rPr>
                <w:rFonts w:ascii="Arial" w:eastAsia="Times New Roman" w:hAnsi="Arial" w:cs="Arial"/>
                <w:i/>
                <w:iCs/>
                <w:color w:val="000000"/>
                <w:sz w:val="20"/>
                <w:szCs w:val="20"/>
              </w:rPr>
            </w:pPr>
          </w:p>
        </w:tc>
        <w:tc>
          <w:tcPr>
            <w:tcW w:w="1845" w:type="dxa"/>
            <w:tcBorders>
              <w:top w:val="nil"/>
              <w:left w:val="nil"/>
              <w:bottom w:val="nil"/>
              <w:right w:val="nil"/>
            </w:tcBorders>
            <w:shd w:val="clear" w:color="000000" w:fill="FFFFFF"/>
            <w:noWrap/>
            <w:vAlign w:val="center"/>
          </w:tcPr>
          <w:p w14:paraId="3B54B7C0" w14:textId="29CF53D8"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ref</w:t>
            </w:r>
          </w:p>
        </w:tc>
      </w:tr>
      <w:tr w:rsidR="00AF5D97" w:rsidRPr="004D453A" w14:paraId="49DBF064"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5EC40B4A" w14:textId="77777777" w:rsidR="00AF5D97" w:rsidRPr="004D453A" w:rsidRDefault="00AF5D97" w:rsidP="00AF5D97">
            <w:pPr>
              <w:ind w:left="343" w:hanging="90"/>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Moderate to severe</w:t>
            </w:r>
          </w:p>
        </w:tc>
        <w:tc>
          <w:tcPr>
            <w:tcW w:w="907" w:type="dxa"/>
            <w:tcBorders>
              <w:top w:val="nil"/>
              <w:left w:val="nil"/>
              <w:bottom w:val="nil"/>
              <w:right w:val="nil"/>
            </w:tcBorders>
            <w:shd w:val="clear" w:color="000000" w:fill="FFFFFF"/>
            <w:noWrap/>
            <w:vAlign w:val="center"/>
            <w:hideMark/>
          </w:tcPr>
          <w:p w14:paraId="21F1F93D"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907" w:type="dxa"/>
            <w:tcBorders>
              <w:top w:val="nil"/>
              <w:left w:val="nil"/>
              <w:bottom w:val="nil"/>
              <w:right w:val="nil"/>
            </w:tcBorders>
            <w:shd w:val="clear" w:color="000000" w:fill="FFFFFF"/>
            <w:noWrap/>
            <w:vAlign w:val="center"/>
            <w:hideMark/>
          </w:tcPr>
          <w:p w14:paraId="5AF36D74"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718" w:type="dxa"/>
            <w:tcBorders>
              <w:top w:val="nil"/>
              <w:left w:val="nil"/>
              <w:bottom w:val="nil"/>
              <w:right w:val="nil"/>
            </w:tcBorders>
            <w:shd w:val="clear" w:color="000000" w:fill="FFFFFF"/>
            <w:noWrap/>
            <w:vAlign w:val="center"/>
            <w:hideMark/>
          </w:tcPr>
          <w:p w14:paraId="47BAE23E"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67863BF6"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845" w:type="dxa"/>
            <w:tcBorders>
              <w:top w:val="nil"/>
              <w:left w:val="nil"/>
              <w:bottom w:val="nil"/>
              <w:right w:val="nil"/>
            </w:tcBorders>
            <w:shd w:val="clear" w:color="000000" w:fill="FFFFFF"/>
            <w:noWrap/>
            <w:vAlign w:val="center"/>
            <w:hideMark/>
          </w:tcPr>
          <w:p w14:paraId="23B74B99"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r>
      <w:tr w:rsidR="00AF5D97" w:rsidRPr="004D453A" w14:paraId="1CF770F3" w14:textId="77777777" w:rsidTr="00034351">
        <w:trPr>
          <w:trHeight w:val="20"/>
          <w:jc w:val="center"/>
        </w:trPr>
        <w:tc>
          <w:tcPr>
            <w:tcW w:w="2340" w:type="dxa"/>
            <w:tcBorders>
              <w:top w:val="nil"/>
              <w:left w:val="nil"/>
              <w:bottom w:val="nil"/>
              <w:right w:val="nil"/>
            </w:tcBorders>
            <w:shd w:val="clear" w:color="000000" w:fill="FFFFFF"/>
            <w:vAlign w:val="center"/>
            <w:hideMark/>
          </w:tcPr>
          <w:p w14:paraId="15A214EE"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907" w:type="dxa"/>
            <w:tcBorders>
              <w:top w:val="nil"/>
              <w:left w:val="nil"/>
              <w:bottom w:val="nil"/>
              <w:right w:val="nil"/>
            </w:tcBorders>
            <w:shd w:val="clear" w:color="000000" w:fill="FFFFFF"/>
            <w:noWrap/>
            <w:vAlign w:val="center"/>
            <w:hideMark/>
          </w:tcPr>
          <w:p w14:paraId="0609B7D2"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68</w:t>
            </w:r>
          </w:p>
        </w:tc>
        <w:tc>
          <w:tcPr>
            <w:tcW w:w="1907" w:type="dxa"/>
            <w:tcBorders>
              <w:top w:val="nil"/>
              <w:left w:val="nil"/>
              <w:bottom w:val="nil"/>
              <w:right w:val="nil"/>
            </w:tcBorders>
            <w:shd w:val="clear" w:color="000000" w:fill="FFFFFF"/>
            <w:noWrap/>
            <w:vAlign w:val="center"/>
            <w:hideMark/>
          </w:tcPr>
          <w:p w14:paraId="3DDDA019" w14:textId="74D130D8"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c>
          <w:tcPr>
            <w:tcW w:w="718" w:type="dxa"/>
            <w:tcBorders>
              <w:top w:val="nil"/>
              <w:left w:val="nil"/>
              <w:bottom w:val="nil"/>
              <w:right w:val="nil"/>
            </w:tcBorders>
            <w:shd w:val="clear" w:color="000000" w:fill="FFFFFF"/>
            <w:noWrap/>
            <w:vAlign w:val="center"/>
            <w:hideMark/>
          </w:tcPr>
          <w:p w14:paraId="7A53AA62"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76BC607E"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54</w:t>
            </w:r>
          </w:p>
        </w:tc>
        <w:tc>
          <w:tcPr>
            <w:tcW w:w="1845" w:type="dxa"/>
            <w:tcBorders>
              <w:top w:val="nil"/>
              <w:left w:val="nil"/>
              <w:bottom w:val="nil"/>
              <w:right w:val="nil"/>
            </w:tcBorders>
            <w:shd w:val="clear" w:color="000000" w:fill="FFFFFF"/>
            <w:noWrap/>
            <w:vAlign w:val="center"/>
            <w:hideMark/>
          </w:tcPr>
          <w:p w14:paraId="33CEBB62" w14:textId="05D32555"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1.00 (ref)</w:t>
            </w:r>
          </w:p>
        </w:tc>
      </w:tr>
      <w:tr w:rsidR="00AF5D97" w:rsidRPr="004D453A" w14:paraId="17C8615E"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5BB4E5A7"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907" w:type="dxa"/>
            <w:tcBorders>
              <w:top w:val="nil"/>
              <w:left w:val="nil"/>
              <w:bottom w:val="nil"/>
              <w:right w:val="nil"/>
            </w:tcBorders>
            <w:shd w:val="clear" w:color="000000" w:fill="FFFFFF"/>
            <w:noWrap/>
            <w:vAlign w:val="center"/>
            <w:hideMark/>
          </w:tcPr>
          <w:p w14:paraId="45DB2D88"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80</w:t>
            </w:r>
          </w:p>
        </w:tc>
        <w:tc>
          <w:tcPr>
            <w:tcW w:w="1907" w:type="dxa"/>
            <w:tcBorders>
              <w:top w:val="nil"/>
              <w:left w:val="nil"/>
              <w:bottom w:val="nil"/>
              <w:right w:val="nil"/>
            </w:tcBorders>
            <w:shd w:val="clear" w:color="000000" w:fill="FFFFFF"/>
            <w:noWrap/>
            <w:vAlign w:val="center"/>
            <w:hideMark/>
          </w:tcPr>
          <w:p w14:paraId="046E8989" w14:textId="0E46B0E9"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1.11 (0.77-1.62)</w:t>
            </w:r>
          </w:p>
        </w:tc>
        <w:tc>
          <w:tcPr>
            <w:tcW w:w="718" w:type="dxa"/>
            <w:tcBorders>
              <w:top w:val="nil"/>
              <w:left w:val="nil"/>
              <w:bottom w:val="nil"/>
              <w:right w:val="nil"/>
            </w:tcBorders>
            <w:shd w:val="clear" w:color="000000" w:fill="FFFFFF"/>
            <w:noWrap/>
            <w:vAlign w:val="center"/>
            <w:hideMark/>
          </w:tcPr>
          <w:p w14:paraId="1F9EF90E"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30C54EFA"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70</w:t>
            </w:r>
          </w:p>
        </w:tc>
        <w:tc>
          <w:tcPr>
            <w:tcW w:w="1845" w:type="dxa"/>
            <w:tcBorders>
              <w:top w:val="nil"/>
              <w:left w:val="nil"/>
              <w:bottom w:val="nil"/>
              <w:right w:val="nil"/>
            </w:tcBorders>
            <w:shd w:val="clear" w:color="000000" w:fill="FFFFFF"/>
            <w:noWrap/>
            <w:vAlign w:val="center"/>
            <w:hideMark/>
          </w:tcPr>
          <w:p w14:paraId="1C738BD6" w14:textId="48FD941D"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1.36 (0.91-2.02)</w:t>
            </w:r>
          </w:p>
        </w:tc>
      </w:tr>
      <w:tr w:rsidR="00AF5D97" w:rsidRPr="004D453A" w14:paraId="4DCAD007"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7D4C17B4"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907" w:type="dxa"/>
            <w:tcBorders>
              <w:top w:val="nil"/>
              <w:left w:val="nil"/>
              <w:bottom w:val="nil"/>
              <w:right w:val="nil"/>
            </w:tcBorders>
            <w:shd w:val="clear" w:color="000000" w:fill="FFFFFF"/>
            <w:noWrap/>
            <w:vAlign w:val="center"/>
            <w:hideMark/>
          </w:tcPr>
          <w:p w14:paraId="6B365C4F"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76</w:t>
            </w:r>
          </w:p>
        </w:tc>
        <w:tc>
          <w:tcPr>
            <w:tcW w:w="1907" w:type="dxa"/>
            <w:tcBorders>
              <w:top w:val="nil"/>
              <w:left w:val="nil"/>
              <w:bottom w:val="nil"/>
              <w:right w:val="nil"/>
            </w:tcBorders>
            <w:shd w:val="clear" w:color="000000" w:fill="FFFFFF"/>
            <w:noWrap/>
            <w:vAlign w:val="center"/>
            <w:hideMark/>
          </w:tcPr>
          <w:p w14:paraId="1F802FB9" w14:textId="43280296"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1.08 (0.74-1.58)</w:t>
            </w:r>
          </w:p>
        </w:tc>
        <w:tc>
          <w:tcPr>
            <w:tcW w:w="718" w:type="dxa"/>
            <w:tcBorders>
              <w:top w:val="nil"/>
              <w:left w:val="nil"/>
              <w:bottom w:val="nil"/>
              <w:right w:val="nil"/>
            </w:tcBorders>
            <w:shd w:val="clear" w:color="000000" w:fill="FFFFFF"/>
            <w:noWrap/>
            <w:vAlign w:val="center"/>
            <w:hideMark/>
          </w:tcPr>
          <w:p w14:paraId="13B38AC6"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69DF9B1B"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91</w:t>
            </w:r>
          </w:p>
        </w:tc>
        <w:tc>
          <w:tcPr>
            <w:tcW w:w="1845" w:type="dxa"/>
            <w:tcBorders>
              <w:top w:val="nil"/>
              <w:left w:val="nil"/>
              <w:bottom w:val="nil"/>
              <w:right w:val="nil"/>
            </w:tcBorders>
            <w:shd w:val="clear" w:color="000000" w:fill="FFFFFF"/>
            <w:noWrap/>
            <w:vAlign w:val="center"/>
            <w:hideMark/>
          </w:tcPr>
          <w:p w14:paraId="424E3818" w14:textId="70F81D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1.52 (1.04-2.22)</w:t>
            </w:r>
          </w:p>
        </w:tc>
      </w:tr>
      <w:tr w:rsidR="00AF5D97" w:rsidRPr="004D453A" w14:paraId="769B3A76"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789B782D"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907" w:type="dxa"/>
            <w:tcBorders>
              <w:top w:val="nil"/>
              <w:left w:val="nil"/>
              <w:bottom w:val="nil"/>
              <w:right w:val="nil"/>
            </w:tcBorders>
            <w:shd w:val="clear" w:color="000000" w:fill="FFFFFF"/>
            <w:noWrap/>
            <w:vAlign w:val="center"/>
            <w:hideMark/>
          </w:tcPr>
          <w:p w14:paraId="7F5E5C2B"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96</w:t>
            </w:r>
          </w:p>
        </w:tc>
        <w:tc>
          <w:tcPr>
            <w:tcW w:w="1907" w:type="dxa"/>
            <w:tcBorders>
              <w:top w:val="nil"/>
              <w:left w:val="nil"/>
              <w:bottom w:val="nil"/>
              <w:right w:val="nil"/>
            </w:tcBorders>
            <w:shd w:val="clear" w:color="000000" w:fill="FFFFFF"/>
            <w:noWrap/>
            <w:vAlign w:val="center"/>
            <w:hideMark/>
          </w:tcPr>
          <w:p w14:paraId="6202C758" w14:textId="798F4A6C"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1.38 (0.96-2.00)</w:t>
            </w:r>
          </w:p>
        </w:tc>
        <w:tc>
          <w:tcPr>
            <w:tcW w:w="718" w:type="dxa"/>
            <w:tcBorders>
              <w:top w:val="nil"/>
              <w:left w:val="nil"/>
              <w:bottom w:val="nil"/>
              <w:right w:val="nil"/>
            </w:tcBorders>
            <w:shd w:val="clear" w:color="000000" w:fill="FFFFFF"/>
            <w:noWrap/>
            <w:vAlign w:val="center"/>
            <w:hideMark/>
          </w:tcPr>
          <w:p w14:paraId="1FA66033"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4CC54737"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102</w:t>
            </w:r>
          </w:p>
        </w:tc>
        <w:tc>
          <w:tcPr>
            <w:tcW w:w="1845" w:type="dxa"/>
            <w:tcBorders>
              <w:top w:val="nil"/>
              <w:left w:val="nil"/>
              <w:bottom w:val="nil"/>
              <w:right w:val="nil"/>
            </w:tcBorders>
            <w:shd w:val="clear" w:color="000000" w:fill="FFFFFF"/>
            <w:noWrap/>
            <w:vAlign w:val="center"/>
            <w:hideMark/>
          </w:tcPr>
          <w:p w14:paraId="4749D5C8" w14:textId="09271C88"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1.73 (1.19-2.52)</w:t>
            </w:r>
          </w:p>
        </w:tc>
      </w:tr>
      <w:tr w:rsidR="00AF5D97" w:rsidRPr="004D453A" w14:paraId="61C9C9A1" w14:textId="77777777" w:rsidTr="00034351">
        <w:trPr>
          <w:trHeight w:val="20"/>
          <w:jc w:val="center"/>
        </w:trPr>
        <w:tc>
          <w:tcPr>
            <w:tcW w:w="2340" w:type="dxa"/>
            <w:tcBorders>
              <w:top w:val="nil"/>
              <w:left w:val="nil"/>
              <w:bottom w:val="nil"/>
              <w:right w:val="nil"/>
            </w:tcBorders>
            <w:shd w:val="clear" w:color="000000" w:fill="FFFFFF"/>
            <w:noWrap/>
            <w:vAlign w:val="center"/>
            <w:hideMark/>
          </w:tcPr>
          <w:p w14:paraId="3C1EB4C8" w14:textId="77777777" w:rsidR="00AF5D97" w:rsidRPr="004D453A" w:rsidRDefault="00AF5D97" w:rsidP="00AF5D97">
            <w:pPr>
              <w:ind w:firstLine="523"/>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907" w:type="dxa"/>
            <w:tcBorders>
              <w:top w:val="nil"/>
              <w:left w:val="nil"/>
              <w:bottom w:val="nil"/>
              <w:right w:val="nil"/>
            </w:tcBorders>
            <w:shd w:val="clear" w:color="000000" w:fill="FFFFFF"/>
            <w:noWrap/>
            <w:vAlign w:val="center"/>
            <w:hideMark/>
          </w:tcPr>
          <w:p w14:paraId="010A3680"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108</w:t>
            </w:r>
          </w:p>
        </w:tc>
        <w:tc>
          <w:tcPr>
            <w:tcW w:w="1907" w:type="dxa"/>
            <w:tcBorders>
              <w:top w:val="nil"/>
              <w:left w:val="nil"/>
              <w:bottom w:val="nil"/>
              <w:right w:val="nil"/>
            </w:tcBorders>
            <w:shd w:val="clear" w:color="000000" w:fill="FFFFFF"/>
            <w:noWrap/>
            <w:vAlign w:val="center"/>
            <w:hideMark/>
          </w:tcPr>
          <w:p w14:paraId="7FD977CE" w14:textId="3C7E344B"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1.55 (1.08-2.24)</w:t>
            </w:r>
          </w:p>
        </w:tc>
        <w:tc>
          <w:tcPr>
            <w:tcW w:w="718" w:type="dxa"/>
            <w:tcBorders>
              <w:top w:val="nil"/>
              <w:left w:val="nil"/>
              <w:bottom w:val="nil"/>
              <w:right w:val="nil"/>
            </w:tcBorders>
            <w:shd w:val="clear" w:color="000000" w:fill="FFFFFF"/>
            <w:noWrap/>
            <w:vAlign w:val="center"/>
            <w:hideMark/>
          </w:tcPr>
          <w:p w14:paraId="54D61997"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950" w:type="dxa"/>
            <w:tcBorders>
              <w:top w:val="nil"/>
              <w:left w:val="nil"/>
              <w:bottom w:val="nil"/>
              <w:right w:val="nil"/>
            </w:tcBorders>
            <w:shd w:val="clear" w:color="000000" w:fill="FFFFFF"/>
            <w:noWrap/>
            <w:vAlign w:val="center"/>
            <w:hideMark/>
          </w:tcPr>
          <w:p w14:paraId="34A08FB2" w14:textId="77777777"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111</w:t>
            </w:r>
          </w:p>
        </w:tc>
        <w:tc>
          <w:tcPr>
            <w:tcW w:w="1845" w:type="dxa"/>
            <w:tcBorders>
              <w:top w:val="nil"/>
              <w:left w:val="nil"/>
              <w:bottom w:val="nil"/>
              <w:right w:val="nil"/>
            </w:tcBorders>
            <w:shd w:val="clear" w:color="000000" w:fill="FFFFFF"/>
            <w:noWrap/>
            <w:vAlign w:val="center"/>
            <w:hideMark/>
          </w:tcPr>
          <w:p w14:paraId="0EB57157" w14:textId="50A90580" w:rsidR="00AF5D97" w:rsidRPr="004D453A" w:rsidRDefault="00AF5D97" w:rsidP="00AF5D97">
            <w:pPr>
              <w:jc w:val="center"/>
              <w:rPr>
                <w:rFonts w:ascii="Arial" w:eastAsia="Times New Roman" w:hAnsi="Arial" w:cs="Arial"/>
                <w:color w:val="000000"/>
                <w:sz w:val="20"/>
                <w:szCs w:val="20"/>
              </w:rPr>
            </w:pPr>
            <w:r w:rsidRPr="004D453A">
              <w:rPr>
                <w:rFonts w:ascii="Arial" w:eastAsia="Times New Roman" w:hAnsi="Arial" w:cs="Arial"/>
                <w:color w:val="000000"/>
                <w:sz w:val="20"/>
                <w:szCs w:val="20"/>
              </w:rPr>
              <w:t>2.23 (1.55-3.25)</w:t>
            </w:r>
          </w:p>
        </w:tc>
      </w:tr>
      <w:tr w:rsidR="00AF5D97" w:rsidRPr="004D453A" w14:paraId="49FC2E97" w14:textId="77777777" w:rsidTr="00961BD8">
        <w:trPr>
          <w:trHeight w:val="20"/>
          <w:jc w:val="center"/>
        </w:trPr>
        <w:tc>
          <w:tcPr>
            <w:tcW w:w="2340" w:type="dxa"/>
            <w:tcBorders>
              <w:top w:val="nil"/>
              <w:left w:val="nil"/>
              <w:bottom w:val="nil"/>
              <w:right w:val="nil"/>
            </w:tcBorders>
            <w:shd w:val="clear" w:color="000000" w:fill="FFFFFF"/>
            <w:noWrap/>
            <w:vAlign w:val="center"/>
            <w:hideMark/>
          </w:tcPr>
          <w:p w14:paraId="15491A14" w14:textId="3AABB9BE" w:rsidR="00AF5D97" w:rsidRPr="004D453A" w:rsidRDefault="00AF5D97" w:rsidP="00AF5D97">
            <w:pPr>
              <w:ind w:firstLine="523"/>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907" w:type="dxa"/>
            <w:tcBorders>
              <w:top w:val="nil"/>
              <w:left w:val="nil"/>
              <w:bottom w:val="nil"/>
              <w:right w:val="nil"/>
            </w:tcBorders>
            <w:shd w:val="clear" w:color="000000" w:fill="FFFFFF"/>
            <w:noWrap/>
            <w:vAlign w:val="center"/>
            <w:hideMark/>
          </w:tcPr>
          <w:p w14:paraId="307A3D05"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907" w:type="dxa"/>
            <w:tcBorders>
              <w:top w:val="nil"/>
              <w:left w:val="nil"/>
              <w:bottom w:val="nil"/>
              <w:right w:val="nil"/>
            </w:tcBorders>
            <w:shd w:val="clear" w:color="000000" w:fill="FFFFFF"/>
            <w:noWrap/>
            <w:vAlign w:val="center"/>
            <w:hideMark/>
          </w:tcPr>
          <w:p w14:paraId="5C83B4CB"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0.01</w:t>
            </w:r>
          </w:p>
        </w:tc>
        <w:tc>
          <w:tcPr>
            <w:tcW w:w="718" w:type="dxa"/>
            <w:tcBorders>
              <w:top w:val="nil"/>
              <w:left w:val="nil"/>
              <w:bottom w:val="nil"/>
              <w:right w:val="nil"/>
            </w:tcBorders>
            <w:shd w:val="clear" w:color="000000" w:fill="FFFFFF"/>
            <w:noWrap/>
            <w:vAlign w:val="center"/>
            <w:hideMark/>
          </w:tcPr>
          <w:p w14:paraId="43BBB0A1"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950" w:type="dxa"/>
            <w:tcBorders>
              <w:top w:val="nil"/>
              <w:left w:val="nil"/>
              <w:bottom w:val="nil"/>
              <w:right w:val="nil"/>
            </w:tcBorders>
            <w:shd w:val="clear" w:color="000000" w:fill="FFFFFF"/>
            <w:noWrap/>
            <w:vAlign w:val="center"/>
            <w:hideMark/>
          </w:tcPr>
          <w:p w14:paraId="1273E503"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 </w:t>
            </w:r>
          </w:p>
        </w:tc>
        <w:tc>
          <w:tcPr>
            <w:tcW w:w="1845" w:type="dxa"/>
            <w:tcBorders>
              <w:top w:val="nil"/>
              <w:left w:val="nil"/>
              <w:bottom w:val="nil"/>
              <w:right w:val="nil"/>
            </w:tcBorders>
            <w:shd w:val="clear" w:color="000000" w:fill="FFFFFF"/>
            <w:noWrap/>
            <w:vAlign w:val="center"/>
            <w:hideMark/>
          </w:tcPr>
          <w:p w14:paraId="03255360" w14:textId="77777777"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&lt;0.0001</w:t>
            </w:r>
          </w:p>
        </w:tc>
      </w:tr>
      <w:tr w:rsidR="00AF5D97" w:rsidRPr="004D453A" w14:paraId="448D833F" w14:textId="77777777" w:rsidTr="00961BD8">
        <w:trPr>
          <w:trHeight w:val="20"/>
          <w:jc w:val="center"/>
        </w:trPr>
        <w:tc>
          <w:tcPr>
            <w:tcW w:w="2340" w:type="dxa"/>
            <w:tcBorders>
              <w:top w:val="nil"/>
              <w:left w:val="nil"/>
              <w:bottom w:val="single" w:sz="4" w:space="0" w:color="auto"/>
              <w:right w:val="nil"/>
            </w:tcBorders>
            <w:shd w:val="clear" w:color="000000" w:fill="FFFFFF"/>
            <w:noWrap/>
            <w:vAlign w:val="bottom"/>
          </w:tcPr>
          <w:p w14:paraId="2DF7F4F8" w14:textId="21CA30BA" w:rsidR="00AF5D97" w:rsidRPr="00615CA1" w:rsidRDefault="00AF5D97" w:rsidP="00AF5D97">
            <w:pPr>
              <w:ind w:firstLine="523"/>
              <w:rPr>
                <w:rFonts w:ascii="Arial" w:hAnsi="Arial" w:cs="Arial"/>
                <w:i/>
                <w:iCs/>
                <w:color w:val="000000"/>
                <w:sz w:val="20"/>
                <w:szCs w:val="20"/>
              </w:rPr>
            </w:pPr>
            <w:proofErr w:type="spellStart"/>
            <w:r w:rsidRPr="004D453A">
              <w:rPr>
                <w:rFonts w:ascii="Arial" w:hAnsi="Arial" w:cs="Arial"/>
                <w:i/>
                <w:iCs/>
                <w:color w:val="000000"/>
                <w:sz w:val="20"/>
                <w:szCs w:val="20"/>
              </w:rPr>
              <w:t>P</w:t>
            </w:r>
            <w:r w:rsidRPr="004D453A">
              <w:rPr>
                <w:rFonts w:ascii="Arial" w:hAnsi="Arial" w:cs="Arial"/>
                <w:i/>
                <w:iCs/>
                <w:color w:val="000000"/>
                <w:sz w:val="20"/>
                <w:szCs w:val="20"/>
                <w:vertAlign w:val="subscript"/>
              </w:rPr>
              <w:t>heterogeneity</w:t>
            </w:r>
            <w:proofErr w:type="spellEnd"/>
          </w:p>
        </w:tc>
        <w:tc>
          <w:tcPr>
            <w:tcW w:w="907" w:type="dxa"/>
            <w:tcBorders>
              <w:top w:val="nil"/>
              <w:left w:val="nil"/>
              <w:bottom w:val="single" w:sz="4" w:space="0" w:color="auto"/>
              <w:right w:val="nil"/>
            </w:tcBorders>
            <w:shd w:val="clear" w:color="000000" w:fill="FFFFFF"/>
            <w:noWrap/>
            <w:vAlign w:val="center"/>
          </w:tcPr>
          <w:p w14:paraId="1C7D9B33" w14:textId="77777777" w:rsidR="00AF5D97" w:rsidRPr="004D453A" w:rsidRDefault="00AF5D97" w:rsidP="00AF5D97">
            <w:pPr>
              <w:jc w:val="center"/>
              <w:rPr>
                <w:rFonts w:ascii="Arial" w:eastAsia="Times New Roman" w:hAnsi="Arial" w:cs="Arial"/>
                <w:i/>
                <w:iCs/>
                <w:color w:val="000000"/>
                <w:sz w:val="20"/>
                <w:szCs w:val="20"/>
              </w:rPr>
            </w:pPr>
          </w:p>
        </w:tc>
        <w:tc>
          <w:tcPr>
            <w:tcW w:w="1907" w:type="dxa"/>
            <w:tcBorders>
              <w:top w:val="nil"/>
              <w:left w:val="nil"/>
              <w:bottom w:val="single" w:sz="4" w:space="0" w:color="auto"/>
              <w:right w:val="nil"/>
            </w:tcBorders>
            <w:shd w:val="clear" w:color="000000" w:fill="FFFFFF"/>
            <w:noWrap/>
            <w:vAlign w:val="center"/>
          </w:tcPr>
          <w:p w14:paraId="19B7A37C" w14:textId="381080C6"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0.20</w:t>
            </w:r>
          </w:p>
        </w:tc>
        <w:tc>
          <w:tcPr>
            <w:tcW w:w="718" w:type="dxa"/>
            <w:tcBorders>
              <w:top w:val="nil"/>
              <w:left w:val="nil"/>
              <w:bottom w:val="single" w:sz="4" w:space="0" w:color="auto"/>
              <w:right w:val="nil"/>
            </w:tcBorders>
            <w:shd w:val="clear" w:color="000000" w:fill="FFFFFF"/>
            <w:noWrap/>
            <w:vAlign w:val="center"/>
          </w:tcPr>
          <w:p w14:paraId="3507891D" w14:textId="77777777" w:rsidR="00AF5D97" w:rsidRPr="004D453A" w:rsidRDefault="00AF5D97" w:rsidP="00AF5D97">
            <w:pPr>
              <w:jc w:val="center"/>
              <w:rPr>
                <w:rFonts w:ascii="Arial" w:eastAsia="Times New Roman" w:hAnsi="Arial" w:cs="Arial"/>
                <w:i/>
                <w:iCs/>
                <w:color w:val="000000"/>
                <w:sz w:val="20"/>
                <w:szCs w:val="20"/>
              </w:rPr>
            </w:pPr>
          </w:p>
        </w:tc>
        <w:tc>
          <w:tcPr>
            <w:tcW w:w="950" w:type="dxa"/>
            <w:tcBorders>
              <w:top w:val="nil"/>
              <w:left w:val="nil"/>
              <w:bottom w:val="single" w:sz="4" w:space="0" w:color="auto"/>
              <w:right w:val="nil"/>
            </w:tcBorders>
            <w:shd w:val="clear" w:color="000000" w:fill="FFFFFF"/>
            <w:noWrap/>
            <w:vAlign w:val="center"/>
          </w:tcPr>
          <w:p w14:paraId="7D23F8CB" w14:textId="77777777" w:rsidR="00AF5D97" w:rsidRPr="004D453A" w:rsidRDefault="00AF5D97" w:rsidP="00AF5D97">
            <w:pPr>
              <w:jc w:val="center"/>
              <w:rPr>
                <w:rFonts w:ascii="Arial" w:eastAsia="Times New Roman" w:hAnsi="Arial" w:cs="Arial"/>
                <w:i/>
                <w:iCs/>
                <w:color w:val="000000"/>
                <w:sz w:val="20"/>
                <w:szCs w:val="20"/>
              </w:rPr>
            </w:pPr>
          </w:p>
        </w:tc>
        <w:tc>
          <w:tcPr>
            <w:tcW w:w="1845" w:type="dxa"/>
            <w:tcBorders>
              <w:top w:val="nil"/>
              <w:left w:val="nil"/>
              <w:bottom w:val="single" w:sz="4" w:space="0" w:color="auto"/>
              <w:right w:val="nil"/>
            </w:tcBorders>
            <w:shd w:val="clear" w:color="000000" w:fill="FFFFFF"/>
            <w:noWrap/>
            <w:vAlign w:val="center"/>
          </w:tcPr>
          <w:p w14:paraId="680C8D16" w14:textId="56410732" w:rsidR="00AF5D97" w:rsidRPr="004D453A" w:rsidRDefault="00AF5D97" w:rsidP="00AF5D97">
            <w:pPr>
              <w:jc w:val="center"/>
              <w:rPr>
                <w:rFonts w:ascii="Arial" w:eastAsia="Times New Roman" w:hAnsi="Arial" w:cs="Arial"/>
                <w:i/>
                <w:iCs/>
                <w:color w:val="000000"/>
                <w:sz w:val="20"/>
                <w:szCs w:val="20"/>
              </w:rPr>
            </w:pPr>
            <w:r w:rsidRPr="004D453A">
              <w:rPr>
                <w:rFonts w:ascii="Arial" w:eastAsia="Times New Roman" w:hAnsi="Arial" w:cs="Arial"/>
                <w:i/>
                <w:iCs/>
                <w:color w:val="000000"/>
                <w:sz w:val="20"/>
                <w:szCs w:val="20"/>
              </w:rPr>
              <w:t>0.37</w:t>
            </w:r>
          </w:p>
        </w:tc>
      </w:tr>
    </w:tbl>
    <w:p w14:paraId="6A9430D8" w14:textId="77777777" w:rsidR="004433F3" w:rsidRPr="004D453A" w:rsidRDefault="004433F3" w:rsidP="004433F3">
      <w:pPr>
        <w:rPr>
          <w:rFonts w:ascii="Arial" w:hAnsi="Arial" w:cs="Arial"/>
          <w:color w:val="000000" w:themeColor="text1"/>
          <w:sz w:val="20"/>
          <w:szCs w:val="20"/>
        </w:rPr>
      </w:pPr>
      <w:r w:rsidRPr="004D453A">
        <w:rPr>
          <w:rFonts w:ascii="Arial" w:hAnsi="Arial" w:cs="Arial"/>
          <w:color w:val="000000" w:themeColor="text1"/>
          <w:sz w:val="20"/>
          <w:szCs w:val="20"/>
        </w:rPr>
        <w:t>Abbreviations:  BMI, body mass index; CI, confidence interval; CPRU, Cancer Prevention Research Unit; DIS, dietary inflammation score; LIS, lifestyle inflammation score; MAP, Markers of Adenomatous Polyps; MET, metabolic equivalents of task; OR, odds ratio</w:t>
      </w:r>
    </w:p>
    <w:p w14:paraId="5222C514" w14:textId="01896C95" w:rsidR="004433F3" w:rsidRPr="004D453A" w:rsidRDefault="004433F3" w:rsidP="007F6826">
      <w:pPr>
        <w:ind w:left="90" w:hanging="90"/>
        <w:rPr>
          <w:rFonts w:ascii="Arial" w:hAnsi="Arial" w:cs="Arial"/>
          <w:color w:val="000000" w:themeColor="text1"/>
          <w:sz w:val="20"/>
          <w:szCs w:val="20"/>
        </w:rPr>
      </w:pPr>
      <w:proofErr w:type="spellStart"/>
      <w:r w:rsidRPr="004D453A">
        <w:rPr>
          <w:rFonts w:ascii="Arial" w:hAnsi="Arial" w:cs="Arial"/>
          <w:color w:val="000000" w:themeColor="text1"/>
          <w:sz w:val="20"/>
          <w:szCs w:val="20"/>
          <w:vertAlign w:val="superscript"/>
        </w:rPr>
        <w:lastRenderedPageBreak/>
        <w:t>a</w:t>
      </w:r>
      <w:proofErr w:type="spellEnd"/>
      <w:r w:rsidRPr="004D453A">
        <w:rPr>
          <w:rFonts w:ascii="Arial" w:hAnsi="Arial" w:cs="Arial"/>
          <w:color w:val="000000" w:themeColor="text1"/>
          <w:sz w:val="20"/>
          <w:szCs w:val="20"/>
        </w:rPr>
        <w:t xml:space="preserve"> For construction of </w:t>
      </w:r>
      <w:r w:rsidR="00F65354" w:rsidRPr="004D453A">
        <w:rPr>
          <w:rFonts w:ascii="Arial" w:hAnsi="Arial" w:cs="Arial"/>
          <w:color w:val="000000" w:themeColor="text1"/>
          <w:sz w:val="20"/>
          <w:szCs w:val="20"/>
        </w:rPr>
        <w:t xml:space="preserve">the </w:t>
      </w:r>
      <w:r w:rsidRPr="004D453A">
        <w:rPr>
          <w:rFonts w:ascii="Arial" w:hAnsi="Arial" w:cs="Arial"/>
          <w:color w:val="000000" w:themeColor="text1"/>
          <w:sz w:val="20"/>
          <w:szCs w:val="20"/>
        </w:rPr>
        <w:t>inflammation score</w:t>
      </w:r>
      <w:r w:rsidR="00F65354" w:rsidRPr="004D453A">
        <w:rPr>
          <w:rFonts w:ascii="Arial" w:hAnsi="Arial" w:cs="Arial"/>
          <w:color w:val="000000" w:themeColor="text1"/>
          <w:sz w:val="20"/>
          <w:szCs w:val="20"/>
        </w:rPr>
        <w:t>s</w:t>
      </w:r>
      <w:r w:rsidRPr="004D453A">
        <w:rPr>
          <w:rFonts w:ascii="Arial" w:hAnsi="Arial" w:cs="Arial"/>
          <w:color w:val="000000" w:themeColor="text1"/>
          <w:sz w:val="20"/>
          <w:szCs w:val="20"/>
        </w:rPr>
        <w:t>, see text and Table 1; higher scores indicate a higher balance of pro- versus anti-inflammatory exposures</w:t>
      </w:r>
    </w:p>
    <w:p w14:paraId="1AEF7EB6" w14:textId="720CEF83" w:rsidR="004433F3" w:rsidRPr="004D453A" w:rsidRDefault="004433F3" w:rsidP="004433F3">
      <w:pPr>
        <w:ind w:left="144" w:hanging="144"/>
        <w:rPr>
          <w:rFonts w:ascii="Arial" w:hAnsi="Arial" w:cs="Arial"/>
          <w:color w:val="000000" w:themeColor="text1"/>
          <w:sz w:val="20"/>
          <w:szCs w:val="20"/>
        </w:rPr>
      </w:pPr>
      <w:r w:rsidRPr="004D453A">
        <w:rPr>
          <w:rFonts w:ascii="Arial" w:hAnsi="Arial" w:cs="Arial"/>
          <w:color w:val="000000" w:themeColor="text1"/>
          <w:sz w:val="20"/>
          <w:szCs w:val="20"/>
          <w:vertAlign w:val="superscript"/>
        </w:rPr>
        <w:t>b</w:t>
      </w:r>
      <w:r w:rsidRPr="004D453A">
        <w:rPr>
          <w:rFonts w:ascii="Arial" w:hAnsi="Arial" w:cs="Arial"/>
          <w:color w:val="000000" w:themeColor="text1"/>
          <w:sz w:val="20"/>
          <w:szCs w:val="20"/>
        </w:rPr>
        <w:t xml:space="preserve"> Covariates in the DIS unconditional logistic regression models were:  age, sex, education (less than college graduate or college graduate or higher), NSAID/aspirin </w:t>
      </w:r>
      <w:r w:rsidR="00F65354" w:rsidRPr="004D453A">
        <w:rPr>
          <w:rFonts w:ascii="Arial" w:hAnsi="Arial" w:cs="Arial"/>
          <w:color w:val="000000" w:themeColor="text1"/>
          <w:sz w:val="20"/>
          <w:szCs w:val="20"/>
        </w:rPr>
        <w:t xml:space="preserve">use </w:t>
      </w:r>
      <w:r w:rsidRPr="004D453A">
        <w:rPr>
          <w:rFonts w:ascii="Arial" w:hAnsi="Arial" w:cs="Arial"/>
          <w:color w:val="000000" w:themeColor="text1"/>
          <w:sz w:val="20"/>
          <w:szCs w:val="20"/>
        </w:rPr>
        <w:t>(</w:t>
      </w:r>
      <w:r w:rsidR="00F65354" w:rsidRPr="004D453A">
        <w:rPr>
          <w:rFonts w:ascii="Arial" w:hAnsi="Arial" w:cs="Arial"/>
          <w:color w:val="000000" w:themeColor="text1"/>
          <w:sz w:val="20"/>
          <w:szCs w:val="20"/>
        </w:rPr>
        <w:t>&lt;/</w:t>
      </w:r>
      <w:r w:rsidRPr="004D453A">
        <w:rPr>
          <w:rFonts w:ascii="Arial" w:hAnsi="Arial" w:cs="Arial"/>
          <w:color w:val="000000" w:themeColor="text1"/>
          <w:sz w:val="20"/>
          <w:szCs w:val="20"/>
        </w:rPr>
        <w:t>≥ once/week), hormone therapy use (among women), family history of colorectal cancer in a first degree relative (yes/no), smoking status (never, former, or current smoker), BMI (kg/m</w:t>
      </w:r>
      <w:r w:rsidRPr="004D453A">
        <w:rPr>
          <w:rFonts w:ascii="Arial" w:hAnsi="Arial" w:cs="Arial"/>
          <w:color w:val="000000" w:themeColor="text1"/>
          <w:sz w:val="20"/>
          <w:szCs w:val="20"/>
          <w:vertAlign w:val="superscript"/>
        </w:rPr>
        <w:t>2</w:t>
      </w:r>
      <w:r w:rsidRPr="004D453A">
        <w:rPr>
          <w:rFonts w:ascii="Arial" w:hAnsi="Arial" w:cs="Arial"/>
          <w:color w:val="000000" w:themeColor="text1"/>
          <w:sz w:val="20"/>
          <w:szCs w:val="20"/>
        </w:rPr>
        <w:t>), alcohol intake (non-drinker, moderate drinker, or heavy drinker), physical activity (categorized into tertiles of MET-hours/wk), total energy intake (kcal/day), and study (MAP I, MAP II, or CPRU)</w:t>
      </w:r>
    </w:p>
    <w:p w14:paraId="70DCDBEA" w14:textId="33FE5A34" w:rsidR="004433F3" w:rsidRPr="004D453A" w:rsidRDefault="004433F3" w:rsidP="004433F3">
      <w:pPr>
        <w:ind w:left="144" w:hanging="144"/>
        <w:rPr>
          <w:rFonts w:ascii="Arial" w:hAnsi="Arial" w:cs="Arial"/>
          <w:color w:val="000000" w:themeColor="text1"/>
          <w:sz w:val="20"/>
          <w:szCs w:val="20"/>
        </w:rPr>
      </w:pPr>
      <w:r w:rsidRPr="004D453A">
        <w:rPr>
          <w:rFonts w:ascii="Arial" w:hAnsi="Arial" w:cs="Arial"/>
          <w:color w:val="000000" w:themeColor="text1"/>
          <w:sz w:val="20"/>
          <w:szCs w:val="20"/>
          <w:vertAlign w:val="superscript"/>
        </w:rPr>
        <w:t xml:space="preserve">c </w:t>
      </w:r>
      <w:r w:rsidRPr="004D453A">
        <w:rPr>
          <w:rFonts w:ascii="Arial" w:hAnsi="Arial" w:cs="Arial"/>
          <w:color w:val="000000" w:themeColor="text1"/>
          <w:sz w:val="20"/>
          <w:szCs w:val="20"/>
        </w:rPr>
        <w:t xml:space="preserve">Covariates in the LIS unconditional logistic regression models were: </w:t>
      </w:r>
      <w:r w:rsidR="00F65354" w:rsidRPr="004D453A">
        <w:rPr>
          <w:rFonts w:ascii="Arial" w:hAnsi="Arial" w:cs="Arial"/>
          <w:color w:val="000000" w:themeColor="text1"/>
          <w:sz w:val="20"/>
          <w:szCs w:val="20"/>
        </w:rPr>
        <w:t xml:space="preserve"> </w:t>
      </w:r>
      <w:r w:rsidRPr="004D453A">
        <w:rPr>
          <w:rFonts w:ascii="Arial" w:hAnsi="Arial" w:cs="Arial"/>
          <w:color w:val="000000" w:themeColor="text1"/>
          <w:sz w:val="20"/>
          <w:szCs w:val="20"/>
        </w:rPr>
        <w:t xml:space="preserve">age, sex, </w:t>
      </w:r>
      <w:r w:rsidR="00F65354" w:rsidRPr="004D453A">
        <w:rPr>
          <w:rFonts w:ascii="Arial" w:hAnsi="Arial" w:cs="Arial"/>
          <w:color w:val="000000" w:themeColor="text1"/>
          <w:sz w:val="20"/>
          <w:szCs w:val="20"/>
        </w:rPr>
        <w:t>NSAID/aspirin use (&lt;/≥ once/week)</w:t>
      </w:r>
      <w:r w:rsidRPr="004D453A">
        <w:rPr>
          <w:rFonts w:ascii="Arial" w:hAnsi="Arial" w:cs="Arial"/>
          <w:color w:val="000000" w:themeColor="text1"/>
          <w:sz w:val="20"/>
          <w:szCs w:val="20"/>
        </w:rPr>
        <w:t>, hormone therapy use (among women), family history of colorectal cancer in a first degree relative (yes/no), former smoking status (former smoker or non-former smoker), total energy intake (kcal/day), study (MAP I, MAP II, or CPRU), and the equally-weighted DIS</w:t>
      </w:r>
    </w:p>
    <w:p w14:paraId="0791A71C" w14:textId="77777777" w:rsidR="00896323" w:rsidRPr="004D453A" w:rsidRDefault="00896323" w:rsidP="004433F3">
      <w:pPr>
        <w:pStyle w:val="TableofFigures"/>
        <w:rPr>
          <w:rFonts w:ascii="Arial" w:hAnsi="Arial" w:cs="Arial"/>
          <w:b/>
        </w:rPr>
        <w:sectPr w:rsidR="00896323" w:rsidRPr="004D453A" w:rsidSect="00E95E29">
          <w:pgSz w:w="15840" w:h="12240" w:orient="landscape"/>
          <w:pgMar w:top="1440" w:right="720" w:bottom="1440" w:left="720" w:header="720" w:footer="720" w:gutter="0"/>
          <w:cols w:space="720"/>
          <w:docGrid w:linePitch="360"/>
        </w:sectPr>
      </w:pPr>
      <w:bookmarkStart w:id="2" w:name="_Toc532469742"/>
    </w:p>
    <w:p w14:paraId="79C499DC" w14:textId="3FD75887" w:rsidR="004433F3" w:rsidRPr="004D453A" w:rsidRDefault="00695191" w:rsidP="004433F3">
      <w:pPr>
        <w:pStyle w:val="TableofFigures"/>
        <w:rPr>
          <w:rFonts w:ascii="Arial" w:hAnsi="Arial" w:cs="Arial"/>
          <w:sz w:val="20"/>
          <w:szCs w:val="20"/>
        </w:rPr>
      </w:pPr>
      <w:r w:rsidRPr="004D453A">
        <w:rPr>
          <w:rFonts w:ascii="Arial" w:hAnsi="Arial" w:cs="Arial"/>
          <w:b/>
          <w:sz w:val="20"/>
          <w:szCs w:val="20"/>
        </w:rPr>
        <w:lastRenderedPageBreak/>
        <w:t>Supplemental Table</w:t>
      </w:r>
      <w:r w:rsidR="004433F3" w:rsidRPr="004D453A">
        <w:rPr>
          <w:rFonts w:ascii="Arial" w:hAnsi="Arial" w:cs="Arial"/>
          <w:b/>
          <w:sz w:val="20"/>
          <w:szCs w:val="20"/>
        </w:rPr>
        <w:t xml:space="preserve"> 3.  </w:t>
      </w:r>
      <w:r w:rsidR="004433F3" w:rsidRPr="004D453A">
        <w:rPr>
          <w:rFonts w:ascii="Arial" w:hAnsi="Arial" w:cs="Arial"/>
          <w:sz w:val="20"/>
          <w:szCs w:val="20"/>
        </w:rPr>
        <w:t xml:space="preserve">Multivariable-adjusted associations of the </w:t>
      </w:r>
      <w:r w:rsidR="009C57D6" w:rsidRPr="004D453A">
        <w:rPr>
          <w:rFonts w:ascii="Arial" w:hAnsi="Arial" w:cs="Arial"/>
          <w:sz w:val="20"/>
          <w:szCs w:val="20"/>
        </w:rPr>
        <w:t xml:space="preserve">dietary (DIS) and lifestyle (LIS) inflammation scores </w:t>
      </w:r>
      <w:r w:rsidR="004433F3" w:rsidRPr="004D453A">
        <w:rPr>
          <w:rFonts w:ascii="Arial" w:hAnsi="Arial" w:cs="Arial"/>
          <w:sz w:val="20"/>
          <w:szCs w:val="20"/>
        </w:rPr>
        <w:t>with incident, sporadic colorectal adenoma in three pooled case-control studies (CPRU Study, 1991</w:t>
      </w:r>
      <w:r w:rsidR="009C57D6" w:rsidRPr="004D453A">
        <w:rPr>
          <w:rFonts w:ascii="Arial" w:hAnsi="Arial" w:cs="Arial"/>
          <w:sz w:val="20"/>
          <w:szCs w:val="20"/>
        </w:rPr>
        <w:t xml:space="preserve"> </w:t>
      </w:r>
      <w:r w:rsidR="004433F3" w:rsidRPr="004D453A">
        <w:rPr>
          <w:rFonts w:ascii="Arial" w:hAnsi="Arial" w:cs="Arial"/>
          <w:sz w:val="20"/>
          <w:szCs w:val="20"/>
        </w:rPr>
        <w:t>–</w:t>
      </w:r>
      <w:r w:rsidR="009C57D6" w:rsidRPr="004D453A">
        <w:rPr>
          <w:rFonts w:ascii="Arial" w:hAnsi="Arial" w:cs="Arial"/>
          <w:sz w:val="20"/>
          <w:szCs w:val="20"/>
        </w:rPr>
        <w:t xml:space="preserve"> </w:t>
      </w:r>
      <w:r w:rsidR="004433F3" w:rsidRPr="004D453A">
        <w:rPr>
          <w:rFonts w:ascii="Arial" w:hAnsi="Arial" w:cs="Arial"/>
          <w:sz w:val="20"/>
          <w:szCs w:val="20"/>
        </w:rPr>
        <w:t>1994; MAP I Study, 1994</w:t>
      </w:r>
      <w:r w:rsidR="009C57D6" w:rsidRPr="004D453A">
        <w:rPr>
          <w:rFonts w:ascii="Arial" w:hAnsi="Arial" w:cs="Arial"/>
          <w:sz w:val="20"/>
          <w:szCs w:val="20"/>
        </w:rPr>
        <w:t xml:space="preserve"> </w:t>
      </w:r>
      <w:r w:rsidR="004433F3" w:rsidRPr="004D453A">
        <w:rPr>
          <w:rFonts w:ascii="Arial" w:hAnsi="Arial" w:cs="Arial"/>
          <w:sz w:val="20"/>
          <w:szCs w:val="20"/>
        </w:rPr>
        <w:t>–</w:t>
      </w:r>
      <w:r w:rsidR="009C57D6" w:rsidRPr="004D453A">
        <w:rPr>
          <w:rFonts w:ascii="Arial" w:hAnsi="Arial" w:cs="Arial"/>
          <w:sz w:val="20"/>
          <w:szCs w:val="20"/>
        </w:rPr>
        <w:t xml:space="preserve"> </w:t>
      </w:r>
      <w:r w:rsidR="004433F3" w:rsidRPr="004D453A">
        <w:rPr>
          <w:rFonts w:ascii="Arial" w:hAnsi="Arial" w:cs="Arial"/>
          <w:sz w:val="20"/>
          <w:szCs w:val="20"/>
        </w:rPr>
        <w:t>1997; and MAP II Study, 2002), according to selected participant characteristics</w:t>
      </w:r>
      <w:bookmarkEnd w:id="2"/>
    </w:p>
    <w:tbl>
      <w:tblPr>
        <w:tblW w:w="5012" w:type="pct"/>
        <w:tblLayout w:type="fixed"/>
        <w:tblLook w:val="04A0" w:firstRow="1" w:lastRow="0" w:firstColumn="1" w:lastColumn="0" w:noHBand="0" w:noVBand="1"/>
      </w:tblPr>
      <w:tblGrid>
        <w:gridCol w:w="4129"/>
        <w:gridCol w:w="15"/>
        <w:gridCol w:w="785"/>
        <w:gridCol w:w="14"/>
        <w:gridCol w:w="843"/>
        <w:gridCol w:w="1628"/>
        <w:gridCol w:w="1631"/>
        <w:gridCol w:w="1674"/>
        <w:gridCol w:w="1643"/>
        <w:gridCol w:w="14"/>
        <w:gridCol w:w="881"/>
        <w:gridCol w:w="14"/>
        <w:gridCol w:w="1152"/>
        <w:gridCol w:w="12"/>
      </w:tblGrid>
      <w:tr w:rsidR="00B810D0" w:rsidRPr="004D453A" w14:paraId="29E0A3B3" w14:textId="77777777" w:rsidTr="00FF5112">
        <w:trPr>
          <w:gridAfter w:val="1"/>
          <w:wAfter w:w="4" w:type="pct"/>
          <w:trHeight w:val="20"/>
        </w:trPr>
        <w:tc>
          <w:tcPr>
            <w:tcW w:w="1430" w:type="pct"/>
            <w:tcBorders>
              <w:top w:val="single" w:sz="12" w:space="0" w:color="auto"/>
              <w:left w:val="nil"/>
              <w:right w:val="nil"/>
            </w:tcBorders>
            <w:shd w:val="clear" w:color="000000" w:fill="FFFFFF"/>
            <w:vAlign w:val="center"/>
          </w:tcPr>
          <w:p w14:paraId="08463949" w14:textId="77777777" w:rsidR="002934D9" w:rsidRPr="004D453A" w:rsidRDefault="002934D9" w:rsidP="00800908">
            <w:pPr>
              <w:rPr>
                <w:rFonts w:ascii="Arial" w:hAnsi="Arial" w:cs="Arial"/>
                <w:b/>
                <w:bCs/>
                <w:color w:val="000000" w:themeColor="text1"/>
                <w:sz w:val="18"/>
                <w:szCs w:val="18"/>
              </w:rPr>
            </w:pPr>
          </w:p>
        </w:tc>
        <w:tc>
          <w:tcPr>
            <w:tcW w:w="277" w:type="pct"/>
            <w:gridSpan w:val="2"/>
            <w:tcBorders>
              <w:top w:val="single" w:sz="12" w:space="0" w:color="auto"/>
              <w:left w:val="nil"/>
              <w:right w:val="nil"/>
            </w:tcBorders>
            <w:shd w:val="clear" w:color="000000" w:fill="FFFFFF"/>
            <w:vAlign w:val="center"/>
          </w:tcPr>
          <w:p w14:paraId="0910479E" w14:textId="77777777" w:rsidR="002934D9" w:rsidRPr="004D453A" w:rsidRDefault="002934D9" w:rsidP="00800908">
            <w:pPr>
              <w:jc w:val="center"/>
              <w:rPr>
                <w:rFonts w:ascii="Arial" w:hAnsi="Arial" w:cs="Arial"/>
                <w:b/>
                <w:color w:val="000000" w:themeColor="text1"/>
                <w:sz w:val="18"/>
                <w:szCs w:val="18"/>
              </w:rPr>
            </w:pPr>
          </w:p>
        </w:tc>
        <w:tc>
          <w:tcPr>
            <w:tcW w:w="2575" w:type="pct"/>
            <w:gridSpan w:val="6"/>
            <w:tcBorders>
              <w:top w:val="single" w:sz="12" w:space="0" w:color="auto"/>
              <w:left w:val="nil"/>
              <w:bottom w:val="single" w:sz="4" w:space="0" w:color="auto"/>
              <w:right w:val="nil"/>
            </w:tcBorders>
            <w:shd w:val="clear" w:color="000000" w:fill="FFFFFF"/>
            <w:vAlign w:val="center"/>
          </w:tcPr>
          <w:p w14:paraId="627EFAC8" w14:textId="6C20604B" w:rsidR="002934D9" w:rsidRPr="004D453A" w:rsidRDefault="002934D9" w:rsidP="00800908">
            <w:pPr>
              <w:jc w:val="center"/>
              <w:rPr>
                <w:rFonts w:ascii="Arial" w:hAnsi="Arial" w:cs="Arial"/>
                <w:b/>
                <w:color w:val="000000" w:themeColor="text1"/>
                <w:sz w:val="18"/>
                <w:szCs w:val="18"/>
              </w:rPr>
            </w:pPr>
            <w:r w:rsidRPr="004D453A">
              <w:rPr>
                <w:rFonts w:ascii="Arial" w:hAnsi="Arial" w:cs="Arial"/>
                <w:b/>
                <w:color w:val="000000" w:themeColor="text1"/>
                <w:sz w:val="18"/>
                <w:szCs w:val="18"/>
              </w:rPr>
              <w:t>Quintiles</w:t>
            </w:r>
          </w:p>
        </w:tc>
        <w:tc>
          <w:tcPr>
            <w:tcW w:w="310" w:type="pct"/>
            <w:gridSpan w:val="2"/>
            <w:tcBorders>
              <w:top w:val="single" w:sz="12" w:space="0" w:color="auto"/>
              <w:left w:val="nil"/>
              <w:right w:val="nil"/>
            </w:tcBorders>
            <w:shd w:val="clear" w:color="000000" w:fill="FFFFFF"/>
            <w:vAlign w:val="center"/>
          </w:tcPr>
          <w:p w14:paraId="3C67C550" w14:textId="77777777" w:rsidR="002934D9" w:rsidRPr="004D453A" w:rsidRDefault="002934D9" w:rsidP="00800908">
            <w:pPr>
              <w:jc w:val="center"/>
              <w:rPr>
                <w:rFonts w:ascii="Arial" w:hAnsi="Arial" w:cs="Arial"/>
                <w:b/>
                <w:i/>
                <w:color w:val="000000" w:themeColor="text1"/>
                <w:sz w:val="18"/>
                <w:szCs w:val="18"/>
              </w:rPr>
            </w:pPr>
          </w:p>
        </w:tc>
        <w:tc>
          <w:tcPr>
            <w:tcW w:w="404" w:type="pct"/>
            <w:gridSpan w:val="2"/>
            <w:tcBorders>
              <w:top w:val="single" w:sz="12" w:space="0" w:color="auto"/>
              <w:left w:val="nil"/>
              <w:right w:val="nil"/>
            </w:tcBorders>
            <w:shd w:val="clear" w:color="000000" w:fill="FFFFFF"/>
            <w:vAlign w:val="center"/>
          </w:tcPr>
          <w:p w14:paraId="74097529" w14:textId="77777777" w:rsidR="002934D9" w:rsidRPr="004D453A" w:rsidRDefault="002934D9" w:rsidP="00800908">
            <w:pPr>
              <w:jc w:val="center"/>
              <w:rPr>
                <w:rFonts w:ascii="Arial" w:hAnsi="Arial" w:cs="Arial"/>
                <w:b/>
                <w:i/>
                <w:color w:val="000000" w:themeColor="text1"/>
                <w:sz w:val="18"/>
                <w:szCs w:val="18"/>
              </w:rPr>
            </w:pPr>
          </w:p>
        </w:tc>
      </w:tr>
      <w:tr w:rsidR="00B810D0" w:rsidRPr="004D453A" w14:paraId="5E28DAA0" w14:textId="77777777" w:rsidTr="00FF5112">
        <w:trPr>
          <w:trHeight w:val="20"/>
        </w:trPr>
        <w:tc>
          <w:tcPr>
            <w:tcW w:w="1435" w:type="pct"/>
            <w:gridSpan w:val="2"/>
            <w:tcBorders>
              <w:left w:val="nil"/>
              <w:bottom w:val="single" w:sz="4" w:space="0" w:color="auto"/>
              <w:right w:val="nil"/>
            </w:tcBorders>
            <w:shd w:val="clear" w:color="000000" w:fill="FFFFFF"/>
            <w:vAlign w:val="center"/>
            <w:hideMark/>
          </w:tcPr>
          <w:p w14:paraId="064F9213" w14:textId="4B08CB5B" w:rsidR="004433F3" w:rsidRPr="004D453A" w:rsidRDefault="004433F3" w:rsidP="00800908">
            <w:pPr>
              <w:rPr>
                <w:rFonts w:ascii="Arial" w:hAnsi="Arial" w:cs="Arial"/>
                <w:b/>
                <w:bCs/>
                <w:color w:val="000000" w:themeColor="text1"/>
                <w:sz w:val="18"/>
                <w:szCs w:val="18"/>
              </w:rPr>
            </w:pPr>
            <w:r w:rsidRPr="004D453A">
              <w:rPr>
                <w:rFonts w:ascii="Arial" w:hAnsi="Arial" w:cs="Arial"/>
                <w:b/>
                <w:bCs/>
                <w:color w:val="000000" w:themeColor="text1"/>
                <w:sz w:val="18"/>
                <w:szCs w:val="18"/>
              </w:rPr>
              <w:t>Characteristic</w:t>
            </w:r>
            <w:r w:rsidR="009C57D6" w:rsidRPr="004D453A">
              <w:rPr>
                <w:rFonts w:ascii="Arial" w:hAnsi="Arial" w:cs="Arial"/>
                <w:b/>
                <w:bCs/>
                <w:color w:val="000000" w:themeColor="text1"/>
                <w:sz w:val="18"/>
                <w:szCs w:val="18"/>
              </w:rPr>
              <w:t>s</w:t>
            </w:r>
          </w:p>
        </w:tc>
        <w:tc>
          <w:tcPr>
            <w:tcW w:w="277" w:type="pct"/>
            <w:gridSpan w:val="2"/>
            <w:tcBorders>
              <w:left w:val="nil"/>
              <w:bottom w:val="single" w:sz="4" w:space="0" w:color="auto"/>
              <w:right w:val="nil"/>
            </w:tcBorders>
            <w:shd w:val="clear" w:color="000000" w:fill="FFFFFF"/>
            <w:vAlign w:val="center"/>
            <w:hideMark/>
          </w:tcPr>
          <w:p w14:paraId="35A38DD6" w14:textId="0F866DF4" w:rsidR="004433F3" w:rsidRPr="004D453A" w:rsidRDefault="004433F3" w:rsidP="00800908">
            <w:pPr>
              <w:jc w:val="center"/>
              <w:rPr>
                <w:rFonts w:ascii="Arial" w:hAnsi="Arial" w:cs="Arial"/>
                <w:b/>
                <w:bCs/>
                <w:color w:val="000000" w:themeColor="text1"/>
                <w:sz w:val="18"/>
                <w:szCs w:val="18"/>
              </w:rPr>
            </w:pPr>
            <w:r w:rsidRPr="004D453A">
              <w:rPr>
                <w:rFonts w:ascii="Arial" w:hAnsi="Arial" w:cs="Arial"/>
                <w:b/>
                <w:color w:val="000000" w:themeColor="text1"/>
                <w:sz w:val="18"/>
                <w:szCs w:val="18"/>
              </w:rPr>
              <w:t>N cases</w:t>
            </w:r>
          </w:p>
        </w:tc>
        <w:tc>
          <w:tcPr>
            <w:tcW w:w="292" w:type="pct"/>
            <w:tcBorders>
              <w:top w:val="single" w:sz="4" w:space="0" w:color="auto"/>
              <w:left w:val="nil"/>
              <w:bottom w:val="single" w:sz="4" w:space="0" w:color="auto"/>
              <w:right w:val="nil"/>
            </w:tcBorders>
            <w:shd w:val="clear" w:color="000000" w:fill="FFFFFF"/>
            <w:vAlign w:val="center"/>
            <w:hideMark/>
          </w:tcPr>
          <w:p w14:paraId="5E8527A7" w14:textId="645635E6" w:rsidR="004433F3" w:rsidRPr="004D453A" w:rsidRDefault="004433F3" w:rsidP="00800908">
            <w:pPr>
              <w:jc w:val="center"/>
              <w:rPr>
                <w:rFonts w:ascii="Arial" w:hAnsi="Arial" w:cs="Arial"/>
                <w:b/>
                <w:color w:val="000000" w:themeColor="text1"/>
                <w:sz w:val="18"/>
                <w:szCs w:val="18"/>
              </w:rPr>
            </w:pPr>
            <w:r w:rsidRPr="004D453A">
              <w:rPr>
                <w:rFonts w:ascii="Arial" w:hAnsi="Arial" w:cs="Arial"/>
                <w:b/>
                <w:color w:val="000000" w:themeColor="text1"/>
                <w:sz w:val="18"/>
                <w:szCs w:val="18"/>
              </w:rPr>
              <w:t>1</w:t>
            </w:r>
            <w:r w:rsidR="009D576B" w:rsidRPr="004D453A">
              <w:rPr>
                <w:rFonts w:ascii="Arial" w:hAnsi="Arial" w:cs="Arial"/>
                <w:b/>
                <w:color w:val="000000" w:themeColor="text1"/>
                <w:sz w:val="18"/>
                <w:szCs w:val="18"/>
              </w:rPr>
              <w:t xml:space="preserve"> (ref)</w:t>
            </w:r>
          </w:p>
        </w:tc>
        <w:tc>
          <w:tcPr>
            <w:tcW w:w="564" w:type="pct"/>
            <w:tcBorders>
              <w:top w:val="single" w:sz="4" w:space="0" w:color="auto"/>
              <w:left w:val="nil"/>
              <w:bottom w:val="single" w:sz="4" w:space="0" w:color="auto"/>
              <w:right w:val="nil"/>
            </w:tcBorders>
            <w:shd w:val="clear" w:color="000000" w:fill="FFFFFF"/>
            <w:vAlign w:val="center"/>
            <w:hideMark/>
          </w:tcPr>
          <w:p w14:paraId="354F1480" w14:textId="5A5EA32D" w:rsidR="004433F3" w:rsidRPr="004D453A" w:rsidRDefault="004433F3" w:rsidP="00800908">
            <w:pPr>
              <w:jc w:val="center"/>
              <w:rPr>
                <w:rFonts w:ascii="Arial" w:hAnsi="Arial" w:cs="Arial"/>
                <w:b/>
                <w:color w:val="000000" w:themeColor="text1"/>
                <w:sz w:val="18"/>
                <w:szCs w:val="18"/>
              </w:rPr>
            </w:pPr>
            <w:r w:rsidRPr="004D453A">
              <w:rPr>
                <w:rFonts w:ascii="Arial" w:hAnsi="Arial" w:cs="Arial"/>
                <w:b/>
                <w:color w:val="000000" w:themeColor="text1"/>
                <w:sz w:val="18"/>
                <w:szCs w:val="18"/>
              </w:rPr>
              <w:t>2</w:t>
            </w:r>
          </w:p>
        </w:tc>
        <w:tc>
          <w:tcPr>
            <w:tcW w:w="565" w:type="pct"/>
            <w:tcBorders>
              <w:top w:val="single" w:sz="4" w:space="0" w:color="auto"/>
              <w:left w:val="nil"/>
              <w:bottom w:val="single" w:sz="4" w:space="0" w:color="auto"/>
              <w:right w:val="nil"/>
            </w:tcBorders>
            <w:shd w:val="clear" w:color="000000" w:fill="FFFFFF"/>
            <w:vAlign w:val="center"/>
            <w:hideMark/>
          </w:tcPr>
          <w:p w14:paraId="35D23C61" w14:textId="7BA6E164" w:rsidR="004433F3" w:rsidRPr="004D453A" w:rsidRDefault="004433F3" w:rsidP="00800908">
            <w:pPr>
              <w:jc w:val="center"/>
              <w:rPr>
                <w:rFonts w:ascii="Arial" w:hAnsi="Arial" w:cs="Arial"/>
                <w:b/>
                <w:color w:val="000000" w:themeColor="text1"/>
                <w:sz w:val="18"/>
                <w:szCs w:val="18"/>
              </w:rPr>
            </w:pPr>
            <w:r w:rsidRPr="004D453A">
              <w:rPr>
                <w:rFonts w:ascii="Arial" w:hAnsi="Arial" w:cs="Arial"/>
                <w:b/>
                <w:color w:val="000000" w:themeColor="text1"/>
                <w:sz w:val="18"/>
                <w:szCs w:val="18"/>
              </w:rPr>
              <w:t>3</w:t>
            </w:r>
          </w:p>
        </w:tc>
        <w:tc>
          <w:tcPr>
            <w:tcW w:w="580" w:type="pct"/>
            <w:tcBorders>
              <w:top w:val="single" w:sz="4" w:space="0" w:color="auto"/>
              <w:left w:val="nil"/>
              <w:bottom w:val="single" w:sz="4" w:space="0" w:color="auto"/>
              <w:right w:val="nil"/>
            </w:tcBorders>
            <w:shd w:val="clear" w:color="000000" w:fill="FFFFFF"/>
            <w:vAlign w:val="center"/>
            <w:hideMark/>
          </w:tcPr>
          <w:p w14:paraId="5D6332D2" w14:textId="4C21B6AF" w:rsidR="004433F3" w:rsidRPr="004D453A" w:rsidRDefault="004433F3" w:rsidP="00800908">
            <w:pPr>
              <w:jc w:val="center"/>
              <w:rPr>
                <w:rFonts w:ascii="Arial" w:hAnsi="Arial" w:cs="Arial"/>
                <w:b/>
                <w:color w:val="000000" w:themeColor="text1"/>
                <w:sz w:val="18"/>
                <w:szCs w:val="18"/>
              </w:rPr>
            </w:pPr>
            <w:r w:rsidRPr="004D453A">
              <w:rPr>
                <w:rFonts w:ascii="Arial" w:hAnsi="Arial" w:cs="Arial"/>
                <w:b/>
                <w:color w:val="000000" w:themeColor="text1"/>
                <w:sz w:val="18"/>
                <w:szCs w:val="18"/>
              </w:rPr>
              <w:t>4</w:t>
            </w:r>
          </w:p>
        </w:tc>
        <w:tc>
          <w:tcPr>
            <w:tcW w:w="574" w:type="pct"/>
            <w:gridSpan w:val="2"/>
            <w:tcBorders>
              <w:top w:val="single" w:sz="4" w:space="0" w:color="auto"/>
              <w:left w:val="nil"/>
              <w:bottom w:val="single" w:sz="4" w:space="0" w:color="auto"/>
              <w:right w:val="nil"/>
            </w:tcBorders>
            <w:shd w:val="clear" w:color="000000" w:fill="FFFFFF"/>
            <w:vAlign w:val="center"/>
            <w:hideMark/>
          </w:tcPr>
          <w:p w14:paraId="41A19D79" w14:textId="446A2D11" w:rsidR="004433F3" w:rsidRPr="004D453A" w:rsidRDefault="004433F3" w:rsidP="00800908">
            <w:pPr>
              <w:jc w:val="center"/>
              <w:rPr>
                <w:rFonts w:ascii="Arial" w:hAnsi="Arial" w:cs="Arial"/>
                <w:b/>
                <w:color w:val="000000" w:themeColor="text1"/>
                <w:sz w:val="18"/>
                <w:szCs w:val="18"/>
              </w:rPr>
            </w:pPr>
            <w:r w:rsidRPr="004D453A">
              <w:rPr>
                <w:rFonts w:ascii="Arial" w:hAnsi="Arial" w:cs="Arial"/>
                <w:b/>
                <w:color w:val="000000" w:themeColor="text1"/>
                <w:sz w:val="18"/>
                <w:szCs w:val="18"/>
              </w:rPr>
              <w:t>5</w:t>
            </w:r>
          </w:p>
        </w:tc>
        <w:tc>
          <w:tcPr>
            <w:tcW w:w="310" w:type="pct"/>
            <w:gridSpan w:val="2"/>
            <w:tcBorders>
              <w:left w:val="nil"/>
              <w:bottom w:val="single" w:sz="4" w:space="0" w:color="auto"/>
              <w:right w:val="nil"/>
            </w:tcBorders>
            <w:shd w:val="clear" w:color="000000" w:fill="FFFFFF"/>
            <w:vAlign w:val="center"/>
            <w:hideMark/>
          </w:tcPr>
          <w:p w14:paraId="7022F61C" w14:textId="0E6415F4" w:rsidR="004433F3" w:rsidRPr="004D453A" w:rsidRDefault="00B65713" w:rsidP="00800908">
            <w:pPr>
              <w:jc w:val="center"/>
              <w:rPr>
                <w:rFonts w:ascii="Arial" w:hAnsi="Arial" w:cs="Arial"/>
                <w:b/>
                <w:bCs/>
                <w:i/>
                <w:color w:val="000000" w:themeColor="text1"/>
                <w:sz w:val="18"/>
                <w:szCs w:val="18"/>
              </w:rPr>
            </w:pPr>
            <w:r w:rsidRPr="004D453A">
              <w:rPr>
                <w:rFonts w:ascii="Arial" w:hAnsi="Arial" w:cs="Arial"/>
                <w:b/>
                <w:bCs/>
                <w:i/>
                <w:iCs/>
                <w:color w:val="000000"/>
                <w:sz w:val="20"/>
                <w:szCs w:val="20"/>
              </w:rPr>
              <w:t>P</w:t>
            </w:r>
            <w:r w:rsidRPr="004D453A">
              <w:rPr>
                <w:rFonts w:ascii="Arial" w:hAnsi="Arial" w:cs="Arial"/>
                <w:b/>
                <w:bCs/>
                <w:i/>
                <w:iCs/>
                <w:color w:val="000000"/>
                <w:sz w:val="20"/>
                <w:szCs w:val="20"/>
                <w:vertAlign w:val="subscript"/>
              </w:rPr>
              <w:t>trend</w:t>
            </w:r>
          </w:p>
        </w:tc>
        <w:tc>
          <w:tcPr>
            <w:tcW w:w="403" w:type="pct"/>
            <w:gridSpan w:val="2"/>
            <w:tcBorders>
              <w:left w:val="nil"/>
              <w:bottom w:val="single" w:sz="4" w:space="0" w:color="auto"/>
              <w:right w:val="nil"/>
            </w:tcBorders>
            <w:shd w:val="clear" w:color="000000" w:fill="FFFFFF"/>
            <w:vAlign w:val="center"/>
            <w:hideMark/>
          </w:tcPr>
          <w:p w14:paraId="08487122" w14:textId="30AAE45E" w:rsidR="004433F3" w:rsidRPr="004D453A" w:rsidRDefault="00DA0A8A" w:rsidP="00800908">
            <w:pPr>
              <w:jc w:val="center"/>
              <w:rPr>
                <w:rFonts w:ascii="Arial" w:hAnsi="Arial" w:cs="Arial"/>
                <w:b/>
                <w:i/>
                <w:color w:val="000000" w:themeColor="text1"/>
                <w:sz w:val="18"/>
                <w:szCs w:val="18"/>
              </w:rPr>
            </w:pPr>
            <w:r w:rsidRPr="004D453A">
              <w:rPr>
                <w:rFonts w:ascii="Arial" w:hAnsi="Arial" w:cs="Arial"/>
                <w:b/>
                <w:i/>
                <w:color w:val="000000" w:themeColor="text1"/>
                <w:sz w:val="18"/>
                <w:szCs w:val="18"/>
              </w:rPr>
              <w:t>P</w:t>
            </w:r>
            <w:r w:rsidR="004433F3" w:rsidRPr="004D453A">
              <w:rPr>
                <w:rFonts w:ascii="Arial" w:hAnsi="Arial" w:cs="Arial"/>
                <w:b/>
                <w:i/>
                <w:color w:val="000000" w:themeColor="text1"/>
                <w:sz w:val="18"/>
                <w:szCs w:val="18"/>
                <w:vertAlign w:val="subscript"/>
              </w:rPr>
              <w:t>interaction</w:t>
            </w:r>
          </w:p>
        </w:tc>
      </w:tr>
      <w:tr w:rsidR="00B810D0" w:rsidRPr="004D453A" w14:paraId="45277CAD" w14:textId="77777777" w:rsidTr="00FF5112">
        <w:trPr>
          <w:trHeight w:val="20"/>
        </w:trPr>
        <w:tc>
          <w:tcPr>
            <w:tcW w:w="1435" w:type="pct"/>
            <w:gridSpan w:val="2"/>
            <w:tcBorders>
              <w:top w:val="single" w:sz="4" w:space="0" w:color="auto"/>
              <w:left w:val="nil"/>
              <w:bottom w:val="nil"/>
              <w:right w:val="nil"/>
            </w:tcBorders>
            <w:shd w:val="clear" w:color="000000" w:fill="FFFFFF"/>
            <w:noWrap/>
            <w:vAlign w:val="center"/>
            <w:hideMark/>
          </w:tcPr>
          <w:p w14:paraId="60580B95" w14:textId="77777777" w:rsidR="004433F3" w:rsidRPr="004D453A" w:rsidRDefault="004433F3" w:rsidP="00800908">
            <w:pPr>
              <w:rPr>
                <w:rFonts w:ascii="Arial" w:hAnsi="Arial" w:cs="Arial"/>
                <w:b/>
                <w:color w:val="000000" w:themeColor="text1"/>
                <w:sz w:val="18"/>
                <w:szCs w:val="18"/>
              </w:rPr>
            </w:pPr>
            <w:r w:rsidRPr="004D453A">
              <w:rPr>
                <w:rFonts w:ascii="Arial" w:hAnsi="Arial" w:cs="Arial"/>
                <w:b/>
                <w:color w:val="000000" w:themeColor="text1"/>
                <w:sz w:val="18"/>
                <w:szCs w:val="18"/>
              </w:rPr>
              <w:t> </w:t>
            </w:r>
            <w:r w:rsidRPr="004D453A">
              <w:rPr>
                <w:rFonts w:ascii="Arial" w:hAnsi="Arial" w:cs="Arial"/>
                <w:b/>
                <w:i/>
                <w:iCs/>
                <w:color w:val="000000" w:themeColor="text1"/>
                <w:sz w:val="18"/>
                <w:szCs w:val="18"/>
              </w:rPr>
              <w:t>DIS</w:t>
            </w:r>
            <w:r w:rsidRPr="004D453A">
              <w:rPr>
                <w:rFonts w:ascii="Arial" w:hAnsi="Arial" w:cs="Arial"/>
                <w:b/>
                <w:i/>
                <w:iCs/>
                <w:color w:val="000000" w:themeColor="text1"/>
                <w:sz w:val="18"/>
                <w:szCs w:val="18"/>
                <w:vertAlign w:val="superscript"/>
              </w:rPr>
              <w:t xml:space="preserve"> </w:t>
            </w:r>
            <w:proofErr w:type="spellStart"/>
            <w:r w:rsidRPr="004D453A">
              <w:rPr>
                <w:rFonts w:ascii="Arial" w:hAnsi="Arial" w:cs="Arial"/>
                <w:bCs/>
                <w:i/>
                <w:iCs/>
                <w:color w:val="000000" w:themeColor="text1"/>
                <w:sz w:val="18"/>
                <w:szCs w:val="18"/>
                <w:vertAlign w:val="superscript"/>
              </w:rPr>
              <w:t>a,b</w:t>
            </w:r>
            <w:proofErr w:type="spellEnd"/>
          </w:p>
        </w:tc>
        <w:tc>
          <w:tcPr>
            <w:tcW w:w="277" w:type="pct"/>
            <w:gridSpan w:val="2"/>
            <w:tcBorders>
              <w:top w:val="single" w:sz="4" w:space="0" w:color="auto"/>
              <w:left w:val="nil"/>
              <w:bottom w:val="nil"/>
              <w:right w:val="nil"/>
            </w:tcBorders>
            <w:shd w:val="clear" w:color="000000" w:fill="FFFFFF"/>
            <w:noWrap/>
            <w:vAlign w:val="center"/>
          </w:tcPr>
          <w:p w14:paraId="2CC13CB4" w14:textId="77777777" w:rsidR="004433F3" w:rsidRPr="004D453A" w:rsidRDefault="004433F3" w:rsidP="00800908">
            <w:pPr>
              <w:jc w:val="center"/>
              <w:rPr>
                <w:rFonts w:ascii="Arial" w:hAnsi="Arial" w:cs="Arial"/>
                <w:color w:val="000000" w:themeColor="text1"/>
                <w:sz w:val="18"/>
                <w:szCs w:val="18"/>
              </w:rPr>
            </w:pPr>
          </w:p>
        </w:tc>
        <w:tc>
          <w:tcPr>
            <w:tcW w:w="292" w:type="pct"/>
            <w:tcBorders>
              <w:top w:val="single" w:sz="4" w:space="0" w:color="auto"/>
              <w:left w:val="nil"/>
              <w:bottom w:val="nil"/>
              <w:right w:val="nil"/>
            </w:tcBorders>
            <w:shd w:val="clear" w:color="000000" w:fill="FFFFFF"/>
            <w:vAlign w:val="center"/>
            <w:hideMark/>
          </w:tcPr>
          <w:p w14:paraId="0C429C9C" w14:textId="77777777" w:rsidR="004433F3" w:rsidRPr="004D453A" w:rsidRDefault="004433F3" w:rsidP="00800908">
            <w:pPr>
              <w:jc w:val="center"/>
              <w:rPr>
                <w:rFonts w:ascii="Arial" w:hAnsi="Arial" w:cs="Arial"/>
                <w:i/>
                <w:iCs/>
                <w:color w:val="000000" w:themeColor="text1"/>
                <w:sz w:val="18"/>
                <w:szCs w:val="18"/>
              </w:rPr>
            </w:pPr>
          </w:p>
        </w:tc>
        <w:tc>
          <w:tcPr>
            <w:tcW w:w="564" w:type="pct"/>
            <w:tcBorders>
              <w:top w:val="single" w:sz="4" w:space="0" w:color="auto"/>
              <w:left w:val="nil"/>
              <w:bottom w:val="nil"/>
              <w:right w:val="nil"/>
            </w:tcBorders>
            <w:shd w:val="clear" w:color="000000" w:fill="FFFFFF"/>
            <w:noWrap/>
            <w:vAlign w:val="center"/>
            <w:hideMark/>
          </w:tcPr>
          <w:p w14:paraId="727ED0A1" w14:textId="77777777" w:rsidR="004433F3" w:rsidRPr="004D453A" w:rsidRDefault="004433F3" w:rsidP="00800908">
            <w:pPr>
              <w:jc w:val="center"/>
              <w:rPr>
                <w:rFonts w:ascii="Arial" w:hAnsi="Arial" w:cs="Arial"/>
                <w:color w:val="000000" w:themeColor="text1"/>
                <w:sz w:val="18"/>
                <w:szCs w:val="18"/>
              </w:rPr>
            </w:pPr>
          </w:p>
        </w:tc>
        <w:tc>
          <w:tcPr>
            <w:tcW w:w="565" w:type="pct"/>
            <w:tcBorders>
              <w:top w:val="single" w:sz="4" w:space="0" w:color="auto"/>
              <w:left w:val="nil"/>
              <w:bottom w:val="nil"/>
              <w:right w:val="nil"/>
            </w:tcBorders>
            <w:shd w:val="clear" w:color="000000" w:fill="FFFFFF"/>
            <w:noWrap/>
            <w:vAlign w:val="center"/>
            <w:hideMark/>
          </w:tcPr>
          <w:p w14:paraId="0616A707" w14:textId="77777777" w:rsidR="004433F3" w:rsidRPr="004D453A" w:rsidRDefault="004433F3" w:rsidP="00800908">
            <w:pPr>
              <w:jc w:val="center"/>
              <w:rPr>
                <w:rFonts w:ascii="Arial" w:hAnsi="Arial" w:cs="Arial"/>
                <w:color w:val="000000" w:themeColor="text1"/>
                <w:sz w:val="18"/>
                <w:szCs w:val="18"/>
              </w:rPr>
            </w:pPr>
          </w:p>
        </w:tc>
        <w:tc>
          <w:tcPr>
            <w:tcW w:w="580" w:type="pct"/>
            <w:tcBorders>
              <w:top w:val="single" w:sz="4" w:space="0" w:color="auto"/>
              <w:left w:val="nil"/>
              <w:bottom w:val="nil"/>
              <w:right w:val="nil"/>
            </w:tcBorders>
            <w:shd w:val="clear" w:color="000000" w:fill="FFFFFF"/>
            <w:noWrap/>
            <w:vAlign w:val="center"/>
            <w:hideMark/>
          </w:tcPr>
          <w:p w14:paraId="2E1278CF" w14:textId="77777777" w:rsidR="004433F3" w:rsidRPr="004D453A" w:rsidRDefault="004433F3" w:rsidP="00800908">
            <w:pPr>
              <w:jc w:val="center"/>
              <w:rPr>
                <w:rFonts w:ascii="Arial" w:hAnsi="Arial" w:cs="Arial"/>
                <w:color w:val="000000" w:themeColor="text1"/>
                <w:sz w:val="18"/>
                <w:szCs w:val="18"/>
              </w:rPr>
            </w:pPr>
          </w:p>
        </w:tc>
        <w:tc>
          <w:tcPr>
            <w:tcW w:w="574" w:type="pct"/>
            <w:gridSpan w:val="2"/>
            <w:tcBorders>
              <w:top w:val="single" w:sz="4" w:space="0" w:color="auto"/>
              <w:left w:val="nil"/>
              <w:bottom w:val="nil"/>
              <w:right w:val="nil"/>
            </w:tcBorders>
            <w:shd w:val="clear" w:color="000000" w:fill="FFFFFF"/>
            <w:noWrap/>
            <w:vAlign w:val="center"/>
            <w:hideMark/>
          </w:tcPr>
          <w:p w14:paraId="15B158B2" w14:textId="77777777" w:rsidR="004433F3" w:rsidRPr="004D453A" w:rsidRDefault="004433F3" w:rsidP="00800908">
            <w:pPr>
              <w:jc w:val="center"/>
              <w:rPr>
                <w:rFonts w:ascii="Arial" w:hAnsi="Arial" w:cs="Arial"/>
                <w:color w:val="000000" w:themeColor="text1"/>
                <w:sz w:val="18"/>
                <w:szCs w:val="18"/>
              </w:rPr>
            </w:pPr>
          </w:p>
        </w:tc>
        <w:tc>
          <w:tcPr>
            <w:tcW w:w="310" w:type="pct"/>
            <w:gridSpan w:val="2"/>
            <w:tcBorders>
              <w:top w:val="single" w:sz="4" w:space="0" w:color="auto"/>
              <w:left w:val="nil"/>
              <w:bottom w:val="nil"/>
              <w:right w:val="nil"/>
            </w:tcBorders>
            <w:shd w:val="clear" w:color="000000" w:fill="FFFFFF"/>
            <w:noWrap/>
            <w:vAlign w:val="center"/>
            <w:hideMark/>
          </w:tcPr>
          <w:p w14:paraId="4FA460AE" w14:textId="77777777" w:rsidR="004433F3" w:rsidRPr="004D453A" w:rsidRDefault="004433F3" w:rsidP="00800908">
            <w:pPr>
              <w:jc w:val="center"/>
              <w:rPr>
                <w:rFonts w:ascii="Arial" w:hAnsi="Arial" w:cs="Arial"/>
                <w:i/>
                <w:color w:val="000000" w:themeColor="text1"/>
                <w:sz w:val="18"/>
                <w:szCs w:val="18"/>
              </w:rPr>
            </w:pPr>
          </w:p>
        </w:tc>
        <w:tc>
          <w:tcPr>
            <w:tcW w:w="403" w:type="pct"/>
            <w:gridSpan w:val="2"/>
            <w:tcBorders>
              <w:top w:val="single" w:sz="4" w:space="0" w:color="auto"/>
              <w:left w:val="nil"/>
              <w:bottom w:val="nil"/>
              <w:right w:val="nil"/>
            </w:tcBorders>
            <w:shd w:val="clear" w:color="000000" w:fill="FFFFFF"/>
            <w:noWrap/>
            <w:vAlign w:val="center"/>
            <w:hideMark/>
          </w:tcPr>
          <w:p w14:paraId="701DE001" w14:textId="77777777" w:rsidR="004433F3" w:rsidRPr="004D453A" w:rsidRDefault="004433F3" w:rsidP="00800908">
            <w:pPr>
              <w:jc w:val="center"/>
              <w:rPr>
                <w:rFonts w:ascii="Arial" w:hAnsi="Arial" w:cs="Arial"/>
                <w:i/>
                <w:color w:val="000000" w:themeColor="text1"/>
                <w:sz w:val="18"/>
                <w:szCs w:val="18"/>
              </w:rPr>
            </w:pPr>
          </w:p>
        </w:tc>
      </w:tr>
      <w:tr w:rsidR="00B810D0" w:rsidRPr="004D453A" w14:paraId="2F2FD56F"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16E6CB7F" w14:textId="77777777" w:rsidR="004433F3" w:rsidRPr="004D453A" w:rsidRDefault="004433F3" w:rsidP="00800908">
            <w:pPr>
              <w:rPr>
                <w:rFonts w:ascii="Arial" w:hAnsi="Arial" w:cs="Arial"/>
                <w:color w:val="000000" w:themeColor="text1"/>
                <w:sz w:val="18"/>
                <w:szCs w:val="18"/>
              </w:rPr>
            </w:pPr>
            <w:r w:rsidRPr="004D453A">
              <w:rPr>
                <w:rFonts w:ascii="Arial" w:hAnsi="Arial" w:cs="Arial"/>
                <w:color w:val="000000" w:themeColor="text1"/>
                <w:sz w:val="18"/>
                <w:szCs w:val="18"/>
              </w:rPr>
              <w:t>Age, y</w:t>
            </w:r>
          </w:p>
        </w:tc>
        <w:tc>
          <w:tcPr>
            <w:tcW w:w="277" w:type="pct"/>
            <w:gridSpan w:val="2"/>
            <w:tcBorders>
              <w:top w:val="nil"/>
              <w:left w:val="nil"/>
              <w:bottom w:val="nil"/>
              <w:right w:val="nil"/>
            </w:tcBorders>
            <w:shd w:val="clear" w:color="000000" w:fill="FFFFFF"/>
            <w:noWrap/>
            <w:vAlign w:val="center"/>
            <w:hideMark/>
          </w:tcPr>
          <w:p w14:paraId="2F198807" w14:textId="77777777" w:rsidR="004433F3" w:rsidRPr="004D453A" w:rsidRDefault="004433F3" w:rsidP="00800908">
            <w:pPr>
              <w:jc w:val="center"/>
              <w:rPr>
                <w:rFonts w:ascii="Arial" w:hAnsi="Arial" w:cs="Arial"/>
                <w:color w:val="000000" w:themeColor="text1"/>
                <w:sz w:val="18"/>
                <w:szCs w:val="18"/>
              </w:rPr>
            </w:pPr>
          </w:p>
        </w:tc>
        <w:tc>
          <w:tcPr>
            <w:tcW w:w="292" w:type="pct"/>
            <w:tcBorders>
              <w:top w:val="nil"/>
              <w:left w:val="nil"/>
              <w:bottom w:val="nil"/>
              <w:right w:val="nil"/>
            </w:tcBorders>
            <w:shd w:val="clear" w:color="000000" w:fill="FFFFFF"/>
            <w:noWrap/>
            <w:vAlign w:val="center"/>
            <w:hideMark/>
          </w:tcPr>
          <w:p w14:paraId="01843390" w14:textId="77777777" w:rsidR="004433F3" w:rsidRPr="004D453A" w:rsidRDefault="004433F3" w:rsidP="00800908">
            <w:pPr>
              <w:jc w:val="center"/>
              <w:rPr>
                <w:rFonts w:ascii="Arial" w:hAnsi="Arial" w:cs="Arial"/>
                <w:color w:val="000000" w:themeColor="text1"/>
                <w:sz w:val="18"/>
                <w:szCs w:val="18"/>
              </w:rPr>
            </w:pPr>
          </w:p>
        </w:tc>
        <w:tc>
          <w:tcPr>
            <w:tcW w:w="564" w:type="pct"/>
            <w:tcBorders>
              <w:top w:val="nil"/>
              <w:left w:val="nil"/>
              <w:bottom w:val="nil"/>
              <w:right w:val="nil"/>
            </w:tcBorders>
            <w:shd w:val="clear" w:color="000000" w:fill="FFFFFF"/>
            <w:noWrap/>
            <w:vAlign w:val="center"/>
            <w:hideMark/>
          </w:tcPr>
          <w:p w14:paraId="47BAC592" w14:textId="77777777" w:rsidR="004433F3" w:rsidRPr="004D453A" w:rsidRDefault="004433F3" w:rsidP="00800908">
            <w:pPr>
              <w:jc w:val="center"/>
              <w:rPr>
                <w:rFonts w:ascii="Arial" w:hAnsi="Arial" w:cs="Arial"/>
                <w:color w:val="000000" w:themeColor="text1"/>
                <w:sz w:val="18"/>
                <w:szCs w:val="18"/>
              </w:rPr>
            </w:pPr>
          </w:p>
        </w:tc>
        <w:tc>
          <w:tcPr>
            <w:tcW w:w="565" w:type="pct"/>
            <w:tcBorders>
              <w:top w:val="nil"/>
              <w:left w:val="nil"/>
              <w:bottom w:val="nil"/>
              <w:right w:val="nil"/>
            </w:tcBorders>
            <w:shd w:val="clear" w:color="000000" w:fill="FFFFFF"/>
            <w:noWrap/>
            <w:vAlign w:val="center"/>
            <w:hideMark/>
          </w:tcPr>
          <w:p w14:paraId="633A5CF6" w14:textId="77777777" w:rsidR="004433F3" w:rsidRPr="004D453A" w:rsidRDefault="004433F3" w:rsidP="00800908">
            <w:pPr>
              <w:jc w:val="center"/>
              <w:rPr>
                <w:rFonts w:ascii="Arial" w:hAnsi="Arial" w:cs="Arial"/>
                <w:color w:val="000000" w:themeColor="text1"/>
                <w:sz w:val="18"/>
                <w:szCs w:val="18"/>
              </w:rPr>
            </w:pPr>
          </w:p>
        </w:tc>
        <w:tc>
          <w:tcPr>
            <w:tcW w:w="580" w:type="pct"/>
            <w:tcBorders>
              <w:top w:val="nil"/>
              <w:left w:val="nil"/>
              <w:bottom w:val="nil"/>
              <w:right w:val="nil"/>
            </w:tcBorders>
            <w:shd w:val="clear" w:color="000000" w:fill="FFFFFF"/>
            <w:noWrap/>
            <w:vAlign w:val="center"/>
            <w:hideMark/>
          </w:tcPr>
          <w:p w14:paraId="510D3663" w14:textId="77777777" w:rsidR="004433F3" w:rsidRPr="004D453A" w:rsidRDefault="004433F3" w:rsidP="00800908">
            <w:pPr>
              <w:jc w:val="center"/>
              <w:rPr>
                <w:rFonts w:ascii="Arial" w:hAnsi="Arial" w:cs="Arial"/>
                <w:color w:val="000000" w:themeColor="text1"/>
                <w:sz w:val="18"/>
                <w:szCs w:val="18"/>
              </w:rPr>
            </w:pPr>
          </w:p>
        </w:tc>
        <w:tc>
          <w:tcPr>
            <w:tcW w:w="574" w:type="pct"/>
            <w:gridSpan w:val="2"/>
            <w:tcBorders>
              <w:top w:val="nil"/>
              <w:left w:val="nil"/>
              <w:bottom w:val="nil"/>
              <w:right w:val="nil"/>
            </w:tcBorders>
            <w:shd w:val="clear" w:color="000000" w:fill="FFFFFF"/>
            <w:noWrap/>
            <w:vAlign w:val="center"/>
            <w:hideMark/>
          </w:tcPr>
          <w:p w14:paraId="02EC58D3" w14:textId="77777777" w:rsidR="004433F3" w:rsidRPr="004D453A" w:rsidRDefault="004433F3" w:rsidP="00800908">
            <w:pPr>
              <w:jc w:val="center"/>
              <w:rPr>
                <w:rFonts w:ascii="Arial" w:hAnsi="Arial" w:cs="Arial"/>
                <w:color w:val="000000" w:themeColor="text1"/>
                <w:sz w:val="18"/>
                <w:szCs w:val="18"/>
              </w:rPr>
            </w:pPr>
          </w:p>
        </w:tc>
        <w:tc>
          <w:tcPr>
            <w:tcW w:w="310" w:type="pct"/>
            <w:gridSpan w:val="2"/>
            <w:tcBorders>
              <w:top w:val="nil"/>
              <w:left w:val="nil"/>
              <w:bottom w:val="nil"/>
              <w:right w:val="nil"/>
            </w:tcBorders>
            <w:shd w:val="clear" w:color="000000" w:fill="FFFFFF"/>
            <w:noWrap/>
            <w:vAlign w:val="center"/>
            <w:hideMark/>
          </w:tcPr>
          <w:p w14:paraId="4018367F" w14:textId="77777777" w:rsidR="004433F3" w:rsidRPr="004D453A" w:rsidRDefault="004433F3" w:rsidP="00800908">
            <w:pPr>
              <w:jc w:val="center"/>
              <w:rPr>
                <w:rFonts w:ascii="Arial" w:hAnsi="Arial" w:cs="Arial"/>
                <w:i/>
                <w:color w:val="000000" w:themeColor="text1"/>
                <w:sz w:val="18"/>
                <w:szCs w:val="18"/>
              </w:rPr>
            </w:pPr>
          </w:p>
        </w:tc>
        <w:tc>
          <w:tcPr>
            <w:tcW w:w="403" w:type="pct"/>
            <w:gridSpan w:val="2"/>
            <w:tcBorders>
              <w:top w:val="nil"/>
              <w:left w:val="nil"/>
              <w:bottom w:val="nil"/>
              <w:right w:val="nil"/>
            </w:tcBorders>
            <w:shd w:val="clear" w:color="auto" w:fill="auto"/>
            <w:noWrap/>
            <w:vAlign w:val="center"/>
            <w:hideMark/>
          </w:tcPr>
          <w:p w14:paraId="7BEF878B" w14:textId="77777777" w:rsidR="004433F3" w:rsidRPr="004D453A" w:rsidRDefault="004433F3" w:rsidP="00800908">
            <w:pPr>
              <w:jc w:val="center"/>
              <w:rPr>
                <w:rFonts w:ascii="Arial" w:hAnsi="Arial" w:cs="Arial"/>
                <w:i/>
                <w:color w:val="000000" w:themeColor="text1"/>
                <w:sz w:val="18"/>
                <w:szCs w:val="18"/>
              </w:rPr>
            </w:pPr>
          </w:p>
        </w:tc>
      </w:tr>
      <w:tr w:rsidR="00B810D0" w:rsidRPr="004D453A" w14:paraId="0233BF3F"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591BD991"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&lt; 57</w:t>
            </w:r>
          </w:p>
        </w:tc>
        <w:tc>
          <w:tcPr>
            <w:tcW w:w="277" w:type="pct"/>
            <w:gridSpan w:val="2"/>
            <w:tcBorders>
              <w:top w:val="nil"/>
              <w:left w:val="nil"/>
              <w:bottom w:val="nil"/>
              <w:right w:val="nil"/>
            </w:tcBorders>
            <w:shd w:val="clear" w:color="000000" w:fill="FFFFFF"/>
            <w:noWrap/>
            <w:vAlign w:val="bottom"/>
          </w:tcPr>
          <w:p w14:paraId="1C766C24"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260</w:t>
            </w:r>
          </w:p>
        </w:tc>
        <w:tc>
          <w:tcPr>
            <w:tcW w:w="292" w:type="pct"/>
            <w:tcBorders>
              <w:top w:val="nil"/>
              <w:left w:val="nil"/>
              <w:bottom w:val="nil"/>
              <w:right w:val="nil"/>
            </w:tcBorders>
            <w:shd w:val="clear" w:color="000000" w:fill="FFFFFF"/>
            <w:noWrap/>
            <w:vAlign w:val="center"/>
          </w:tcPr>
          <w:p w14:paraId="061F5A1A"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7BD053AF" w14:textId="2707C2DE"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1.17 (0.72</w:t>
            </w:r>
            <w:r w:rsidR="002778B7" w:rsidRPr="004D453A">
              <w:rPr>
                <w:rFonts w:ascii="Arial" w:hAnsi="Arial" w:cs="Arial"/>
                <w:color w:val="000000"/>
                <w:sz w:val="18"/>
                <w:szCs w:val="18"/>
              </w:rPr>
              <w:t>-</w:t>
            </w:r>
            <w:r w:rsidRPr="004D453A">
              <w:rPr>
                <w:rFonts w:ascii="Arial" w:hAnsi="Arial" w:cs="Arial"/>
                <w:color w:val="000000"/>
                <w:sz w:val="18"/>
                <w:szCs w:val="18"/>
              </w:rPr>
              <w:t>1.92)</w:t>
            </w:r>
          </w:p>
        </w:tc>
        <w:tc>
          <w:tcPr>
            <w:tcW w:w="565" w:type="pct"/>
            <w:tcBorders>
              <w:top w:val="nil"/>
              <w:left w:val="nil"/>
              <w:bottom w:val="nil"/>
              <w:right w:val="nil"/>
            </w:tcBorders>
            <w:shd w:val="clear" w:color="000000" w:fill="FFFFFF"/>
            <w:noWrap/>
            <w:vAlign w:val="bottom"/>
          </w:tcPr>
          <w:p w14:paraId="02276247" w14:textId="6FCB7485"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0.97 (0.59</w:t>
            </w:r>
            <w:r w:rsidR="002778B7" w:rsidRPr="004D453A">
              <w:rPr>
                <w:rFonts w:ascii="Arial" w:hAnsi="Arial" w:cs="Arial"/>
                <w:color w:val="000000"/>
                <w:sz w:val="18"/>
                <w:szCs w:val="18"/>
              </w:rPr>
              <w:t>-</w:t>
            </w:r>
            <w:r w:rsidRPr="004D453A">
              <w:rPr>
                <w:rFonts w:ascii="Arial" w:hAnsi="Arial" w:cs="Arial"/>
                <w:color w:val="000000"/>
                <w:sz w:val="18"/>
                <w:szCs w:val="18"/>
              </w:rPr>
              <w:t>1.62)</w:t>
            </w:r>
          </w:p>
        </w:tc>
        <w:tc>
          <w:tcPr>
            <w:tcW w:w="580" w:type="pct"/>
            <w:tcBorders>
              <w:top w:val="nil"/>
              <w:left w:val="nil"/>
              <w:bottom w:val="nil"/>
              <w:right w:val="nil"/>
            </w:tcBorders>
            <w:shd w:val="clear" w:color="000000" w:fill="FFFFFF"/>
            <w:noWrap/>
            <w:vAlign w:val="bottom"/>
          </w:tcPr>
          <w:p w14:paraId="3BF20174" w14:textId="6B420328"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1.02 (0.62</w:t>
            </w:r>
            <w:r w:rsidR="002778B7" w:rsidRPr="004D453A">
              <w:rPr>
                <w:rFonts w:ascii="Arial" w:hAnsi="Arial" w:cs="Arial"/>
                <w:color w:val="000000"/>
                <w:sz w:val="18"/>
                <w:szCs w:val="18"/>
              </w:rPr>
              <w:t>-</w:t>
            </w:r>
            <w:r w:rsidRPr="004D453A">
              <w:rPr>
                <w:rFonts w:ascii="Arial" w:hAnsi="Arial" w:cs="Arial"/>
                <w:color w:val="000000"/>
                <w:sz w:val="18"/>
                <w:szCs w:val="18"/>
              </w:rPr>
              <w:t>1.67)</w:t>
            </w:r>
          </w:p>
        </w:tc>
        <w:tc>
          <w:tcPr>
            <w:tcW w:w="574" w:type="pct"/>
            <w:gridSpan w:val="2"/>
            <w:tcBorders>
              <w:top w:val="nil"/>
              <w:left w:val="nil"/>
              <w:bottom w:val="nil"/>
              <w:right w:val="nil"/>
            </w:tcBorders>
            <w:shd w:val="clear" w:color="000000" w:fill="FFFFFF"/>
            <w:noWrap/>
            <w:vAlign w:val="bottom"/>
          </w:tcPr>
          <w:p w14:paraId="4E2E99CE" w14:textId="5E8004A6"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1.21 (0.74</w:t>
            </w:r>
            <w:r w:rsidR="00443D23" w:rsidRPr="004D453A">
              <w:rPr>
                <w:rFonts w:ascii="Arial" w:hAnsi="Arial" w:cs="Arial"/>
                <w:color w:val="000000"/>
                <w:sz w:val="18"/>
                <w:szCs w:val="18"/>
              </w:rPr>
              <w:t>-</w:t>
            </w:r>
            <w:r w:rsidRPr="004D453A">
              <w:rPr>
                <w:rFonts w:ascii="Arial" w:hAnsi="Arial" w:cs="Arial"/>
                <w:color w:val="000000"/>
                <w:sz w:val="18"/>
                <w:szCs w:val="18"/>
              </w:rPr>
              <w:t>1.98)</w:t>
            </w:r>
          </w:p>
        </w:tc>
        <w:tc>
          <w:tcPr>
            <w:tcW w:w="310" w:type="pct"/>
            <w:gridSpan w:val="2"/>
            <w:tcBorders>
              <w:top w:val="nil"/>
              <w:left w:val="nil"/>
              <w:bottom w:val="nil"/>
              <w:right w:val="nil"/>
            </w:tcBorders>
            <w:shd w:val="clear" w:color="auto" w:fill="auto"/>
            <w:noWrap/>
            <w:vAlign w:val="bottom"/>
          </w:tcPr>
          <w:p w14:paraId="6CCF5C6F"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0.64</w:t>
            </w:r>
          </w:p>
        </w:tc>
        <w:tc>
          <w:tcPr>
            <w:tcW w:w="403" w:type="pct"/>
            <w:gridSpan w:val="2"/>
            <w:tcBorders>
              <w:top w:val="nil"/>
              <w:left w:val="nil"/>
              <w:bottom w:val="nil"/>
              <w:right w:val="nil"/>
            </w:tcBorders>
            <w:shd w:val="clear" w:color="auto" w:fill="auto"/>
            <w:noWrap/>
            <w:vAlign w:val="center"/>
          </w:tcPr>
          <w:p w14:paraId="6A19FE0A"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63DF5876"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163C7FCC"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 57</w:t>
            </w:r>
          </w:p>
        </w:tc>
        <w:tc>
          <w:tcPr>
            <w:tcW w:w="277" w:type="pct"/>
            <w:gridSpan w:val="2"/>
            <w:tcBorders>
              <w:top w:val="nil"/>
              <w:left w:val="nil"/>
              <w:bottom w:val="nil"/>
              <w:right w:val="nil"/>
            </w:tcBorders>
            <w:shd w:val="clear" w:color="000000" w:fill="FFFFFF"/>
            <w:noWrap/>
            <w:vAlign w:val="bottom"/>
          </w:tcPr>
          <w:p w14:paraId="29FF7986"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505</w:t>
            </w:r>
          </w:p>
        </w:tc>
        <w:tc>
          <w:tcPr>
            <w:tcW w:w="292" w:type="pct"/>
            <w:tcBorders>
              <w:top w:val="nil"/>
              <w:left w:val="nil"/>
              <w:bottom w:val="nil"/>
              <w:right w:val="nil"/>
            </w:tcBorders>
            <w:shd w:val="clear" w:color="000000" w:fill="FFFFFF"/>
            <w:noWrap/>
            <w:vAlign w:val="center"/>
          </w:tcPr>
          <w:p w14:paraId="48E5CDF0"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331A5C3C" w14:textId="703F3C87"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1.15 (0.8</w:t>
            </w:r>
            <w:r w:rsidR="00E73909" w:rsidRPr="004D453A">
              <w:rPr>
                <w:rFonts w:ascii="Arial" w:hAnsi="Arial" w:cs="Arial"/>
                <w:color w:val="000000"/>
                <w:sz w:val="18"/>
                <w:szCs w:val="18"/>
              </w:rPr>
              <w:t>0</w:t>
            </w:r>
            <w:r w:rsidR="00443D23" w:rsidRPr="004D453A">
              <w:rPr>
                <w:rFonts w:ascii="Arial" w:hAnsi="Arial" w:cs="Arial"/>
                <w:color w:val="000000"/>
                <w:sz w:val="18"/>
                <w:szCs w:val="18"/>
              </w:rPr>
              <w:t>-</w:t>
            </w:r>
            <w:r w:rsidRPr="004D453A">
              <w:rPr>
                <w:rFonts w:ascii="Arial" w:hAnsi="Arial" w:cs="Arial"/>
                <w:color w:val="000000"/>
                <w:sz w:val="18"/>
                <w:szCs w:val="18"/>
              </w:rPr>
              <w:t>1.66)</w:t>
            </w:r>
          </w:p>
        </w:tc>
        <w:tc>
          <w:tcPr>
            <w:tcW w:w="565" w:type="pct"/>
            <w:tcBorders>
              <w:top w:val="nil"/>
              <w:left w:val="nil"/>
              <w:bottom w:val="nil"/>
              <w:right w:val="nil"/>
            </w:tcBorders>
            <w:shd w:val="clear" w:color="000000" w:fill="FFFFFF"/>
            <w:noWrap/>
            <w:vAlign w:val="bottom"/>
          </w:tcPr>
          <w:p w14:paraId="155140CB" w14:textId="4501FA48"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1.07 (0.74</w:t>
            </w:r>
            <w:r w:rsidR="00443D23" w:rsidRPr="004D453A">
              <w:rPr>
                <w:rFonts w:ascii="Arial" w:hAnsi="Arial" w:cs="Arial"/>
                <w:color w:val="000000"/>
                <w:sz w:val="18"/>
                <w:szCs w:val="18"/>
              </w:rPr>
              <w:t>-</w:t>
            </w:r>
            <w:r w:rsidRPr="004D453A">
              <w:rPr>
                <w:rFonts w:ascii="Arial" w:hAnsi="Arial" w:cs="Arial"/>
                <w:color w:val="000000"/>
                <w:sz w:val="18"/>
                <w:szCs w:val="18"/>
              </w:rPr>
              <w:t>1.54)</w:t>
            </w:r>
          </w:p>
        </w:tc>
        <w:tc>
          <w:tcPr>
            <w:tcW w:w="580" w:type="pct"/>
            <w:tcBorders>
              <w:top w:val="nil"/>
              <w:left w:val="nil"/>
              <w:bottom w:val="nil"/>
              <w:right w:val="nil"/>
            </w:tcBorders>
            <w:shd w:val="clear" w:color="000000" w:fill="FFFFFF"/>
            <w:noWrap/>
            <w:vAlign w:val="bottom"/>
          </w:tcPr>
          <w:p w14:paraId="692F5ACD" w14:textId="77EB8414"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1.23 (0.85</w:t>
            </w:r>
            <w:r w:rsidR="00443D23" w:rsidRPr="004D453A">
              <w:rPr>
                <w:rFonts w:ascii="Arial" w:hAnsi="Arial" w:cs="Arial"/>
                <w:color w:val="000000"/>
                <w:sz w:val="18"/>
                <w:szCs w:val="18"/>
              </w:rPr>
              <w:t>-</w:t>
            </w:r>
            <w:r w:rsidRPr="004D453A">
              <w:rPr>
                <w:rFonts w:ascii="Arial" w:hAnsi="Arial" w:cs="Arial"/>
                <w:color w:val="000000"/>
                <w:sz w:val="18"/>
                <w:szCs w:val="18"/>
              </w:rPr>
              <w:t>1.79)</w:t>
            </w:r>
          </w:p>
        </w:tc>
        <w:tc>
          <w:tcPr>
            <w:tcW w:w="574" w:type="pct"/>
            <w:gridSpan w:val="2"/>
            <w:tcBorders>
              <w:top w:val="nil"/>
              <w:left w:val="nil"/>
              <w:bottom w:val="nil"/>
              <w:right w:val="nil"/>
            </w:tcBorders>
            <w:shd w:val="clear" w:color="000000" w:fill="FFFFFF"/>
            <w:noWrap/>
            <w:vAlign w:val="bottom"/>
          </w:tcPr>
          <w:p w14:paraId="58BB4702" w14:textId="2136F0FF"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1.32 (0.92</w:t>
            </w:r>
            <w:r w:rsidR="00443D23" w:rsidRPr="004D453A">
              <w:rPr>
                <w:rFonts w:ascii="Arial" w:hAnsi="Arial" w:cs="Arial"/>
                <w:color w:val="000000"/>
                <w:sz w:val="18"/>
                <w:szCs w:val="18"/>
              </w:rPr>
              <w:t>-</w:t>
            </w:r>
            <w:r w:rsidRPr="004D453A">
              <w:rPr>
                <w:rFonts w:ascii="Arial" w:hAnsi="Arial" w:cs="Arial"/>
                <w:color w:val="000000"/>
                <w:sz w:val="18"/>
                <w:szCs w:val="18"/>
              </w:rPr>
              <w:t>1.91)</w:t>
            </w:r>
          </w:p>
        </w:tc>
        <w:tc>
          <w:tcPr>
            <w:tcW w:w="310" w:type="pct"/>
            <w:gridSpan w:val="2"/>
            <w:tcBorders>
              <w:top w:val="nil"/>
              <w:left w:val="nil"/>
              <w:bottom w:val="nil"/>
              <w:right w:val="nil"/>
            </w:tcBorders>
            <w:shd w:val="clear" w:color="auto" w:fill="auto"/>
            <w:noWrap/>
            <w:vAlign w:val="bottom"/>
          </w:tcPr>
          <w:p w14:paraId="239FFE15"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0.12</w:t>
            </w:r>
          </w:p>
        </w:tc>
        <w:tc>
          <w:tcPr>
            <w:tcW w:w="403" w:type="pct"/>
            <w:gridSpan w:val="2"/>
            <w:tcBorders>
              <w:top w:val="nil"/>
              <w:left w:val="nil"/>
              <w:bottom w:val="nil"/>
              <w:right w:val="nil"/>
            </w:tcBorders>
            <w:shd w:val="clear" w:color="auto" w:fill="auto"/>
            <w:noWrap/>
            <w:vAlign w:val="bottom"/>
          </w:tcPr>
          <w:p w14:paraId="4BE323C0"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0.99</w:t>
            </w:r>
          </w:p>
        </w:tc>
      </w:tr>
      <w:tr w:rsidR="00B810D0" w:rsidRPr="004D453A" w14:paraId="7C2F9513" w14:textId="77777777" w:rsidTr="00FF5112">
        <w:trPr>
          <w:trHeight w:val="20"/>
        </w:trPr>
        <w:tc>
          <w:tcPr>
            <w:tcW w:w="1435" w:type="pct"/>
            <w:gridSpan w:val="2"/>
            <w:tcBorders>
              <w:top w:val="nil"/>
              <w:left w:val="nil"/>
              <w:bottom w:val="nil"/>
              <w:right w:val="nil"/>
            </w:tcBorders>
            <w:shd w:val="clear" w:color="000000" w:fill="FFFFFF"/>
            <w:vAlign w:val="center"/>
            <w:hideMark/>
          </w:tcPr>
          <w:p w14:paraId="0A518D4C" w14:textId="77777777" w:rsidR="00FF6313" w:rsidRPr="004D453A" w:rsidRDefault="00FF6313" w:rsidP="00FF6313">
            <w:pPr>
              <w:rPr>
                <w:rFonts w:ascii="Arial" w:hAnsi="Arial" w:cs="Arial"/>
                <w:color w:val="000000" w:themeColor="text1"/>
                <w:sz w:val="18"/>
                <w:szCs w:val="18"/>
              </w:rPr>
            </w:pPr>
            <w:r w:rsidRPr="004D453A">
              <w:rPr>
                <w:rFonts w:ascii="Arial" w:hAnsi="Arial" w:cs="Arial"/>
                <w:color w:val="000000" w:themeColor="text1"/>
                <w:sz w:val="18"/>
                <w:szCs w:val="18"/>
              </w:rPr>
              <w:t>Sex</w:t>
            </w:r>
          </w:p>
        </w:tc>
        <w:tc>
          <w:tcPr>
            <w:tcW w:w="277" w:type="pct"/>
            <w:gridSpan w:val="2"/>
            <w:tcBorders>
              <w:top w:val="nil"/>
              <w:left w:val="nil"/>
              <w:bottom w:val="nil"/>
              <w:right w:val="nil"/>
            </w:tcBorders>
            <w:shd w:val="clear" w:color="000000" w:fill="FFFFFF"/>
            <w:vAlign w:val="bottom"/>
          </w:tcPr>
          <w:p w14:paraId="75A65BB2" w14:textId="77777777" w:rsidR="00FF6313" w:rsidRPr="004D453A" w:rsidRDefault="00FF6313" w:rsidP="00FF6313">
            <w:pPr>
              <w:jc w:val="center"/>
              <w:rPr>
                <w:rFonts w:ascii="Arial" w:hAnsi="Arial" w:cs="Arial"/>
                <w:color w:val="000000"/>
                <w:sz w:val="18"/>
                <w:szCs w:val="18"/>
              </w:rPr>
            </w:pPr>
          </w:p>
        </w:tc>
        <w:tc>
          <w:tcPr>
            <w:tcW w:w="292" w:type="pct"/>
            <w:tcBorders>
              <w:top w:val="nil"/>
              <w:left w:val="nil"/>
              <w:bottom w:val="nil"/>
              <w:right w:val="nil"/>
            </w:tcBorders>
            <w:shd w:val="clear" w:color="000000" w:fill="FFFFFF"/>
            <w:vAlign w:val="center"/>
          </w:tcPr>
          <w:p w14:paraId="0A18B99F" w14:textId="77777777" w:rsidR="00FF6313" w:rsidRPr="004D453A" w:rsidRDefault="00FF6313" w:rsidP="00FF6313">
            <w:pPr>
              <w:jc w:val="center"/>
              <w:rPr>
                <w:rFonts w:ascii="Arial" w:hAnsi="Arial" w:cs="Arial"/>
                <w:color w:val="000000"/>
                <w:sz w:val="18"/>
                <w:szCs w:val="18"/>
              </w:rPr>
            </w:pPr>
          </w:p>
        </w:tc>
        <w:tc>
          <w:tcPr>
            <w:tcW w:w="564" w:type="pct"/>
            <w:tcBorders>
              <w:top w:val="nil"/>
              <w:left w:val="nil"/>
              <w:bottom w:val="nil"/>
              <w:right w:val="nil"/>
            </w:tcBorders>
            <w:shd w:val="clear" w:color="000000" w:fill="FFFFFF"/>
            <w:vAlign w:val="bottom"/>
          </w:tcPr>
          <w:p w14:paraId="7195C946" w14:textId="77777777" w:rsidR="00FF6313" w:rsidRPr="004D453A" w:rsidRDefault="00FF6313" w:rsidP="00FF6313">
            <w:pPr>
              <w:rPr>
                <w:rFonts w:ascii="Arial" w:hAnsi="Arial" w:cs="Arial"/>
                <w:color w:val="000000"/>
                <w:sz w:val="18"/>
                <w:szCs w:val="18"/>
              </w:rPr>
            </w:pPr>
          </w:p>
        </w:tc>
        <w:tc>
          <w:tcPr>
            <w:tcW w:w="565" w:type="pct"/>
            <w:tcBorders>
              <w:top w:val="nil"/>
              <w:left w:val="nil"/>
              <w:bottom w:val="nil"/>
              <w:right w:val="nil"/>
            </w:tcBorders>
            <w:shd w:val="clear" w:color="000000" w:fill="FFFFFF"/>
            <w:vAlign w:val="bottom"/>
          </w:tcPr>
          <w:p w14:paraId="1A576B55" w14:textId="77777777" w:rsidR="00FF6313" w:rsidRPr="004D453A" w:rsidRDefault="00FF6313" w:rsidP="00FF6313">
            <w:pPr>
              <w:rPr>
                <w:rFonts w:ascii="Arial" w:hAnsi="Arial" w:cs="Arial"/>
                <w:color w:val="000000"/>
                <w:sz w:val="18"/>
                <w:szCs w:val="18"/>
              </w:rPr>
            </w:pPr>
          </w:p>
        </w:tc>
        <w:tc>
          <w:tcPr>
            <w:tcW w:w="580" w:type="pct"/>
            <w:tcBorders>
              <w:top w:val="nil"/>
              <w:left w:val="nil"/>
              <w:bottom w:val="nil"/>
              <w:right w:val="nil"/>
            </w:tcBorders>
            <w:shd w:val="clear" w:color="000000" w:fill="FFFFFF"/>
            <w:vAlign w:val="bottom"/>
          </w:tcPr>
          <w:p w14:paraId="26BD5ABF" w14:textId="77777777" w:rsidR="00FF6313" w:rsidRPr="004D453A" w:rsidRDefault="00FF6313" w:rsidP="00FF6313">
            <w:pPr>
              <w:rPr>
                <w:rFonts w:ascii="Arial" w:hAnsi="Arial" w:cs="Arial"/>
                <w:color w:val="000000"/>
                <w:sz w:val="18"/>
                <w:szCs w:val="18"/>
              </w:rPr>
            </w:pPr>
          </w:p>
        </w:tc>
        <w:tc>
          <w:tcPr>
            <w:tcW w:w="574" w:type="pct"/>
            <w:gridSpan w:val="2"/>
            <w:tcBorders>
              <w:top w:val="nil"/>
              <w:left w:val="nil"/>
              <w:bottom w:val="nil"/>
              <w:right w:val="nil"/>
            </w:tcBorders>
            <w:shd w:val="clear" w:color="000000" w:fill="FFFFFF"/>
            <w:vAlign w:val="bottom"/>
          </w:tcPr>
          <w:p w14:paraId="494F1413" w14:textId="77777777" w:rsidR="00FF6313" w:rsidRPr="004D453A" w:rsidRDefault="00FF6313" w:rsidP="00FF6313">
            <w:pPr>
              <w:rPr>
                <w:rFonts w:ascii="Arial" w:hAnsi="Arial" w:cs="Arial"/>
                <w:color w:val="000000"/>
                <w:sz w:val="18"/>
                <w:szCs w:val="18"/>
              </w:rPr>
            </w:pPr>
          </w:p>
        </w:tc>
        <w:tc>
          <w:tcPr>
            <w:tcW w:w="310" w:type="pct"/>
            <w:gridSpan w:val="2"/>
            <w:tcBorders>
              <w:top w:val="nil"/>
              <w:left w:val="nil"/>
              <w:bottom w:val="nil"/>
              <w:right w:val="nil"/>
            </w:tcBorders>
            <w:shd w:val="clear" w:color="000000" w:fill="FFFFFF"/>
            <w:noWrap/>
            <w:vAlign w:val="bottom"/>
          </w:tcPr>
          <w:p w14:paraId="79C1E9B3" w14:textId="77777777" w:rsidR="00FF6313" w:rsidRPr="004D453A" w:rsidRDefault="00FF6313" w:rsidP="00FF6313">
            <w:pPr>
              <w:jc w:val="center"/>
              <w:rPr>
                <w:rFonts w:ascii="Arial" w:hAnsi="Arial" w:cs="Arial"/>
                <w:color w:val="000000"/>
                <w:sz w:val="18"/>
                <w:szCs w:val="18"/>
              </w:rPr>
            </w:pPr>
          </w:p>
        </w:tc>
        <w:tc>
          <w:tcPr>
            <w:tcW w:w="403" w:type="pct"/>
            <w:gridSpan w:val="2"/>
            <w:tcBorders>
              <w:top w:val="nil"/>
              <w:left w:val="nil"/>
              <w:bottom w:val="nil"/>
              <w:right w:val="nil"/>
            </w:tcBorders>
            <w:shd w:val="clear" w:color="000000" w:fill="FFFFFF"/>
            <w:noWrap/>
            <w:vAlign w:val="bottom"/>
          </w:tcPr>
          <w:p w14:paraId="1F2F7F33" w14:textId="77777777" w:rsidR="00FF6313" w:rsidRPr="004D453A" w:rsidRDefault="00FF6313" w:rsidP="00FF6313">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6E5C0E03" w14:textId="77777777" w:rsidTr="00FF5112">
        <w:trPr>
          <w:trHeight w:val="20"/>
        </w:trPr>
        <w:tc>
          <w:tcPr>
            <w:tcW w:w="1435" w:type="pct"/>
            <w:gridSpan w:val="2"/>
            <w:tcBorders>
              <w:top w:val="nil"/>
              <w:left w:val="nil"/>
              <w:bottom w:val="nil"/>
              <w:right w:val="nil"/>
            </w:tcBorders>
            <w:shd w:val="clear" w:color="000000" w:fill="FFFFFF"/>
            <w:vAlign w:val="center"/>
            <w:hideMark/>
          </w:tcPr>
          <w:p w14:paraId="4876FA08" w14:textId="384FC8AE" w:rsidR="0007729A" w:rsidRPr="004D453A" w:rsidRDefault="0007729A" w:rsidP="0007729A">
            <w:pPr>
              <w:ind w:firstLine="163"/>
              <w:rPr>
                <w:rFonts w:ascii="Arial" w:hAnsi="Arial" w:cs="Arial"/>
                <w:color w:val="000000" w:themeColor="text1"/>
                <w:sz w:val="18"/>
                <w:szCs w:val="18"/>
              </w:rPr>
            </w:pPr>
            <w:r w:rsidRPr="004D453A">
              <w:rPr>
                <w:rFonts w:ascii="Arial" w:hAnsi="Arial" w:cs="Arial"/>
                <w:color w:val="000000" w:themeColor="text1"/>
                <w:sz w:val="18"/>
                <w:szCs w:val="18"/>
              </w:rPr>
              <w:t>Men</w:t>
            </w:r>
          </w:p>
        </w:tc>
        <w:tc>
          <w:tcPr>
            <w:tcW w:w="277" w:type="pct"/>
            <w:gridSpan w:val="2"/>
            <w:tcBorders>
              <w:top w:val="nil"/>
              <w:left w:val="nil"/>
              <w:bottom w:val="nil"/>
              <w:right w:val="nil"/>
            </w:tcBorders>
            <w:shd w:val="clear" w:color="000000" w:fill="FFFFFF"/>
            <w:vAlign w:val="bottom"/>
          </w:tcPr>
          <w:p w14:paraId="1762CFC3" w14:textId="77777777"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469</w:t>
            </w:r>
          </w:p>
        </w:tc>
        <w:tc>
          <w:tcPr>
            <w:tcW w:w="292" w:type="pct"/>
            <w:tcBorders>
              <w:top w:val="nil"/>
              <w:left w:val="nil"/>
              <w:bottom w:val="nil"/>
              <w:right w:val="nil"/>
            </w:tcBorders>
            <w:shd w:val="clear" w:color="000000" w:fill="FFFFFF"/>
            <w:vAlign w:val="center"/>
          </w:tcPr>
          <w:p w14:paraId="44C930EC" w14:textId="77777777"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vAlign w:val="bottom"/>
          </w:tcPr>
          <w:p w14:paraId="7566B9B4" w14:textId="53C838AF"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1.12 (0.75</w:t>
            </w:r>
            <w:r w:rsidR="00443D23" w:rsidRPr="004D453A">
              <w:rPr>
                <w:rFonts w:ascii="Arial" w:hAnsi="Arial" w:cs="Arial"/>
                <w:color w:val="000000"/>
                <w:sz w:val="18"/>
                <w:szCs w:val="18"/>
              </w:rPr>
              <w:t>-</w:t>
            </w:r>
            <w:r w:rsidRPr="004D453A">
              <w:rPr>
                <w:rFonts w:ascii="Arial" w:hAnsi="Arial" w:cs="Arial"/>
                <w:color w:val="000000"/>
                <w:sz w:val="18"/>
                <w:szCs w:val="18"/>
              </w:rPr>
              <w:t>1.69)</w:t>
            </w:r>
          </w:p>
        </w:tc>
        <w:tc>
          <w:tcPr>
            <w:tcW w:w="565" w:type="pct"/>
            <w:tcBorders>
              <w:top w:val="nil"/>
              <w:left w:val="nil"/>
              <w:bottom w:val="nil"/>
              <w:right w:val="nil"/>
            </w:tcBorders>
            <w:shd w:val="clear" w:color="000000" w:fill="FFFFFF"/>
            <w:vAlign w:val="bottom"/>
          </w:tcPr>
          <w:p w14:paraId="00EF24C8" w14:textId="43336771"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1.30 (0.88</w:t>
            </w:r>
            <w:r w:rsidR="00443D23" w:rsidRPr="004D453A">
              <w:rPr>
                <w:rFonts w:ascii="Arial" w:hAnsi="Arial" w:cs="Arial"/>
                <w:color w:val="000000"/>
                <w:sz w:val="18"/>
                <w:szCs w:val="18"/>
              </w:rPr>
              <w:t>-</w:t>
            </w:r>
            <w:r w:rsidRPr="004D453A">
              <w:rPr>
                <w:rFonts w:ascii="Arial" w:hAnsi="Arial" w:cs="Arial"/>
                <w:color w:val="000000"/>
                <w:sz w:val="18"/>
                <w:szCs w:val="18"/>
              </w:rPr>
              <w:t>1.94)</w:t>
            </w:r>
          </w:p>
        </w:tc>
        <w:tc>
          <w:tcPr>
            <w:tcW w:w="580" w:type="pct"/>
            <w:tcBorders>
              <w:top w:val="nil"/>
              <w:left w:val="nil"/>
              <w:bottom w:val="nil"/>
              <w:right w:val="nil"/>
            </w:tcBorders>
            <w:shd w:val="clear" w:color="000000" w:fill="FFFFFF"/>
            <w:vAlign w:val="bottom"/>
          </w:tcPr>
          <w:p w14:paraId="7162BFD4" w14:textId="26143A09"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1.42 (0.95</w:t>
            </w:r>
            <w:r w:rsidR="00443D23" w:rsidRPr="004D453A">
              <w:rPr>
                <w:rFonts w:ascii="Arial" w:hAnsi="Arial" w:cs="Arial"/>
                <w:color w:val="000000"/>
                <w:sz w:val="18"/>
                <w:szCs w:val="18"/>
              </w:rPr>
              <w:t>-</w:t>
            </w:r>
            <w:r w:rsidRPr="004D453A">
              <w:rPr>
                <w:rFonts w:ascii="Arial" w:hAnsi="Arial" w:cs="Arial"/>
                <w:color w:val="000000"/>
                <w:sz w:val="18"/>
                <w:szCs w:val="18"/>
              </w:rPr>
              <w:t>2.11)</w:t>
            </w:r>
          </w:p>
        </w:tc>
        <w:tc>
          <w:tcPr>
            <w:tcW w:w="574" w:type="pct"/>
            <w:gridSpan w:val="2"/>
            <w:tcBorders>
              <w:top w:val="nil"/>
              <w:left w:val="nil"/>
              <w:bottom w:val="nil"/>
              <w:right w:val="nil"/>
            </w:tcBorders>
            <w:shd w:val="clear" w:color="000000" w:fill="FFFFFF"/>
            <w:vAlign w:val="bottom"/>
          </w:tcPr>
          <w:p w14:paraId="74662A8A" w14:textId="710338E4"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1.67 (1.13</w:t>
            </w:r>
            <w:r w:rsidR="00443D23" w:rsidRPr="004D453A">
              <w:rPr>
                <w:rFonts w:ascii="Arial" w:hAnsi="Arial" w:cs="Arial"/>
                <w:color w:val="000000"/>
                <w:sz w:val="18"/>
                <w:szCs w:val="18"/>
              </w:rPr>
              <w:t>-</w:t>
            </w:r>
            <w:r w:rsidRPr="004D453A">
              <w:rPr>
                <w:rFonts w:ascii="Arial" w:hAnsi="Arial" w:cs="Arial"/>
                <w:color w:val="000000"/>
                <w:sz w:val="18"/>
                <w:szCs w:val="18"/>
              </w:rPr>
              <w:t>2.48)</w:t>
            </w:r>
          </w:p>
        </w:tc>
        <w:tc>
          <w:tcPr>
            <w:tcW w:w="310" w:type="pct"/>
            <w:gridSpan w:val="2"/>
            <w:tcBorders>
              <w:top w:val="nil"/>
              <w:left w:val="nil"/>
              <w:bottom w:val="nil"/>
              <w:right w:val="nil"/>
            </w:tcBorders>
            <w:shd w:val="clear" w:color="auto" w:fill="auto"/>
            <w:noWrap/>
            <w:vAlign w:val="bottom"/>
          </w:tcPr>
          <w:p w14:paraId="0E7AE58C" w14:textId="3D85BA2B"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0.01</w:t>
            </w:r>
          </w:p>
        </w:tc>
        <w:tc>
          <w:tcPr>
            <w:tcW w:w="403" w:type="pct"/>
            <w:gridSpan w:val="2"/>
            <w:tcBorders>
              <w:top w:val="nil"/>
              <w:left w:val="nil"/>
              <w:bottom w:val="nil"/>
              <w:right w:val="nil"/>
            </w:tcBorders>
            <w:shd w:val="clear" w:color="000000" w:fill="FFFFFF"/>
            <w:vAlign w:val="bottom"/>
          </w:tcPr>
          <w:p w14:paraId="1BC4F79D" w14:textId="1B7A1637"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0021ED61"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5C9269F9" w14:textId="52337419" w:rsidR="0007729A" w:rsidRPr="004D453A" w:rsidRDefault="0007729A" w:rsidP="0007729A">
            <w:pPr>
              <w:ind w:firstLine="163"/>
              <w:rPr>
                <w:rFonts w:ascii="Arial" w:hAnsi="Arial" w:cs="Arial"/>
                <w:color w:val="000000" w:themeColor="text1"/>
                <w:sz w:val="18"/>
                <w:szCs w:val="18"/>
              </w:rPr>
            </w:pPr>
            <w:r w:rsidRPr="004D453A">
              <w:rPr>
                <w:rFonts w:ascii="Arial" w:hAnsi="Arial" w:cs="Arial"/>
                <w:color w:val="000000" w:themeColor="text1"/>
                <w:sz w:val="18"/>
                <w:szCs w:val="18"/>
              </w:rPr>
              <w:t xml:space="preserve">Women </w:t>
            </w:r>
          </w:p>
        </w:tc>
        <w:tc>
          <w:tcPr>
            <w:tcW w:w="277" w:type="pct"/>
            <w:gridSpan w:val="2"/>
            <w:tcBorders>
              <w:top w:val="nil"/>
              <w:left w:val="nil"/>
              <w:bottom w:val="nil"/>
              <w:right w:val="nil"/>
            </w:tcBorders>
            <w:shd w:val="clear" w:color="000000" w:fill="FFFFFF"/>
            <w:noWrap/>
            <w:vAlign w:val="bottom"/>
          </w:tcPr>
          <w:p w14:paraId="77F84A0C" w14:textId="0EAB461D"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303</w:t>
            </w:r>
          </w:p>
        </w:tc>
        <w:tc>
          <w:tcPr>
            <w:tcW w:w="292" w:type="pct"/>
            <w:tcBorders>
              <w:top w:val="nil"/>
              <w:left w:val="nil"/>
              <w:bottom w:val="nil"/>
              <w:right w:val="nil"/>
            </w:tcBorders>
            <w:shd w:val="clear" w:color="000000" w:fill="FFFFFF"/>
            <w:noWrap/>
            <w:vAlign w:val="center"/>
          </w:tcPr>
          <w:p w14:paraId="0B3DB156" w14:textId="77777777"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 1.00</w:t>
            </w:r>
          </w:p>
        </w:tc>
        <w:tc>
          <w:tcPr>
            <w:tcW w:w="564" w:type="pct"/>
            <w:tcBorders>
              <w:top w:val="nil"/>
              <w:left w:val="nil"/>
              <w:bottom w:val="nil"/>
              <w:right w:val="nil"/>
            </w:tcBorders>
            <w:shd w:val="clear" w:color="000000" w:fill="FFFFFF"/>
            <w:noWrap/>
            <w:vAlign w:val="bottom"/>
          </w:tcPr>
          <w:p w14:paraId="58C8F733" w14:textId="23AA89ED"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1.12 (0.73</w:t>
            </w:r>
            <w:r w:rsidR="00443D23" w:rsidRPr="004D453A">
              <w:rPr>
                <w:rFonts w:ascii="Arial" w:hAnsi="Arial" w:cs="Arial"/>
                <w:color w:val="000000"/>
                <w:sz w:val="18"/>
                <w:szCs w:val="18"/>
              </w:rPr>
              <w:t>-</w:t>
            </w:r>
            <w:r w:rsidRPr="004D453A">
              <w:rPr>
                <w:rFonts w:ascii="Arial" w:hAnsi="Arial" w:cs="Arial"/>
                <w:color w:val="000000"/>
                <w:sz w:val="18"/>
                <w:szCs w:val="18"/>
              </w:rPr>
              <w:t>1.70)</w:t>
            </w:r>
          </w:p>
        </w:tc>
        <w:tc>
          <w:tcPr>
            <w:tcW w:w="565" w:type="pct"/>
            <w:tcBorders>
              <w:top w:val="nil"/>
              <w:left w:val="nil"/>
              <w:bottom w:val="nil"/>
              <w:right w:val="nil"/>
            </w:tcBorders>
            <w:shd w:val="clear" w:color="000000" w:fill="FFFFFF"/>
            <w:noWrap/>
            <w:vAlign w:val="bottom"/>
          </w:tcPr>
          <w:p w14:paraId="30C039E4" w14:textId="607A0FC1"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0.75 (0.48</w:t>
            </w:r>
            <w:r w:rsidR="00443D23" w:rsidRPr="004D453A">
              <w:rPr>
                <w:rFonts w:ascii="Arial" w:hAnsi="Arial" w:cs="Arial"/>
                <w:color w:val="000000"/>
                <w:sz w:val="18"/>
                <w:szCs w:val="18"/>
              </w:rPr>
              <w:t>-</w:t>
            </w:r>
            <w:r w:rsidRPr="004D453A">
              <w:rPr>
                <w:rFonts w:ascii="Arial" w:hAnsi="Arial" w:cs="Arial"/>
                <w:color w:val="000000"/>
                <w:sz w:val="18"/>
                <w:szCs w:val="18"/>
              </w:rPr>
              <w:t>1.18)</w:t>
            </w:r>
          </w:p>
        </w:tc>
        <w:tc>
          <w:tcPr>
            <w:tcW w:w="580" w:type="pct"/>
            <w:tcBorders>
              <w:top w:val="nil"/>
              <w:left w:val="nil"/>
              <w:bottom w:val="nil"/>
              <w:right w:val="nil"/>
            </w:tcBorders>
            <w:shd w:val="clear" w:color="000000" w:fill="FFFFFF"/>
            <w:noWrap/>
            <w:vAlign w:val="bottom"/>
          </w:tcPr>
          <w:p w14:paraId="5979BBEA" w14:textId="45BB43F7"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0.96 (0.62</w:t>
            </w:r>
            <w:r w:rsidR="00443D23" w:rsidRPr="004D453A">
              <w:rPr>
                <w:rFonts w:ascii="Arial" w:hAnsi="Arial" w:cs="Arial"/>
                <w:color w:val="000000"/>
                <w:sz w:val="18"/>
                <w:szCs w:val="18"/>
              </w:rPr>
              <w:t>-</w:t>
            </w:r>
            <w:r w:rsidRPr="004D453A">
              <w:rPr>
                <w:rFonts w:ascii="Arial" w:hAnsi="Arial" w:cs="Arial"/>
                <w:color w:val="000000"/>
                <w:sz w:val="18"/>
                <w:szCs w:val="18"/>
              </w:rPr>
              <w:t>1.49)</w:t>
            </w:r>
          </w:p>
        </w:tc>
        <w:tc>
          <w:tcPr>
            <w:tcW w:w="574" w:type="pct"/>
            <w:gridSpan w:val="2"/>
            <w:tcBorders>
              <w:top w:val="nil"/>
              <w:left w:val="nil"/>
              <w:bottom w:val="nil"/>
              <w:right w:val="nil"/>
            </w:tcBorders>
            <w:shd w:val="clear" w:color="000000" w:fill="FFFFFF"/>
            <w:noWrap/>
            <w:vAlign w:val="bottom"/>
          </w:tcPr>
          <w:p w14:paraId="2E2AE2EA" w14:textId="3C2B474D"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0.92 (0.59</w:t>
            </w:r>
            <w:r w:rsidR="00443D23" w:rsidRPr="004D453A">
              <w:rPr>
                <w:rFonts w:ascii="Arial" w:hAnsi="Arial" w:cs="Arial"/>
                <w:color w:val="000000"/>
                <w:sz w:val="18"/>
                <w:szCs w:val="18"/>
              </w:rPr>
              <w:t>-</w:t>
            </w:r>
            <w:r w:rsidRPr="004D453A">
              <w:rPr>
                <w:rFonts w:ascii="Arial" w:hAnsi="Arial" w:cs="Arial"/>
                <w:color w:val="000000"/>
                <w:sz w:val="18"/>
                <w:szCs w:val="18"/>
              </w:rPr>
              <w:t>1.43)</w:t>
            </w:r>
          </w:p>
        </w:tc>
        <w:tc>
          <w:tcPr>
            <w:tcW w:w="310" w:type="pct"/>
            <w:gridSpan w:val="2"/>
            <w:tcBorders>
              <w:top w:val="nil"/>
              <w:left w:val="nil"/>
              <w:bottom w:val="nil"/>
              <w:right w:val="nil"/>
            </w:tcBorders>
            <w:shd w:val="clear" w:color="auto" w:fill="auto"/>
            <w:noWrap/>
            <w:vAlign w:val="bottom"/>
          </w:tcPr>
          <w:p w14:paraId="3E4FFBDB" w14:textId="1809BDE3"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0.52</w:t>
            </w:r>
          </w:p>
        </w:tc>
        <w:tc>
          <w:tcPr>
            <w:tcW w:w="403" w:type="pct"/>
            <w:gridSpan w:val="2"/>
            <w:tcBorders>
              <w:top w:val="nil"/>
              <w:left w:val="nil"/>
              <w:bottom w:val="nil"/>
              <w:right w:val="nil"/>
            </w:tcBorders>
            <w:shd w:val="clear" w:color="auto" w:fill="auto"/>
            <w:noWrap/>
            <w:vAlign w:val="bottom"/>
          </w:tcPr>
          <w:p w14:paraId="1D7DDA07" w14:textId="0078AD16"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0.28</w:t>
            </w:r>
          </w:p>
        </w:tc>
      </w:tr>
      <w:tr w:rsidR="00B810D0" w:rsidRPr="004D453A" w14:paraId="2A2CBF4B"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4C465ADD" w14:textId="77777777" w:rsidR="00AF09AE" w:rsidRPr="004D453A" w:rsidRDefault="00AF09AE" w:rsidP="00AF09AE">
            <w:pPr>
              <w:rPr>
                <w:rFonts w:ascii="Arial" w:hAnsi="Arial" w:cs="Arial"/>
                <w:color w:val="000000" w:themeColor="text1"/>
                <w:sz w:val="18"/>
                <w:szCs w:val="18"/>
              </w:rPr>
            </w:pPr>
            <w:r w:rsidRPr="004D453A">
              <w:rPr>
                <w:rFonts w:ascii="Arial" w:hAnsi="Arial" w:cs="Arial"/>
                <w:color w:val="000000" w:themeColor="text1"/>
                <w:sz w:val="18"/>
                <w:szCs w:val="18"/>
              </w:rPr>
              <w:t>Aspirin or other NSAID use</w:t>
            </w:r>
          </w:p>
        </w:tc>
        <w:tc>
          <w:tcPr>
            <w:tcW w:w="277" w:type="pct"/>
            <w:gridSpan w:val="2"/>
            <w:tcBorders>
              <w:top w:val="nil"/>
              <w:left w:val="nil"/>
              <w:bottom w:val="nil"/>
              <w:right w:val="nil"/>
            </w:tcBorders>
            <w:shd w:val="clear" w:color="000000" w:fill="FFFFFF"/>
            <w:noWrap/>
            <w:vAlign w:val="bottom"/>
          </w:tcPr>
          <w:p w14:paraId="4218C0D4" w14:textId="77777777" w:rsidR="00AF09AE" w:rsidRPr="004D453A" w:rsidRDefault="00AF09AE" w:rsidP="00AF09AE">
            <w:pPr>
              <w:jc w:val="center"/>
              <w:rPr>
                <w:rFonts w:ascii="Arial" w:hAnsi="Arial" w:cs="Arial"/>
                <w:color w:val="000000"/>
                <w:sz w:val="18"/>
                <w:szCs w:val="18"/>
              </w:rPr>
            </w:pPr>
          </w:p>
        </w:tc>
        <w:tc>
          <w:tcPr>
            <w:tcW w:w="292" w:type="pct"/>
            <w:tcBorders>
              <w:top w:val="nil"/>
              <w:left w:val="nil"/>
              <w:bottom w:val="nil"/>
              <w:right w:val="nil"/>
            </w:tcBorders>
            <w:shd w:val="clear" w:color="000000" w:fill="FFFFFF"/>
            <w:noWrap/>
            <w:vAlign w:val="center"/>
          </w:tcPr>
          <w:p w14:paraId="4AAA581C"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4" w:type="pct"/>
            <w:tcBorders>
              <w:top w:val="nil"/>
              <w:left w:val="nil"/>
              <w:bottom w:val="nil"/>
              <w:right w:val="nil"/>
            </w:tcBorders>
            <w:shd w:val="clear" w:color="000000" w:fill="FFFFFF"/>
            <w:noWrap/>
            <w:vAlign w:val="bottom"/>
          </w:tcPr>
          <w:p w14:paraId="040314E0" w14:textId="77777777" w:rsidR="00AF09AE" w:rsidRPr="004D453A" w:rsidRDefault="00AF09AE" w:rsidP="00AF09AE">
            <w:pPr>
              <w:jc w:val="center"/>
              <w:rPr>
                <w:rFonts w:ascii="Arial" w:hAnsi="Arial" w:cs="Arial"/>
                <w:color w:val="000000"/>
                <w:sz w:val="18"/>
                <w:szCs w:val="18"/>
              </w:rPr>
            </w:pPr>
          </w:p>
        </w:tc>
        <w:tc>
          <w:tcPr>
            <w:tcW w:w="565" w:type="pct"/>
            <w:tcBorders>
              <w:top w:val="nil"/>
              <w:left w:val="nil"/>
              <w:bottom w:val="nil"/>
              <w:right w:val="nil"/>
            </w:tcBorders>
            <w:shd w:val="clear" w:color="000000" w:fill="FFFFFF"/>
            <w:noWrap/>
            <w:vAlign w:val="bottom"/>
          </w:tcPr>
          <w:p w14:paraId="05447BAB" w14:textId="77777777" w:rsidR="00AF09AE" w:rsidRPr="004D453A" w:rsidRDefault="00AF09AE" w:rsidP="00AF09AE">
            <w:pPr>
              <w:rPr>
                <w:rFonts w:ascii="Arial" w:hAnsi="Arial" w:cs="Arial"/>
                <w:sz w:val="18"/>
                <w:szCs w:val="18"/>
              </w:rPr>
            </w:pPr>
          </w:p>
        </w:tc>
        <w:tc>
          <w:tcPr>
            <w:tcW w:w="580" w:type="pct"/>
            <w:tcBorders>
              <w:top w:val="nil"/>
              <w:left w:val="nil"/>
              <w:bottom w:val="nil"/>
              <w:right w:val="nil"/>
            </w:tcBorders>
            <w:shd w:val="clear" w:color="000000" w:fill="FFFFFF"/>
            <w:noWrap/>
            <w:vAlign w:val="bottom"/>
          </w:tcPr>
          <w:p w14:paraId="2F48FBA1" w14:textId="77777777" w:rsidR="00AF09AE" w:rsidRPr="004D453A" w:rsidRDefault="00AF09AE" w:rsidP="00AF09AE">
            <w:pPr>
              <w:rPr>
                <w:rFonts w:ascii="Arial" w:hAnsi="Arial" w:cs="Arial"/>
                <w:sz w:val="18"/>
                <w:szCs w:val="18"/>
              </w:rPr>
            </w:pPr>
          </w:p>
        </w:tc>
        <w:tc>
          <w:tcPr>
            <w:tcW w:w="574" w:type="pct"/>
            <w:gridSpan w:val="2"/>
            <w:tcBorders>
              <w:top w:val="nil"/>
              <w:left w:val="nil"/>
              <w:bottom w:val="nil"/>
              <w:right w:val="nil"/>
            </w:tcBorders>
            <w:shd w:val="clear" w:color="000000" w:fill="FFFFFF"/>
            <w:noWrap/>
            <w:vAlign w:val="bottom"/>
          </w:tcPr>
          <w:p w14:paraId="1DEA2549" w14:textId="77777777" w:rsidR="00AF09AE" w:rsidRPr="004D453A" w:rsidRDefault="00AF09AE" w:rsidP="00AF09AE">
            <w:pPr>
              <w:rPr>
                <w:rFonts w:ascii="Arial" w:hAnsi="Arial" w:cs="Arial"/>
                <w:sz w:val="18"/>
                <w:szCs w:val="18"/>
              </w:rPr>
            </w:pPr>
          </w:p>
        </w:tc>
        <w:tc>
          <w:tcPr>
            <w:tcW w:w="310" w:type="pct"/>
            <w:gridSpan w:val="2"/>
            <w:tcBorders>
              <w:top w:val="nil"/>
              <w:left w:val="nil"/>
              <w:bottom w:val="nil"/>
              <w:right w:val="nil"/>
            </w:tcBorders>
            <w:shd w:val="clear" w:color="000000" w:fill="FFFFFF"/>
            <w:noWrap/>
            <w:vAlign w:val="bottom"/>
          </w:tcPr>
          <w:p w14:paraId="3AA5142C" w14:textId="77777777" w:rsidR="00AF09AE" w:rsidRPr="004D453A" w:rsidRDefault="00AF09AE" w:rsidP="00AF09AE">
            <w:pPr>
              <w:rPr>
                <w:rFonts w:ascii="Arial" w:hAnsi="Arial" w:cs="Arial"/>
                <w:sz w:val="18"/>
                <w:szCs w:val="18"/>
              </w:rPr>
            </w:pPr>
          </w:p>
        </w:tc>
        <w:tc>
          <w:tcPr>
            <w:tcW w:w="403" w:type="pct"/>
            <w:gridSpan w:val="2"/>
            <w:tcBorders>
              <w:top w:val="nil"/>
              <w:left w:val="nil"/>
              <w:bottom w:val="nil"/>
              <w:right w:val="nil"/>
            </w:tcBorders>
            <w:shd w:val="clear" w:color="000000" w:fill="FFFFFF"/>
            <w:noWrap/>
            <w:vAlign w:val="bottom"/>
          </w:tcPr>
          <w:p w14:paraId="6A03ADBB"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2E624595"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11B36A5A" w14:textId="48D66390"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Takes aspirin or NSAID &lt; once/wk</w:t>
            </w:r>
          </w:p>
        </w:tc>
        <w:tc>
          <w:tcPr>
            <w:tcW w:w="277" w:type="pct"/>
            <w:gridSpan w:val="2"/>
            <w:tcBorders>
              <w:top w:val="nil"/>
              <w:left w:val="nil"/>
              <w:bottom w:val="nil"/>
              <w:right w:val="nil"/>
            </w:tcBorders>
            <w:shd w:val="clear" w:color="000000" w:fill="FFFFFF"/>
            <w:noWrap/>
            <w:vAlign w:val="bottom"/>
          </w:tcPr>
          <w:p w14:paraId="2B03CAD3"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493</w:t>
            </w:r>
          </w:p>
        </w:tc>
        <w:tc>
          <w:tcPr>
            <w:tcW w:w="292" w:type="pct"/>
            <w:tcBorders>
              <w:top w:val="nil"/>
              <w:left w:val="nil"/>
              <w:bottom w:val="nil"/>
              <w:right w:val="nil"/>
            </w:tcBorders>
            <w:shd w:val="clear" w:color="000000" w:fill="FFFFFF"/>
            <w:noWrap/>
            <w:vAlign w:val="center"/>
          </w:tcPr>
          <w:p w14:paraId="4B88C91C"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59980373" w14:textId="635B3661"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1.06 (0.73</w:t>
            </w:r>
            <w:r w:rsidR="00443D23" w:rsidRPr="004D453A">
              <w:rPr>
                <w:rFonts w:ascii="Arial" w:hAnsi="Arial" w:cs="Arial"/>
                <w:color w:val="000000"/>
                <w:sz w:val="18"/>
                <w:szCs w:val="18"/>
              </w:rPr>
              <w:t>-</w:t>
            </w:r>
            <w:r w:rsidRPr="004D453A">
              <w:rPr>
                <w:rFonts w:ascii="Arial" w:hAnsi="Arial" w:cs="Arial"/>
                <w:color w:val="000000"/>
                <w:sz w:val="18"/>
                <w:szCs w:val="18"/>
              </w:rPr>
              <w:t>1.54)</w:t>
            </w:r>
          </w:p>
        </w:tc>
        <w:tc>
          <w:tcPr>
            <w:tcW w:w="565" w:type="pct"/>
            <w:tcBorders>
              <w:top w:val="nil"/>
              <w:left w:val="nil"/>
              <w:bottom w:val="nil"/>
              <w:right w:val="nil"/>
            </w:tcBorders>
            <w:shd w:val="clear" w:color="000000" w:fill="FFFFFF"/>
            <w:noWrap/>
            <w:vAlign w:val="bottom"/>
          </w:tcPr>
          <w:p w14:paraId="37C9292C" w14:textId="3D42062C"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0.83 (0.57</w:t>
            </w:r>
            <w:r w:rsidR="00443D23" w:rsidRPr="004D453A">
              <w:rPr>
                <w:rFonts w:ascii="Arial" w:hAnsi="Arial" w:cs="Arial"/>
                <w:color w:val="000000"/>
                <w:sz w:val="18"/>
                <w:szCs w:val="18"/>
              </w:rPr>
              <w:t>-</w:t>
            </w:r>
            <w:r w:rsidRPr="004D453A">
              <w:rPr>
                <w:rFonts w:ascii="Arial" w:hAnsi="Arial" w:cs="Arial"/>
                <w:color w:val="000000"/>
                <w:sz w:val="18"/>
                <w:szCs w:val="18"/>
              </w:rPr>
              <w:t>1.22)</w:t>
            </w:r>
          </w:p>
        </w:tc>
        <w:tc>
          <w:tcPr>
            <w:tcW w:w="580" w:type="pct"/>
            <w:tcBorders>
              <w:top w:val="nil"/>
              <w:left w:val="nil"/>
              <w:bottom w:val="nil"/>
              <w:right w:val="nil"/>
            </w:tcBorders>
            <w:shd w:val="clear" w:color="000000" w:fill="FFFFFF"/>
            <w:noWrap/>
            <w:vAlign w:val="bottom"/>
          </w:tcPr>
          <w:p w14:paraId="3B3D4105" w14:textId="28F3A525"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1.07 (0.74</w:t>
            </w:r>
            <w:r w:rsidR="00443D23" w:rsidRPr="004D453A">
              <w:rPr>
                <w:rFonts w:ascii="Arial" w:hAnsi="Arial" w:cs="Arial"/>
                <w:color w:val="000000"/>
                <w:sz w:val="18"/>
                <w:szCs w:val="18"/>
              </w:rPr>
              <w:t>-</w:t>
            </w:r>
            <w:r w:rsidRPr="004D453A">
              <w:rPr>
                <w:rFonts w:ascii="Arial" w:hAnsi="Arial" w:cs="Arial"/>
                <w:color w:val="000000"/>
                <w:sz w:val="18"/>
                <w:szCs w:val="18"/>
              </w:rPr>
              <w:t>1.57)</w:t>
            </w:r>
          </w:p>
        </w:tc>
        <w:tc>
          <w:tcPr>
            <w:tcW w:w="574" w:type="pct"/>
            <w:gridSpan w:val="2"/>
            <w:tcBorders>
              <w:top w:val="nil"/>
              <w:left w:val="nil"/>
              <w:bottom w:val="nil"/>
              <w:right w:val="nil"/>
            </w:tcBorders>
            <w:shd w:val="clear" w:color="000000" w:fill="FFFFFF"/>
            <w:noWrap/>
            <w:vAlign w:val="bottom"/>
          </w:tcPr>
          <w:p w14:paraId="37F433F5" w14:textId="26134A25"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1.31 (0.91</w:t>
            </w:r>
            <w:r w:rsidR="00443D23" w:rsidRPr="004D453A">
              <w:rPr>
                <w:rFonts w:ascii="Arial" w:hAnsi="Arial" w:cs="Arial"/>
                <w:color w:val="000000"/>
                <w:sz w:val="18"/>
                <w:szCs w:val="18"/>
              </w:rPr>
              <w:t>-</w:t>
            </w:r>
            <w:r w:rsidRPr="004D453A">
              <w:rPr>
                <w:rFonts w:ascii="Arial" w:hAnsi="Arial" w:cs="Arial"/>
                <w:color w:val="000000"/>
                <w:sz w:val="18"/>
                <w:szCs w:val="18"/>
              </w:rPr>
              <w:t>1.89)</w:t>
            </w:r>
          </w:p>
        </w:tc>
        <w:tc>
          <w:tcPr>
            <w:tcW w:w="310" w:type="pct"/>
            <w:gridSpan w:val="2"/>
            <w:tcBorders>
              <w:top w:val="nil"/>
              <w:left w:val="nil"/>
              <w:bottom w:val="nil"/>
              <w:right w:val="nil"/>
            </w:tcBorders>
            <w:shd w:val="clear" w:color="auto" w:fill="auto"/>
            <w:noWrap/>
            <w:vAlign w:val="bottom"/>
          </w:tcPr>
          <w:p w14:paraId="2E7A215C"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0.17</w:t>
            </w:r>
          </w:p>
        </w:tc>
        <w:tc>
          <w:tcPr>
            <w:tcW w:w="403" w:type="pct"/>
            <w:gridSpan w:val="2"/>
            <w:tcBorders>
              <w:top w:val="nil"/>
              <w:left w:val="nil"/>
              <w:bottom w:val="nil"/>
              <w:right w:val="nil"/>
            </w:tcBorders>
            <w:shd w:val="clear" w:color="auto" w:fill="auto"/>
            <w:noWrap/>
            <w:vAlign w:val="bottom"/>
          </w:tcPr>
          <w:p w14:paraId="1E5E9AB8"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4E339BED"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0B143C93" w14:textId="6958C38F"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Take aspirin or NSAID ≥ once/wk</w:t>
            </w:r>
          </w:p>
        </w:tc>
        <w:tc>
          <w:tcPr>
            <w:tcW w:w="277" w:type="pct"/>
            <w:gridSpan w:val="2"/>
            <w:tcBorders>
              <w:top w:val="nil"/>
              <w:left w:val="nil"/>
              <w:bottom w:val="nil"/>
              <w:right w:val="nil"/>
            </w:tcBorders>
            <w:shd w:val="clear" w:color="000000" w:fill="FFFFFF"/>
            <w:noWrap/>
            <w:vAlign w:val="bottom"/>
          </w:tcPr>
          <w:p w14:paraId="226485E8"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272</w:t>
            </w:r>
          </w:p>
        </w:tc>
        <w:tc>
          <w:tcPr>
            <w:tcW w:w="292" w:type="pct"/>
            <w:tcBorders>
              <w:top w:val="nil"/>
              <w:left w:val="nil"/>
              <w:bottom w:val="nil"/>
              <w:right w:val="nil"/>
            </w:tcBorders>
            <w:shd w:val="clear" w:color="000000" w:fill="FFFFFF"/>
            <w:noWrap/>
            <w:vAlign w:val="center"/>
          </w:tcPr>
          <w:p w14:paraId="0571D918"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7BA22FF4" w14:textId="4D102EC7"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1.33 (0.84</w:t>
            </w:r>
            <w:r w:rsidR="00443D23" w:rsidRPr="004D453A">
              <w:rPr>
                <w:rFonts w:ascii="Arial" w:hAnsi="Arial" w:cs="Arial"/>
                <w:color w:val="000000"/>
                <w:sz w:val="18"/>
                <w:szCs w:val="18"/>
              </w:rPr>
              <w:t>-</w:t>
            </w:r>
            <w:r w:rsidRPr="004D453A">
              <w:rPr>
                <w:rFonts w:ascii="Arial" w:hAnsi="Arial" w:cs="Arial"/>
                <w:color w:val="000000"/>
                <w:sz w:val="18"/>
                <w:szCs w:val="18"/>
              </w:rPr>
              <w:t>2.13)</w:t>
            </w:r>
          </w:p>
        </w:tc>
        <w:tc>
          <w:tcPr>
            <w:tcW w:w="565" w:type="pct"/>
            <w:tcBorders>
              <w:top w:val="nil"/>
              <w:left w:val="nil"/>
              <w:bottom w:val="nil"/>
              <w:right w:val="nil"/>
            </w:tcBorders>
            <w:shd w:val="clear" w:color="000000" w:fill="FFFFFF"/>
            <w:noWrap/>
            <w:vAlign w:val="bottom"/>
          </w:tcPr>
          <w:p w14:paraId="1816935D" w14:textId="00DF711F"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1.51 (0.94</w:t>
            </w:r>
            <w:r w:rsidR="00443D23" w:rsidRPr="004D453A">
              <w:rPr>
                <w:rFonts w:ascii="Arial" w:hAnsi="Arial" w:cs="Arial"/>
                <w:color w:val="000000"/>
                <w:sz w:val="18"/>
                <w:szCs w:val="18"/>
              </w:rPr>
              <w:t>-</w:t>
            </w:r>
            <w:r w:rsidRPr="004D453A">
              <w:rPr>
                <w:rFonts w:ascii="Arial" w:hAnsi="Arial" w:cs="Arial"/>
                <w:color w:val="000000"/>
                <w:sz w:val="18"/>
                <w:szCs w:val="18"/>
              </w:rPr>
              <w:t>2.44)</w:t>
            </w:r>
          </w:p>
        </w:tc>
        <w:tc>
          <w:tcPr>
            <w:tcW w:w="580" w:type="pct"/>
            <w:tcBorders>
              <w:top w:val="nil"/>
              <w:left w:val="nil"/>
              <w:bottom w:val="nil"/>
              <w:right w:val="nil"/>
            </w:tcBorders>
            <w:shd w:val="clear" w:color="000000" w:fill="FFFFFF"/>
            <w:noWrap/>
            <w:vAlign w:val="bottom"/>
          </w:tcPr>
          <w:p w14:paraId="352003AB" w14:textId="17036A29"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1.25 (0.77</w:t>
            </w:r>
            <w:r w:rsidR="00443D23" w:rsidRPr="004D453A">
              <w:rPr>
                <w:rFonts w:ascii="Arial" w:hAnsi="Arial" w:cs="Arial"/>
                <w:color w:val="000000"/>
                <w:sz w:val="18"/>
                <w:szCs w:val="18"/>
              </w:rPr>
              <w:t>-</w:t>
            </w:r>
            <w:r w:rsidRPr="004D453A">
              <w:rPr>
                <w:rFonts w:ascii="Arial" w:hAnsi="Arial" w:cs="Arial"/>
                <w:color w:val="000000"/>
                <w:sz w:val="18"/>
                <w:szCs w:val="18"/>
              </w:rPr>
              <w:t>2.04)</w:t>
            </w:r>
          </w:p>
        </w:tc>
        <w:tc>
          <w:tcPr>
            <w:tcW w:w="574" w:type="pct"/>
            <w:gridSpan w:val="2"/>
            <w:tcBorders>
              <w:top w:val="nil"/>
              <w:left w:val="nil"/>
              <w:bottom w:val="nil"/>
              <w:right w:val="nil"/>
            </w:tcBorders>
            <w:shd w:val="clear" w:color="000000" w:fill="FFFFFF"/>
            <w:noWrap/>
            <w:vAlign w:val="bottom"/>
          </w:tcPr>
          <w:p w14:paraId="28398965" w14:textId="790C6DB3"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1.19 (0.73</w:t>
            </w:r>
            <w:r w:rsidR="00443D23" w:rsidRPr="004D453A">
              <w:rPr>
                <w:rFonts w:ascii="Arial" w:hAnsi="Arial" w:cs="Arial"/>
                <w:color w:val="000000"/>
                <w:sz w:val="18"/>
                <w:szCs w:val="18"/>
              </w:rPr>
              <w:t>-</w:t>
            </w:r>
            <w:r w:rsidRPr="004D453A">
              <w:rPr>
                <w:rFonts w:ascii="Arial" w:hAnsi="Arial" w:cs="Arial"/>
                <w:color w:val="000000"/>
                <w:sz w:val="18"/>
                <w:szCs w:val="18"/>
              </w:rPr>
              <w:t>1.96)</w:t>
            </w:r>
          </w:p>
        </w:tc>
        <w:tc>
          <w:tcPr>
            <w:tcW w:w="310" w:type="pct"/>
            <w:gridSpan w:val="2"/>
            <w:tcBorders>
              <w:top w:val="nil"/>
              <w:left w:val="nil"/>
              <w:bottom w:val="nil"/>
              <w:right w:val="nil"/>
            </w:tcBorders>
            <w:shd w:val="clear" w:color="auto" w:fill="auto"/>
            <w:noWrap/>
            <w:vAlign w:val="bottom"/>
          </w:tcPr>
          <w:p w14:paraId="4258AC1A"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0.41</w:t>
            </w:r>
          </w:p>
        </w:tc>
        <w:tc>
          <w:tcPr>
            <w:tcW w:w="403" w:type="pct"/>
            <w:gridSpan w:val="2"/>
            <w:tcBorders>
              <w:top w:val="nil"/>
              <w:left w:val="nil"/>
              <w:bottom w:val="nil"/>
              <w:right w:val="nil"/>
            </w:tcBorders>
            <w:shd w:val="clear" w:color="auto" w:fill="auto"/>
            <w:noWrap/>
            <w:vAlign w:val="bottom"/>
          </w:tcPr>
          <w:p w14:paraId="5ECF3510"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0.23</w:t>
            </w:r>
          </w:p>
        </w:tc>
      </w:tr>
      <w:tr w:rsidR="00B810D0" w:rsidRPr="004D453A" w14:paraId="540F0270"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2CF1A944" w14:textId="77777777" w:rsidR="00AF09AE" w:rsidRPr="004D453A" w:rsidRDefault="00AF09AE" w:rsidP="00AF09AE">
            <w:pPr>
              <w:rPr>
                <w:rFonts w:ascii="Arial" w:hAnsi="Arial" w:cs="Arial"/>
                <w:color w:val="000000" w:themeColor="text1"/>
                <w:sz w:val="18"/>
                <w:szCs w:val="18"/>
                <w:vertAlign w:val="superscript"/>
              </w:rPr>
            </w:pPr>
            <w:r w:rsidRPr="004D453A">
              <w:rPr>
                <w:rFonts w:ascii="Arial" w:hAnsi="Arial" w:cs="Arial"/>
                <w:color w:val="000000" w:themeColor="text1"/>
                <w:sz w:val="18"/>
                <w:szCs w:val="18"/>
              </w:rPr>
              <w:t xml:space="preserve">Family history of </w:t>
            </w:r>
            <w:proofErr w:type="spellStart"/>
            <w:r w:rsidRPr="004D453A">
              <w:rPr>
                <w:rFonts w:ascii="Arial" w:hAnsi="Arial" w:cs="Arial"/>
                <w:color w:val="000000" w:themeColor="text1"/>
                <w:sz w:val="18"/>
                <w:szCs w:val="18"/>
              </w:rPr>
              <w:t>CRC</w:t>
            </w:r>
            <w:r w:rsidRPr="004D453A">
              <w:rPr>
                <w:rFonts w:ascii="Arial" w:hAnsi="Arial" w:cs="Arial"/>
                <w:color w:val="000000" w:themeColor="text1"/>
                <w:sz w:val="18"/>
                <w:szCs w:val="18"/>
                <w:vertAlign w:val="superscript"/>
              </w:rPr>
              <w:t>c</w:t>
            </w:r>
            <w:proofErr w:type="spellEnd"/>
          </w:p>
        </w:tc>
        <w:tc>
          <w:tcPr>
            <w:tcW w:w="277" w:type="pct"/>
            <w:gridSpan w:val="2"/>
            <w:tcBorders>
              <w:top w:val="nil"/>
              <w:left w:val="nil"/>
              <w:bottom w:val="nil"/>
              <w:right w:val="nil"/>
            </w:tcBorders>
            <w:shd w:val="clear" w:color="000000" w:fill="FFFFFF"/>
            <w:noWrap/>
            <w:vAlign w:val="bottom"/>
          </w:tcPr>
          <w:p w14:paraId="4DF76B32" w14:textId="77777777" w:rsidR="00AF09AE" w:rsidRPr="004D453A" w:rsidRDefault="00AF09AE" w:rsidP="00AF09AE">
            <w:pPr>
              <w:jc w:val="center"/>
              <w:rPr>
                <w:rFonts w:ascii="Arial" w:hAnsi="Arial" w:cs="Arial"/>
                <w:color w:val="000000"/>
                <w:sz w:val="18"/>
                <w:szCs w:val="18"/>
              </w:rPr>
            </w:pPr>
          </w:p>
        </w:tc>
        <w:tc>
          <w:tcPr>
            <w:tcW w:w="292" w:type="pct"/>
            <w:tcBorders>
              <w:top w:val="nil"/>
              <w:left w:val="nil"/>
              <w:bottom w:val="nil"/>
              <w:right w:val="nil"/>
            </w:tcBorders>
            <w:shd w:val="clear" w:color="000000" w:fill="FFFFFF"/>
            <w:noWrap/>
            <w:vAlign w:val="center"/>
          </w:tcPr>
          <w:p w14:paraId="27D840AC"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4" w:type="pct"/>
            <w:tcBorders>
              <w:top w:val="nil"/>
              <w:left w:val="nil"/>
              <w:bottom w:val="nil"/>
              <w:right w:val="nil"/>
            </w:tcBorders>
            <w:shd w:val="clear" w:color="000000" w:fill="FFFFFF"/>
            <w:noWrap/>
            <w:vAlign w:val="bottom"/>
          </w:tcPr>
          <w:p w14:paraId="2E35C25A" w14:textId="77777777" w:rsidR="00AF09AE" w:rsidRPr="004D453A" w:rsidRDefault="00AF09AE" w:rsidP="00AF09AE">
            <w:pPr>
              <w:jc w:val="center"/>
              <w:rPr>
                <w:rFonts w:ascii="Arial" w:hAnsi="Arial" w:cs="Arial"/>
                <w:color w:val="000000"/>
                <w:sz w:val="18"/>
                <w:szCs w:val="18"/>
              </w:rPr>
            </w:pPr>
          </w:p>
        </w:tc>
        <w:tc>
          <w:tcPr>
            <w:tcW w:w="565" w:type="pct"/>
            <w:tcBorders>
              <w:top w:val="nil"/>
              <w:left w:val="nil"/>
              <w:bottom w:val="nil"/>
              <w:right w:val="nil"/>
            </w:tcBorders>
            <w:shd w:val="clear" w:color="000000" w:fill="FFFFFF"/>
            <w:noWrap/>
            <w:vAlign w:val="bottom"/>
          </w:tcPr>
          <w:p w14:paraId="5F6DD58E" w14:textId="77777777" w:rsidR="00AF09AE" w:rsidRPr="004D453A" w:rsidRDefault="00AF09AE" w:rsidP="00AF09AE">
            <w:pPr>
              <w:rPr>
                <w:rFonts w:ascii="Arial" w:hAnsi="Arial" w:cs="Arial"/>
                <w:sz w:val="18"/>
                <w:szCs w:val="18"/>
              </w:rPr>
            </w:pPr>
          </w:p>
        </w:tc>
        <w:tc>
          <w:tcPr>
            <w:tcW w:w="580" w:type="pct"/>
            <w:tcBorders>
              <w:top w:val="nil"/>
              <w:left w:val="nil"/>
              <w:bottom w:val="nil"/>
              <w:right w:val="nil"/>
            </w:tcBorders>
            <w:shd w:val="clear" w:color="000000" w:fill="FFFFFF"/>
            <w:noWrap/>
            <w:vAlign w:val="bottom"/>
          </w:tcPr>
          <w:p w14:paraId="13A680C8" w14:textId="77777777" w:rsidR="00AF09AE" w:rsidRPr="004D453A" w:rsidRDefault="00AF09AE" w:rsidP="00AF09AE">
            <w:pPr>
              <w:rPr>
                <w:rFonts w:ascii="Arial" w:hAnsi="Arial" w:cs="Arial"/>
                <w:sz w:val="18"/>
                <w:szCs w:val="18"/>
              </w:rPr>
            </w:pPr>
          </w:p>
        </w:tc>
        <w:tc>
          <w:tcPr>
            <w:tcW w:w="574" w:type="pct"/>
            <w:gridSpan w:val="2"/>
            <w:tcBorders>
              <w:top w:val="nil"/>
              <w:left w:val="nil"/>
              <w:bottom w:val="nil"/>
              <w:right w:val="nil"/>
            </w:tcBorders>
            <w:shd w:val="clear" w:color="000000" w:fill="FFFFFF"/>
            <w:noWrap/>
            <w:vAlign w:val="bottom"/>
          </w:tcPr>
          <w:p w14:paraId="75A7241D" w14:textId="77777777" w:rsidR="00AF09AE" w:rsidRPr="004D453A" w:rsidRDefault="00AF09AE" w:rsidP="00AF09AE">
            <w:pPr>
              <w:rPr>
                <w:rFonts w:ascii="Arial" w:hAnsi="Arial" w:cs="Arial"/>
                <w:sz w:val="18"/>
                <w:szCs w:val="18"/>
              </w:rPr>
            </w:pPr>
          </w:p>
        </w:tc>
        <w:tc>
          <w:tcPr>
            <w:tcW w:w="310" w:type="pct"/>
            <w:gridSpan w:val="2"/>
            <w:tcBorders>
              <w:top w:val="nil"/>
              <w:left w:val="nil"/>
              <w:bottom w:val="nil"/>
              <w:right w:val="nil"/>
            </w:tcBorders>
            <w:shd w:val="clear" w:color="000000" w:fill="FFFFFF"/>
            <w:noWrap/>
            <w:vAlign w:val="bottom"/>
          </w:tcPr>
          <w:p w14:paraId="282153DD" w14:textId="77777777" w:rsidR="00AF09AE" w:rsidRPr="004D453A" w:rsidRDefault="00AF09AE" w:rsidP="00AF09AE">
            <w:pPr>
              <w:rPr>
                <w:rFonts w:ascii="Arial" w:hAnsi="Arial" w:cs="Arial"/>
                <w:sz w:val="18"/>
                <w:szCs w:val="18"/>
              </w:rPr>
            </w:pPr>
          </w:p>
        </w:tc>
        <w:tc>
          <w:tcPr>
            <w:tcW w:w="403" w:type="pct"/>
            <w:gridSpan w:val="2"/>
            <w:tcBorders>
              <w:top w:val="nil"/>
              <w:left w:val="nil"/>
              <w:bottom w:val="nil"/>
              <w:right w:val="nil"/>
            </w:tcBorders>
            <w:shd w:val="clear" w:color="000000" w:fill="FFFFFF"/>
            <w:noWrap/>
            <w:vAlign w:val="bottom"/>
          </w:tcPr>
          <w:p w14:paraId="219B0B58"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3B9EC59F"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5EDD69DD"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No</w:t>
            </w:r>
          </w:p>
        </w:tc>
        <w:tc>
          <w:tcPr>
            <w:tcW w:w="277" w:type="pct"/>
            <w:gridSpan w:val="2"/>
            <w:tcBorders>
              <w:top w:val="nil"/>
              <w:left w:val="nil"/>
              <w:bottom w:val="nil"/>
              <w:right w:val="nil"/>
            </w:tcBorders>
            <w:shd w:val="clear" w:color="000000" w:fill="FFFFFF"/>
            <w:noWrap/>
            <w:vAlign w:val="bottom"/>
          </w:tcPr>
          <w:p w14:paraId="6F3321B1"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635</w:t>
            </w:r>
          </w:p>
        </w:tc>
        <w:tc>
          <w:tcPr>
            <w:tcW w:w="292" w:type="pct"/>
            <w:tcBorders>
              <w:top w:val="nil"/>
              <w:left w:val="nil"/>
              <w:bottom w:val="nil"/>
              <w:right w:val="nil"/>
            </w:tcBorders>
            <w:shd w:val="clear" w:color="000000" w:fill="FFFFFF"/>
            <w:noWrap/>
            <w:vAlign w:val="center"/>
          </w:tcPr>
          <w:p w14:paraId="17A07E69"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031E4669" w14:textId="6CD96A51"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1.12 (0.82</w:t>
            </w:r>
            <w:r w:rsidR="00443D23" w:rsidRPr="004D453A">
              <w:rPr>
                <w:rFonts w:ascii="Arial" w:hAnsi="Arial" w:cs="Arial"/>
                <w:color w:val="000000"/>
                <w:sz w:val="18"/>
                <w:szCs w:val="18"/>
              </w:rPr>
              <w:t>-</w:t>
            </w:r>
            <w:r w:rsidRPr="004D453A">
              <w:rPr>
                <w:rFonts w:ascii="Arial" w:hAnsi="Arial" w:cs="Arial"/>
                <w:color w:val="000000"/>
                <w:sz w:val="18"/>
                <w:szCs w:val="18"/>
              </w:rPr>
              <w:t>1.54)</w:t>
            </w:r>
          </w:p>
        </w:tc>
        <w:tc>
          <w:tcPr>
            <w:tcW w:w="565" w:type="pct"/>
            <w:tcBorders>
              <w:top w:val="nil"/>
              <w:left w:val="nil"/>
              <w:bottom w:val="nil"/>
              <w:right w:val="nil"/>
            </w:tcBorders>
            <w:shd w:val="clear" w:color="000000" w:fill="FFFFFF"/>
            <w:noWrap/>
            <w:vAlign w:val="bottom"/>
          </w:tcPr>
          <w:p w14:paraId="3B7FC977" w14:textId="6BD09870"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1.02 (0.74</w:t>
            </w:r>
            <w:r w:rsidR="00443D23" w:rsidRPr="004D453A">
              <w:rPr>
                <w:rFonts w:ascii="Arial" w:hAnsi="Arial" w:cs="Arial"/>
                <w:color w:val="000000"/>
                <w:sz w:val="18"/>
                <w:szCs w:val="18"/>
              </w:rPr>
              <w:t>-</w:t>
            </w:r>
            <w:r w:rsidRPr="004D453A">
              <w:rPr>
                <w:rFonts w:ascii="Arial" w:hAnsi="Arial" w:cs="Arial"/>
                <w:color w:val="000000"/>
                <w:sz w:val="18"/>
                <w:szCs w:val="18"/>
              </w:rPr>
              <w:t>1.42)</w:t>
            </w:r>
          </w:p>
        </w:tc>
        <w:tc>
          <w:tcPr>
            <w:tcW w:w="580" w:type="pct"/>
            <w:tcBorders>
              <w:top w:val="nil"/>
              <w:left w:val="nil"/>
              <w:bottom w:val="nil"/>
              <w:right w:val="nil"/>
            </w:tcBorders>
            <w:shd w:val="clear" w:color="000000" w:fill="FFFFFF"/>
            <w:noWrap/>
            <w:vAlign w:val="bottom"/>
          </w:tcPr>
          <w:p w14:paraId="3060B13A" w14:textId="3C74F9FF"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1.13 (0.82</w:t>
            </w:r>
            <w:r w:rsidR="00443D23" w:rsidRPr="004D453A">
              <w:rPr>
                <w:rFonts w:ascii="Arial" w:hAnsi="Arial" w:cs="Arial"/>
                <w:color w:val="000000"/>
                <w:sz w:val="18"/>
                <w:szCs w:val="18"/>
              </w:rPr>
              <w:t>-</w:t>
            </w:r>
            <w:r w:rsidRPr="004D453A">
              <w:rPr>
                <w:rFonts w:ascii="Arial" w:hAnsi="Arial" w:cs="Arial"/>
                <w:color w:val="000000"/>
                <w:sz w:val="18"/>
                <w:szCs w:val="18"/>
              </w:rPr>
              <w:t>1.57)</w:t>
            </w:r>
          </w:p>
        </w:tc>
        <w:tc>
          <w:tcPr>
            <w:tcW w:w="574" w:type="pct"/>
            <w:gridSpan w:val="2"/>
            <w:tcBorders>
              <w:top w:val="nil"/>
              <w:left w:val="nil"/>
              <w:bottom w:val="nil"/>
              <w:right w:val="nil"/>
            </w:tcBorders>
            <w:shd w:val="clear" w:color="000000" w:fill="FFFFFF"/>
            <w:noWrap/>
            <w:vAlign w:val="bottom"/>
          </w:tcPr>
          <w:p w14:paraId="087BC422" w14:textId="6EA78878"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1.34 (0.98</w:t>
            </w:r>
            <w:r w:rsidR="00443D23" w:rsidRPr="004D453A">
              <w:rPr>
                <w:rFonts w:ascii="Arial" w:hAnsi="Arial" w:cs="Arial"/>
                <w:color w:val="000000"/>
                <w:sz w:val="18"/>
                <w:szCs w:val="18"/>
              </w:rPr>
              <w:t>-</w:t>
            </w:r>
            <w:r w:rsidRPr="004D453A">
              <w:rPr>
                <w:rFonts w:ascii="Arial" w:hAnsi="Arial" w:cs="Arial"/>
                <w:color w:val="000000"/>
                <w:sz w:val="18"/>
                <w:szCs w:val="18"/>
              </w:rPr>
              <w:t>1.85)</w:t>
            </w:r>
          </w:p>
        </w:tc>
        <w:tc>
          <w:tcPr>
            <w:tcW w:w="310" w:type="pct"/>
            <w:gridSpan w:val="2"/>
            <w:tcBorders>
              <w:top w:val="nil"/>
              <w:left w:val="nil"/>
              <w:bottom w:val="nil"/>
              <w:right w:val="nil"/>
            </w:tcBorders>
            <w:shd w:val="clear" w:color="auto" w:fill="auto"/>
            <w:noWrap/>
            <w:vAlign w:val="bottom"/>
          </w:tcPr>
          <w:p w14:paraId="0F1FF976"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0.08</w:t>
            </w:r>
          </w:p>
        </w:tc>
        <w:tc>
          <w:tcPr>
            <w:tcW w:w="403" w:type="pct"/>
            <w:gridSpan w:val="2"/>
            <w:tcBorders>
              <w:top w:val="nil"/>
              <w:left w:val="nil"/>
              <w:bottom w:val="nil"/>
              <w:right w:val="nil"/>
            </w:tcBorders>
            <w:shd w:val="clear" w:color="auto" w:fill="auto"/>
            <w:noWrap/>
            <w:vAlign w:val="bottom"/>
          </w:tcPr>
          <w:p w14:paraId="58B1E4AE"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323A6F6F"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55103981"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Yes</w:t>
            </w:r>
          </w:p>
        </w:tc>
        <w:tc>
          <w:tcPr>
            <w:tcW w:w="277" w:type="pct"/>
            <w:gridSpan w:val="2"/>
            <w:tcBorders>
              <w:top w:val="nil"/>
              <w:left w:val="nil"/>
              <w:bottom w:val="nil"/>
              <w:right w:val="nil"/>
            </w:tcBorders>
            <w:shd w:val="clear" w:color="000000" w:fill="FFFFFF"/>
            <w:noWrap/>
            <w:vAlign w:val="bottom"/>
          </w:tcPr>
          <w:p w14:paraId="6A7AF469"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130</w:t>
            </w:r>
          </w:p>
        </w:tc>
        <w:tc>
          <w:tcPr>
            <w:tcW w:w="292" w:type="pct"/>
            <w:tcBorders>
              <w:top w:val="nil"/>
              <w:left w:val="nil"/>
              <w:bottom w:val="nil"/>
              <w:right w:val="nil"/>
            </w:tcBorders>
            <w:shd w:val="clear" w:color="000000" w:fill="FFFFFF"/>
            <w:noWrap/>
            <w:vAlign w:val="center"/>
          </w:tcPr>
          <w:p w14:paraId="09FF453A"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210F76D2" w14:textId="2C2B65D2"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1.49 (0.7</w:t>
            </w:r>
            <w:r w:rsidR="00E73909" w:rsidRPr="004D453A">
              <w:rPr>
                <w:rFonts w:ascii="Arial" w:hAnsi="Arial" w:cs="Arial"/>
                <w:color w:val="000000"/>
                <w:sz w:val="18"/>
                <w:szCs w:val="18"/>
              </w:rPr>
              <w:t>0</w:t>
            </w:r>
            <w:r w:rsidR="00443D23" w:rsidRPr="004D453A">
              <w:rPr>
                <w:rFonts w:ascii="Arial" w:hAnsi="Arial" w:cs="Arial"/>
                <w:color w:val="000000"/>
                <w:sz w:val="18"/>
                <w:szCs w:val="18"/>
              </w:rPr>
              <w:t>-</w:t>
            </w:r>
            <w:r w:rsidRPr="004D453A">
              <w:rPr>
                <w:rFonts w:ascii="Arial" w:hAnsi="Arial" w:cs="Arial"/>
                <w:color w:val="000000"/>
                <w:sz w:val="18"/>
                <w:szCs w:val="18"/>
              </w:rPr>
              <w:t>3.2</w:t>
            </w:r>
            <w:r w:rsidR="00E73909" w:rsidRPr="004D453A">
              <w:rPr>
                <w:rFonts w:ascii="Arial" w:hAnsi="Arial" w:cs="Arial"/>
                <w:color w:val="000000"/>
                <w:sz w:val="18"/>
                <w:szCs w:val="18"/>
              </w:rPr>
              <w:t>0</w:t>
            </w:r>
            <w:r w:rsidRPr="004D453A">
              <w:rPr>
                <w:rFonts w:ascii="Arial" w:hAnsi="Arial" w:cs="Arial"/>
                <w:color w:val="000000"/>
                <w:sz w:val="18"/>
                <w:szCs w:val="18"/>
              </w:rPr>
              <w:t>)</w:t>
            </w:r>
          </w:p>
        </w:tc>
        <w:tc>
          <w:tcPr>
            <w:tcW w:w="565" w:type="pct"/>
            <w:tcBorders>
              <w:top w:val="nil"/>
              <w:left w:val="nil"/>
              <w:bottom w:val="nil"/>
              <w:right w:val="nil"/>
            </w:tcBorders>
            <w:shd w:val="clear" w:color="000000" w:fill="FFFFFF"/>
            <w:noWrap/>
            <w:vAlign w:val="bottom"/>
          </w:tcPr>
          <w:p w14:paraId="694E2B55" w14:textId="17EDF771"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1.18 (0.56</w:t>
            </w:r>
            <w:r w:rsidR="00443D23" w:rsidRPr="004D453A">
              <w:rPr>
                <w:rFonts w:ascii="Arial" w:hAnsi="Arial" w:cs="Arial"/>
                <w:color w:val="000000"/>
                <w:sz w:val="18"/>
                <w:szCs w:val="18"/>
              </w:rPr>
              <w:t>-</w:t>
            </w:r>
            <w:r w:rsidRPr="004D453A">
              <w:rPr>
                <w:rFonts w:ascii="Arial" w:hAnsi="Arial" w:cs="Arial"/>
                <w:color w:val="000000"/>
                <w:sz w:val="18"/>
                <w:szCs w:val="18"/>
              </w:rPr>
              <w:t>2.52)</w:t>
            </w:r>
          </w:p>
        </w:tc>
        <w:tc>
          <w:tcPr>
            <w:tcW w:w="580" w:type="pct"/>
            <w:tcBorders>
              <w:top w:val="nil"/>
              <w:left w:val="nil"/>
              <w:bottom w:val="nil"/>
              <w:right w:val="nil"/>
            </w:tcBorders>
            <w:shd w:val="clear" w:color="000000" w:fill="FFFFFF"/>
            <w:noWrap/>
            <w:vAlign w:val="bottom"/>
          </w:tcPr>
          <w:p w14:paraId="76E13BEF" w14:textId="1F3A6ED6"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1.49 (0.71</w:t>
            </w:r>
            <w:r w:rsidR="00443D23" w:rsidRPr="004D453A">
              <w:rPr>
                <w:rFonts w:ascii="Arial" w:hAnsi="Arial" w:cs="Arial"/>
                <w:color w:val="000000"/>
                <w:sz w:val="18"/>
                <w:szCs w:val="18"/>
              </w:rPr>
              <w:t>-</w:t>
            </w:r>
            <w:r w:rsidRPr="004D453A">
              <w:rPr>
                <w:rFonts w:ascii="Arial" w:hAnsi="Arial" w:cs="Arial"/>
                <w:color w:val="000000"/>
                <w:sz w:val="18"/>
                <w:szCs w:val="18"/>
              </w:rPr>
              <w:t>3.16)</w:t>
            </w:r>
          </w:p>
        </w:tc>
        <w:tc>
          <w:tcPr>
            <w:tcW w:w="574" w:type="pct"/>
            <w:gridSpan w:val="2"/>
            <w:tcBorders>
              <w:top w:val="nil"/>
              <w:left w:val="nil"/>
              <w:bottom w:val="nil"/>
              <w:right w:val="nil"/>
            </w:tcBorders>
            <w:shd w:val="clear" w:color="000000" w:fill="FFFFFF"/>
            <w:noWrap/>
            <w:vAlign w:val="bottom"/>
          </w:tcPr>
          <w:p w14:paraId="39C53AC8" w14:textId="1FBAD7D8"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1.08 (0.5</w:t>
            </w:r>
            <w:r w:rsidR="00E73909" w:rsidRPr="004D453A">
              <w:rPr>
                <w:rFonts w:ascii="Arial" w:hAnsi="Arial" w:cs="Arial"/>
                <w:color w:val="000000"/>
                <w:sz w:val="18"/>
                <w:szCs w:val="18"/>
              </w:rPr>
              <w:t>0</w:t>
            </w:r>
            <w:r w:rsidR="00443D23" w:rsidRPr="004D453A">
              <w:rPr>
                <w:rFonts w:ascii="Arial" w:hAnsi="Arial" w:cs="Arial"/>
                <w:color w:val="000000"/>
                <w:sz w:val="18"/>
                <w:szCs w:val="18"/>
              </w:rPr>
              <w:t>-</w:t>
            </w:r>
            <w:r w:rsidRPr="004D453A">
              <w:rPr>
                <w:rFonts w:ascii="Arial" w:hAnsi="Arial" w:cs="Arial"/>
                <w:color w:val="000000"/>
                <w:sz w:val="18"/>
                <w:szCs w:val="18"/>
              </w:rPr>
              <w:t>2.35)</w:t>
            </w:r>
          </w:p>
        </w:tc>
        <w:tc>
          <w:tcPr>
            <w:tcW w:w="310" w:type="pct"/>
            <w:gridSpan w:val="2"/>
            <w:tcBorders>
              <w:top w:val="nil"/>
              <w:left w:val="nil"/>
              <w:bottom w:val="nil"/>
              <w:right w:val="nil"/>
            </w:tcBorders>
            <w:shd w:val="clear" w:color="auto" w:fill="auto"/>
            <w:noWrap/>
            <w:vAlign w:val="bottom"/>
          </w:tcPr>
          <w:p w14:paraId="5E6CE757"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0.94</w:t>
            </w:r>
          </w:p>
        </w:tc>
        <w:tc>
          <w:tcPr>
            <w:tcW w:w="403" w:type="pct"/>
            <w:gridSpan w:val="2"/>
            <w:tcBorders>
              <w:top w:val="nil"/>
              <w:left w:val="nil"/>
              <w:bottom w:val="nil"/>
              <w:right w:val="nil"/>
            </w:tcBorders>
            <w:shd w:val="clear" w:color="auto" w:fill="auto"/>
            <w:noWrap/>
            <w:vAlign w:val="bottom"/>
          </w:tcPr>
          <w:p w14:paraId="12F3E8E6"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0.81</w:t>
            </w:r>
          </w:p>
        </w:tc>
      </w:tr>
      <w:tr w:rsidR="00B810D0" w:rsidRPr="004D453A" w14:paraId="2038B107"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06D1D1CA" w14:textId="77777777" w:rsidR="00AF09AE" w:rsidRPr="004D453A" w:rsidRDefault="00AF09AE" w:rsidP="00AF09AE">
            <w:pPr>
              <w:rPr>
                <w:rFonts w:ascii="Arial" w:hAnsi="Arial" w:cs="Arial"/>
                <w:color w:val="000000" w:themeColor="text1"/>
                <w:sz w:val="18"/>
                <w:szCs w:val="18"/>
              </w:rPr>
            </w:pPr>
            <w:r w:rsidRPr="004D453A">
              <w:rPr>
                <w:rFonts w:ascii="Arial" w:hAnsi="Arial" w:cs="Arial"/>
                <w:color w:val="000000" w:themeColor="text1"/>
                <w:sz w:val="18"/>
                <w:szCs w:val="18"/>
              </w:rPr>
              <w:t>Tobacco use</w:t>
            </w:r>
          </w:p>
        </w:tc>
        <w:tc>
          <w:tcPr>
            <w:tcW w:w="277" w:type="pct"/>
            <w:gridSpan w:val="2"/>
            <w:tcBorders>
              <w:top w:val="nil"/>
              <w:left w:val="nil"/>
              <w:bottom w:val="nil"/>
              <w:right w:val="nil"/>
            </w:tcBorders>
            <w:shd w:val="clear" w:color="000000" w:fill="FFFFFF"/>
            <w:noWrap/>
            <w:vAlign w:val="center"/>
          </w:tcPr>
          <w:p w14:paraId="3A69EB67" w14:textId="77777777" w:rsidR="00AF09AE" w:rsidRPr="004D453A" w:rsidRDefault="00AF09AE" w:rsidP="00AF09AE">
            <w:pPr>
              <w:jc w:val="center"/>
              <w:rPr>
                <w:rFonts w:ascii="Arial" w:hAnsi="Arial" w:cs="Arial"/>
                <w:color w:val="000000"/>
                <w:sz w:val="18"/>
                <w:szCs w:val="18"/>
              </w:rPr>
            </w:pPr>
          </w:p>
        </w:tc>
        <w:tc>
          <w:tcPr>
            <w:tcW w:w="292" w:type="pct"/>
            <w:tcBorders>
              <w:top w:val="nil"/>
              <w:left w:val="nil"/>
              <w:bottom w:val="nil"/>
              <w:right w:val="nil"/>
            </w:tcBorders>
            <w:shd w:val="clear" w:color="000000" w:fill="FFFFFF"/>
            <w:noWrap/>
            <w:vAlign w:val="center"/>
          </w:tcPr>
          <w:p w14:paraId="0C78B107"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4" w:type="pct"/>
            <w:tcBorders>
              <w:top w:val="nil"/>
              <w:left w:val="nil"/>
              <w:bottom w:val="nil"/>
              <w:right w:val="nil"/>
            </w:tcBorders>
            <w:shd w:val="clear" w:color="000000" w:fill="FFFFFF"/>
            <w:noWrap/>
            <w:vAlign w:val="center"/>
          </w:tcPr>
          <w:p w14:paraId="0D2C0E85"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5" w:type="pct"/>
            <w:tcBorders>
              <w:top w:val="nil"/>
              <w:left w:val="nil"/>
              <w:bottom w:val="nil"/>
              <w:right w:val="nil"/>
            </w:tcBorders>
            <w:shd w:val="clear" w:color="000000" w:fill="FFFFFF"/>
            <w:noWrap/>
            <w:vAlign w:val="center"/>
          </w:tcPr>
          <w:p w14:paraId="6E35C7E6"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80" w:type="pct"/>
            <w:tcBorders>
              <w:top w:val="nil"/>
              <w:left w:val="nil"/>
              <w:bottom w:val="nil"/>
              <w:right w:val="nil"/>
            </w:tcBorders>
            <w:shd w:val="clear" w:color="000000" w:fill="FFFFFF"/>
            <w:noWrap/>
            <w:vAlign w:val="center"/>
          </w:tcPr>
          <w:p w14:paraId="2042BC9D"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74" w:type="pct"/>
            <w:gridSpan w:val="2"/>
            <w:tcBorders>
              <w:top w:val="nil"/>
              <w:left w:val="nil"/>
              <w:bottom w:val="nil"/>
              <w:right w:val="nil"/>
            </w:tcBorders>
            <w:shd w:val="clear" w:color="000000" w:fill="FFFFFF"/>
            <w:noWrap/>
            <w:vAlign w:val="center"/>
          </w:tcPr>
          <w:p w14:paraId="3B4AA8D4"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310" w:type="pct"/>
            <w:gridSpan w:val="2"/>
            <w:tcBorders>
              <w:top w:val="nil"/>
              <w:left w:val="nil"/>
              <w:bottom w:val="nil"/>
              <w:right w:val="nil"/>
            </w:tcBorders>
            <w:shd w:val="clear" w:color="000000" w:fill="FFFFFF"/>
            <w:noWrap/>
            <w:vAlign w:val="bottom"/>
          </w:tcPr>
          <w:p w14:paraId="3A3BA608"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403" w:type="pct"/>
            <w:gridSpan w:val="2"/>
            <w:tcBorders>
              <w:top w:val="nil"/>
              <w:left w:val="nil"/>
              <w:bottom w:val="nil"/>
              <w:right w:val="nil"/>
            </w:tcBorders>
            <w:shd w:val="clear" w:color="000000" w:fill="FFFFFF"/>
            <w:noWrap/>
            <w:vAlign w:val="bottom"/>
          </w:tcPr>
          <w:p w14:paraId="1D5D52A8"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6C2A6580" w14:textId="77777777" w:rsidTr="00FF5112">
        <w:trPr>
          <w:trHeight w:val="20"/>
        </w:trPr>
        <w:tc>
          <w:tcPr>
            <w:tcW w:w="1435" w:type="pct"/>
            <w:gridSpan w:val="2"/>
            <w:tcBorders>
              <w:top w:val="nil"/>
              <w:left w:val="nil"/>
              <w:bottom w:val="nil"/>
              <w:right w:val="nil"/>
            </w:tcBorders>
            <w:shd w:val="clear" w:color="000000" w:fill="FFFFFF"/>
            <w:noWrap/>
            <w:vAlign w:val="bottom"/>
            <w:hideMark/>
          </w:tcPr>
          <w:p w14:paraId="39EC23A6" w14:textId="456D4D1E" w:rsidR="0007729A" w:rsidRPr="004D453A" w:rsidRDefault="0007729A" w:rsidP="0007729A">
            <w:pPr>
              <w:ind w:firstLine="163"/>
              <w:rPr>
                <w:rFonts w:ascii="Arial" w:hAnsi="Arial" w:cs="Arial"/>
                <w:color w:val="000000" w:themeColor="text1"/>
                <w:sz w:val="18"/>
                <w:szCs w:val="18"/>
              </w:rPr>
            </w:pPr>
            <w:r w:rsidRPr="004D453A">
              <w:rPr>
                <w:rFonts w:ascii="Arial" w:hAnsi="Arial" w:cs="Arial"/>
                <w:color w:val="000000"/>
                <w:sz w:val="18"/>
                <w:szCs w:val="18"/>
              </w:rPr>
              <w:t>Never smoker</w:t>
            </w:r>
          </w:p>
        </w:tc>
        <w:tc>
          <w:tcPr>
            <w:tcW w:w="277" w:type="pct"/>
            <w:gridSpan w:val="2"/>
            <w:tcBorders>
              <w:top w:val="nil"/>
              <w:left w:val="nil"/>
              <w:bottom w:val="nil"/>
              <w:right w:val="nil"/>
            </w:tcBorders>
            <w:shd w:val="clear" w:color="000000" w:fill="FFFFFF"/>
            <w:noWrap/>
            <w:vAlign w:val="bottom"/>
          </w:tcPr>
          <w:p w14:paraId="3320636F" w14:textId="0D344B4C"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234</w:t>
            </w:r>
          </w:p>
        </w:tc>
        <w:tc>
          <w:tcPr>
            <w:tcW w:w="292" w:type="pct"/>
            <w:tcBorders>
              <w:top w:val="nil"/>
              <w:left w:val="nil"/>
              <w:bottom w:val="nil"/>
              <w:right w:val="nil"/>
            </w:tcBorders>
            <w:shd w:val="clear" w:color="000000" w:fill="FFFFFF"/>
            <w:noWrap/>
            <w:vAlign w:val="center"/>
          </w:tcPr>
          <w:p w14:paraId="7C9361C7" w14:textId="2A395C75"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3D1B01EF" w14:textId="5DF7339D"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1.56 (0.96</w:t>
            </w:r>
            <w:r w:rsidR="00443D23" w:rsidRPr="004D453A">
              <w:rPr>
                <w:rFonts w:ascii="Arial" w:hAnsi="Arial" w:cs="Arial"/>
                <w:color w:val="000000"/>
                <w:sz w:val="18"/>
                <w:szCs w:val="18"/>
              </w:rPr>
              <w:t>-</w:t>
            </w:r>
            <w:r w:rsidRPr="004D453A">
              <w:rPr>
                <w:rFonts w:ascii="Arial" w:hAnsi="Arial" w:cs="Arial"/>
                <w:color w:val="000000"/>
                <w:sz w:val="18"/>
                <w:szCs w:val="18"/>
              </w:rPr>
              <w:t>2.55)</w:t>
            </w:r>
          </w:p>
        </w:tc>
        <w:tc>
          <w:tcPr>
            <w:tcW w:w="565" w:type="pct"/>
            <w:tcBorders>
              <w:top w:val="nil"/>
              <w:left w:val="nil"/>
              <w:bottom w:val="nil"/>
              <w:right w:val="nil"/>
            </w:tcBorders>
            <w:shd w:val="clear" w:color="000000" w:fill="FFFFFF"/>
            <w:noWrap/>
            <w:vAlign w:val="bottom"/>
          </w:tcPr>
          <w:p w14:paraId="5026045E" w14:textId="6F83E613"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1.09 (0.64</w:t>
            </w:r>
            <w:r w:rsidR="00443D23" w:rsidRPr="004D453A">
              <w:rPr>
                <w:rFonts w:ascii="Arial" w:hAnsi="Arial" w:cs="Arial"/>
                <w:color w:val="000000"/>
                <w:sz w:val="18"/>
                <w:szCs w:val="18"/>
              </w:rPr>
              <w:t>-</w:t>
            </w:r>
            <w:r w:rsidRPr="004D453A">
              <w:rPr>
                <w:rFonts w:ascii="Arial" w:hAnsi="Arial" w:cs="Arial"/>
                <w:color w:val="000000"/>
                <w:sz w:val="18"/>
                <w:szCs w:val="18"/>
              </w:rPr>
              <w:t>1.85)</w:t>
            </w:r>
          </w:p>
        </w:tc>
        <w:tc>
          <w:tcPr>
            <w:tcW w:w="580" w:type="pct"/>
            <w:tcBorders>
              <w:top w:val="nil"/>
              <w:left w:val="nil"/>
              <w:bottom w:val="nil"/>
              <w:right w:val="nil"/>
            </w:tcBorders>
            <w:shd w:val="clear" w:color="000000" w:fill="FFFFFF"/>
            <w:noWrap/>
            <w:vAlign w:val="bottom"/>
          </w:tcPr>
          <w:p w14:paraId="5D825C1E" w14:textId="321E5127"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1.31 (0.79</w:t>
            </w:r>
            <w:r w:rsidR="00443D23" w:rsidRPr="004D453A">
              <w:rPr>
                <w:rFonts w:ascii="Arial" w:hAnsi="Arial" w:cs="Arial"/>
                <w:color w:val="000000"/>
                <w:sz w:val="18"/>
                <w:szCs w:val="18"/>
              </w:rPr>
              <w:t>-</w:t>
            </w:r>
            <w:r w:rsidRPr="004D453A">
              <w:rPr>
                <w:rFonts w:ascii="Arial" w:hAnsi="Arial" w:cs="Arial"/>
                <w:color w:val="000000"/>
                <w:sz w:val="18"/>
                <w:szCs w:val="18"/>
              </w:rPr>
              <w:t>2.19)</w:t>
            </w:r>
          </w:p>
        </w:tc>
        <w:tc>
          <w:tcPr>
            <w:tcW w:w="574" w:type="pct"/>
            <w:gridSpan w:val="2"/>
            <w:tcBorders>
              <w:top w:val="nil"/>
              <w:left w:val="nil"/>
              <w:bottom w:val="nil"/>
              <w:right w:val="nil"/>
            </w:tcBorders>
            <w:shd w:val="clear" w:color="000000" w:fill="FFFFFF"/>
            <w:noWrap/>
            <w:vAlign w:val="bottom"/>
          </w:tcPr>
          <w:p w14:paraId="6D14E029" w14:textId="501C0E86"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1.64 (1</w:t>
            </w:r>
            <w:r w:rsidR="00297419" w:rsidRPr="004D453A">
              <w:rPr>
                <w:rFonts w:ascii="Arial" w:hAnsi="Arial" w:cs="Arial"/>
                <w:color w:val="000000"/>
                <w:sz w:val="18"/>
                <w:szCs w:val="18"/>
              </w:rPr>
              <w:t>.00</w:t>
            </w:r>
            <w:r w:rsidR="00443D23" w:rsidRPr="004D453A">
              <w:rPr>
                <w:rFonts w:ascii="Arial" w:hAnsi="Arial" w:cs="Arial"/>
                <w:color w:val="000000"/>
                <w:sz w:val="18"/>
                <w:szCs w:val="18"/>
              </w:rPr>
              <w:t>-</w:t>
            </w:r>
            <w:r w:rsidRPr="004D453A">
              <w:rPr>
                <w:rFonts w:ascii="Arial" w:hAnsi="Arial" w:cs="Arial"/>
                <w:color w:val="000000"/>
                <w:sz w:val="18"/>
                <w:szCs w:val="18"/>
              </w:rPr>
              <w:t>2.73)</w:t>
            </w:r>
          </w:p>
        </w:tc>
        <w:tc>
          <w:tcPr>
            <w:tcW w:w="310" w:type="pct"/>
            <w:gridSpan w:val="2"/>
            <w:tcBorders>
              <w:top w:val="nil"/>
              <w:left w:val="nil"/>
              <w:bottom w:val="nil"/>
              <w:right w:val="nil"/>
            </w:tcBorders>
            <w:shd w:val="clear" w:color="auto" w:fill="auto"/>
            <w:noWrap/>
            <w:vAlign w:val="bottom"/>
          </w:tcPr>
          <w:p w14:paraId="54E868FF" w14:textId="0748BDEF"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0.12</w:t>
            </w:r>
          </w:p>
        </w:tc>
        <w:tc>
          <w:tcPr>
            <w:tcW w:w="403" w:type="pct"/>
            <w:gridSpan w:val="2"/>
            <w:tcBorders>
              <w:top w:val="nil"/>
              <w:left w:val="nil"/>
              <w:bottom w:val="nil"/>
              <w:right w:val="nil"/>
            </w:tcBorders>
            <w:shd w:val="clear" w:color="auto" w:fill="auto"/>
            <w:noWrap/>
            <w:vAlign w:val="bottom"/>
          </w:tcPr>
          <w:p w14:paraId="7310F240" w14:textId="0CAB206A"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1E174EE0"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3184E134" w14:textId="1C074AE4" w:rsidR="0007729A" w:rsidRPr="004D453A" w:rsidRDefault="0007729A" w:rsidP="0007729A">
            <w:pPr>
              <w:ind w:firstLine="163"/>
              <w:rPr>
                <w:rFonts w:ascii="Arial" w:hAnsi="Arial" w:cs="Arial"/>
                <w:color w:val="000000" w:themeColor="text1"/>
                <w:sz w:val="18"/>
                <w:szCs w:val="18"/>
              </w:rPr>
            </w:pPr>
            <w:r w:rsidRPr="004D453A">
              <w:rPr>
                <w:rFonts w:ascii="Arial" w:hAnsi="Arial" w:cs="Arial"/>
                <w:color w:val="000000"/>
                <w:sz w:val="18"/>
                <w:szCs w:val="18"/>
              </w:rPr>
              <w:t>Former or current smoker</w:t>
            </w:r>
          </w:p>
        </w:tc>
        <w:tc>
          <w:tcPr>
            <w:tcW w:w="277" w:type="pct"/>
            <w:gridSpan w:val="2"/>
            <w:tcBorders>
              <w:top w:val="nil"/>
              <w:left w:val="nil"/>
              <w:bottom w:val="nil"/>
              <w:right w:val="nil"/>
            </w:tcBorders>
            <w:shd w:val="clear" w:color="000000" w:fill="FFFFFF"/>
            <w:noWrap/>
            <w:vAlign w:val="bottom"/>
          </w:tcPr>
          <w:p w14:paraId="51C04B8D" w14:textId="5ED0D223"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531</w:t>
            </w:r>
          </w:p>
        </w:tc>
        <w:tc>
          <w:tcPr>
            <w:tcW w:w="292" w:type="pct"/>
            <w:tcBorders>
              <w:top w:val="nil"/>
              <w:left w:val="nil"/>
              <w:bottom w:val="nil"/>
              <w:right w:val="nil"/>
            </w:tcBorders>
            <w:shd w:val="clear" w:color="000000" w:fill="FFFFFF"/>
            <w:noWrap/>
            <w:vAlign w:val="center"/>
          </w:tcPr>
          <w:p w14:paraId="591F3AE2" w14:textId="0C1A633B"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1E22E810" w14:textId="5F65FDD9"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1.05 (0.73</w:t>
            </w:r>
            <w:r w:rsidR="001B63DC" w:rsidRPr="004D453A">
              <w:rPr>
                <w:rFonts w:ascii="Arial" w:hAnsi="Arial" w:cs="Arial"/>
                <w:color w:val="000000"/>
                <w:sz w:val="18"/>
                <w:szCs w:val="18"/>
              </w:rPr>
              <w:t>-</w:t>
            </w:r>
            <w:r w:rsidRPr="004D453A">
              <w:rPr>
                <w:rFonts w:ascii="Arial" w:hAnsi="Arial" w:cs="Arial"/>
                <w:color w:val="000000"/>
                <w:sz w:val="18"/>
                <w:szCs w:val="18"/>
              </w:rPr>
              <w:t>1.52)</w:t>
            </w:r>
          </w:p>
        </w:tc>
        <w:tc>
          <w:tcPr>
            <w:tcW w:w="565" w:type="pct"/>
            <w:tcBorders>
              <w:top w:val="nil"/>
              <w:left w:val="nil"/>
              <w:bottom w:val="nil"/>
              <w:right w:val="nil"/>
            </w:tcBorders>
            <w:shd w:val="clear" w:color="000000" w:fill="FFFFFF"/>
            <w:noWrap/>
            <w:vAlign w:val="bottom"/>
          </w:tcPr>
          <w:p w14:paraId="3C2D803C" w14:textId="66C85F7F"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1.12 (0.78</w:t>
            </w:r>
            <w:r w:rsidR="001B63DC" w:rsidRPr="004D453A">
              <w:rPr>
                <w:rFonts w:ascii="Arial" w:hAnsi="Arial" w:cs="Arial"/>
                <w:color w:val="000000"/>
                <w:sz w:val="18"/>
                <w:szCs w:val="18"/>
              </w:rPr>
              <w:t>-</w:t>
            </w:r>
            <w:r w:rsidRPr="004D453A">
              <w:rPr>
                <w:rFonts w:ascii="Arial" w:hAnsi="Arial" w:cs="Arial"/>
                <w:color w:val="000000"/>
                <w:sz w:val="18"/>
                <w:szCs w:val="18"/>
              </w:rPr>
              <w:t>1.61)</w:t>
            </w:r>
          </w:p>
        </w:tc>
        <w:tc>
          <w:tcPr>
            <w:tcW w:w="580" w:type="pct"/>
            <w:tcBorders>
              <w:top w:val="nil"/>
              <w:left w:val="nil"/>
              <w:bottom w:val="nil"/>
              <w:right w:val="nil"/>
            </w:tcBorders>
            <w:shd w:val="clear" w:color="000000" w:fill="FFFFFF"/>
            <w:noWrap/>
            <w:vAlign w:val="bottom"/>
          </w:tcPr>
          <w:p w14:paraId="389D5025" w14:textId="30047A08"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1.25 (0.87</w:t>
            </w:r>
            <w:r w:rsidR="001B63DC" w:rsidRPr="004D453A">
              <w:rPr>
                <w:rFonts w:ascii="Arial" w:hAnsi="Arial" w:cs="Arial"/>
                <w:color w:val="000000"/>
                <w:sz w:val="18"/>
                <w:szCs w:val="18"/>
              </w:rPr>
              <w:t>-</w:t>
            </w:r>
            <w:r w:rsidRPr="004D453A">
              <w:rPr>
                <w:rFonts w:ascii="Arial" w:hAnsi="Arial" w:cs="Arial"/>
                <w:color w:val="000000"/>
                <w:sz w:val="18"/>
                <w:szCs w:val="18"/>
              </w:rPr>
              <w:t>1.8)</w:t>
            </w:r>
          </w:p>
        </w:tc>
        <w:tc>
          <w:tcPr>
            <w:tcW w:w="574" w:type="pct"/>
            <w:gridSpan w:val="2"/>
            <w:tcBorders>
              <w:top w:val="nil"/>
              <w:left w:val="nil"/>
              <w:bottom w:val="nil"/>
              <w:right w:val="nil"/>
            </w:tcBorders>
            <w:shd w:val="clear" w:color="000000" w:fill="FFFFFF"/>
            <w:noWrap/>
            <w:vAlign w:val="bottom"/>
          </w:tcPr>
          <w:p w14:paraId="061866D3" w14:textId="36CA5827"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1.33 (0.93</w:t>
            </w:r>
            <w:r w:rsidR="001B63DC" w:rsidRPr="004D453A">
              <w:rPr>
                <w:rFonts w:ascii="Arial" w:hAnsi="Arial" w:cs="Arial"/>
                <w:color w:val="000000"/>
                <w:sz w:val="18"/>
                <w:szCs w:val="18"/>
              </w:rPr>
              <w:t>-</w:t>
            </w:r>
            <w:r w:rsidRPr="004D453A">
              <w:rPr>
                <w:rFonts w:ascii="Arial" w:hAnsi="Arial" w:cs="Arial"/>
                <w:color w:val="000000"/>
                <w:sz w:val="18"/>
                <w:szCs w:val="18"/>
              </w:rPr>
              <w:t>1.9)</w:t>
            </w:r>
          </w:p>
        </w:tc>
        <w:tc>
          <w:tcPr>
            <w:tcW w:w="310" w:type="pct"/>
            <w:gridSpan w:val="2"/>
            <w:tcBorders>
              <w:top w:val="nil"/>
              <w:left w:val="nil"/>
              <w:bottom w:val="nil"/>
              <w:right w:val="nil"/>
            </w:tcBorders>
            <w:shd w:val="clear" w:color="auto" w:fill="auto"/>
            <w:noWrap/>
            <w:vAlign w:val="bottom"/>
          </w:tcPr>
          <w:p w14:paraId="712D55C9" w14:textId="35DA0118"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0.07</w:t>
            </w:r>
          </w:p>
        </w:tc>
        <w:tc>
          <w:tcPr>
            <w:tcW w:w="403" w:type="pct"/>
            <w:gridSpan w:val="2"/>
            <w:tcBorders>
              <w:top w:val="nil"/>
              <w:left w:val="nil"/>
              <w:bottom w:val="nil"/>
              <w:right w:val="nil"/>
            </w:tcBorders>
            <w:shd w:val="clear" w:color="auto" w:fill="auto"/>
            <w:noWrap/>
            <w:vAlign w:val="bottom"/>
          </w:tcPr>
          <w:p w14:paraId="7340F581" w14:textId="0768B782"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0.57</w:t>
            </w:r>
          </w:p>
        </w:tc>
      </w:tr>
      <w:tr w:rsidR="00CA5B1C" w:rsidRPr="004D453A" w14:paraId="4D5C9299" w14:textId="77777777" w:rsidTr="00F66E50">
        <w:trPr>
          <w:trHeight w:val="20"/>
        </w:trPr>
        <w:tc>
          <w:tcPr>
            <w:tcW w:w="1435" w:type="pct"/>
            <w:gridSpan w:val="2"/>
            <w:tcBorders>
              <w:top w:val="nil"/>
              <w:left w:val="nil"/>
              <w:bottom w:val="nil"/>
              <w:right w:val="nil"/>
            </w:tcBorders>
            <w:shd w:val="clear" w:color="000000" w:fill="FFFFFF"/>
            <w:noWrap/>
            <w:vAlign w:val="center"/>
            <w:hideMark/>
          </w:tcPr>
          <w:p w14:paraId="09EB5FDD" w14:textId="1FC07929" w:rsidR="00CA5B1C" w:rsidRPr="004D453A" w:rsidRDefault="00CA5B1C" w:rsidP="00CA5B1C">
            <w:pPr>
              <w:rPr>
                <w:rFonts w:ascii="Arial" w:hAnsi="Arial" w:cs="Arial"/>
                <w:color w:val="000000" w:themeColor="text1"/>
                <w:sz w:val="18"/>
                <w:szCs w:val="18"/>
                <w:vertAlign w:val="superscript"/>
              </w:rPr>
            </w:pPr>
            <w:r w:rsidRPr="004D453A">
              <w:rPr>
                <w:rFonts w:ascii="Arial" w:hAnsi="Arial" w:cs="Arial"/>
                <w:color w:val="000000" w:themeColor="text1"/>
                <w:sz w:val="18"/>
                <w:szCs w:val="18"/>
              </w:rPr>
              <w:t>Body mass index</w:t>
            </w:r>
            <w:r w:rsidR="00DB2F4C" w:rsidRPr="004D453A">
              <w:rPr>
                <w:rFonts w:ascii="Arial" w:hAnsi="Arial" w:cs="Arial"/>
                <w:color w:val="000000" w:themeColor="text1"/>
                <w:sz w:val="18"/>
                <w:szCs w:val="18"/>
              </w:rPr>
              <w:t xml:space="preserve">, </w:t>
            </w:r>
            <w:r w:rsidR="00DB2F4C" w:rsidRPr="004D453A">
              <w:rPr>
                <w:rFonts w:ascii="Arial" w:hAnsi="Arial" w:cs="Arial"/>
                <w:color w:val="000000"/>
                <w:sz w:val="18"/>
                <w:szCs w:val="18"/>
              </w:rPr>
              <w:t>kg/m</w:t>
            </w:r>
            <w:r w:rsidR="00DB2F4C" w:rsidRPr="004D453A">
              <w:rPr>
                <w:rFonts w:ascii="Arial" w:hAnsi="Arial" w:cs="Arial"/>
                <w:color w:val="000000"/>
                <w:sz w:val="18"/>
                <w:szCs w:val="18"/>
                <w:vertAlign w:val="superscript"/>
              </w:rPr>
              <w:t>2</w:t>
            </w:r>
          </w:p>
        </w:tc>
        <w:tc>
          <w:tcPr>
            <w:tcW w:w="277" w:type="pct"/>
            <w:gridSpan w:val="2"/>
            <w:tcBorders>
              <w:top w:val="nil"/>
              <w:left w:val="nil"/>
              <w:bottom w:val="nil"/>
              <w:right w:val="nil"/>
            </w:tcBorders>
            <w:shd w:val="clear" w:color="000000" w:fill="FFFFFF"/>
            <w:noWrap/>
            <w:vAlign w:val="center"/>
          </w:tcPr>
          <w:p w14:paraId="25C94913" w14:textId="77777777" w:rsidR="00CA5B1C" w:rsidRPr="004D453A" w:rsidRDefault="00CA5B1C" w:rsidP="00CA5B1C">
            <w:pPr>
              <w:jc w:val="center"/>
              <w:rPr>
                <w:rFonts w:ascii="Arial" w:hAnsi="Arial" w:cs="Arial"/>
                <w:color w:val="000000"/>
                <w:sz w:val="18"/>
                <w:szCs w:val="18"/>
              </w:rPr>
            </w:pPr>
          </w:p>
        </w:tc>
        <w:tc>
          <w:tcPr>
            <w:tcW w:w="292" w:type="pct"/>
            <w:tcBorders>
              <w:top w:val="nil"/>
              <w:left w:val="nil"/>
              <w:bottom w:val="nil"/>
              <w:right w:val="nil"/>
            </w:tcBorders>
            <w:shd w:val="clear" w:color="000000" w:fill="FFFFFF"/>
            <w:noWrap/>
            <w:vAlign w:val="center"/>
          </w:tcPr>
          <w:p w14:paraId="360522B0" w14:textId="77777777" w:rsidR="00CA5B1C" w:rsidRPr="004D453A" w:rsidRDefault="00CA5B1C" w:rsidP="00CA5B1C">
            <w:pPr>
              <w:jc w:val="center"/>
              <w:rPr>
                <w:rFonts w:ascii="Arial" w:hAnsi="Arial" w:cs="Arial"/>
                <w:color w:val="000000"/>
                <w:sz w:val="18"/>
                <w:szCs w:val="18"/>
              </w:rPr>
            </w:pPr>
            <w:r w:rsidRPr="004D453A">
              <w:rPr>
                <w:rFonts w:ascii="Arial" w:hAnsi="Arial" w:cs="Arial"/>
                <w:color w:val="000000"/>
                <w:sz w:val="18"/>
                <w:szCs w:val="18"/>
              </w:rPr>
              <w:t> </w:t>
            </w:r>
          </w:p>
        </w:tc>
        <w:tc>
          <w:tcPr>
            <w:tcW w:w="564" w:type="pct"/>
            <w:tcBorders>
              <w:top w:val="nil"/>
              <w:left w:val="nil"/>
              <w:bottom w:val="nil"/>
              <w:right w:val="nil"/>
            </w:tcBorders>
            <w:shd w:val="clear" w:color="000000" w:fill="FFFFFF"/>
            <w:noWrap/>
            <w:vAlign w:val="center"/>
          </w:tcPr>
          <w:p w14:paraId="7E108A08" w14:textId="35F4F023" w:rsidR="00CA5B1C" w:rsidRPr="004D453A" w:rsidRDefault="00CA5B1C" w:rsidP="00CA5B1C">
            <w:pPr>
              <w:jc w:val="center"/>
              <w:rPr>
                <w:rFonts w:ascii="Arial" w:hAnsi="Arial" w:cs="Arial"/>
                <w:color w:val="000000"/>
                <w:sz w:val="18"/>
                <w:szCs w:val="18"/>
              </w:rPr>
            </w:pPr>
          </w:p>
        </w:tc>
        <w:tc>
          <w:tcPr>
            <w:tcW w:w="565" w:type="pct"/>
            <w:tcBorders>
              <w:top w:val="nil"/>
              <w:left w:val="nil"/>
              <w:bottom w:val="nil"/>
              <w:right w:val="nil"/>
            </w:tcBorders>
            <w:shd w:val="clear" w:color="000000" w:fill="FFFFFF"/>
            <w:noWrap/>
            <w:vAlign w:val="center"/>
          </w:tcPr>
          <w:p w14:paraId="5B8C5BC7" w14:textId="10AD4B2E" w:rsidR="00CA5B1C" w:rsidRPr="004D453A" w:rsidRDefault="00CA5B1C" w:rsidP="00CA5B1C">
            <w:pPr>
              <w:jc w:val="center"/>
              <w:rPr>
                <w:rFonts w:ascii="Arial" w:hAnsi="Arial" w:cs="Arial"/>
                <w:color w:val="000000"/>
                <w:sz w:val="18"/>
                <w:szCs w:val="18"/>
              </w:rPr>
            </w:pPr>
          </w:p>
        </w:tc>
        <w:tc>
          <w:tcPr>
            <w:tcW w:w="580" w:type="pct"/>
            <w:tcBorders>
              <w:top w:val="nil"/>
              <w:left w:val="nil"/>
              <w:bottom w:val="nil"/>
              <w:right w:val="nil"/>
            </w:tcBorders>
            <w:shd w:val="clear" w:color="000000" w:fill="FFFFFF"/>
            <w:noWrap/>
            <w:vAlign w:val="center"/>
          </w:tcPr>
          <w:p w14:paraId="32A9B956" w14:textId="6329DCBB" w:rsidR="00CA5B1C" w:rsidRPr="004D453A" w:rsidRDefault="00CA5B1C" w:rsidP="00CA5B1C">
            <w:pPr>
              <w:jc w:val="center"/>
              <w:rPr>
                <w:rFonts w:ascii="Arial" w:hAnsi="Arial" w:cs="Arial"/>
                <w:color w:val="000000"/>
                <w:sz w:val="18"/>
                <w:szCs w:val="18"/>
              </w:rPr>
            </w:pPr>
          </w:p>
        </w:tc>
        <w:tc>
          <w:tcPr>
            <w:tcW w:w="574" w:type="pct"/>
            <w:gridSpan w:val="2"/>
            <w:tcBorders>
              <w:top w:val="nil"/>
              <w:left w:val="nil"/>
              <w:bottom w:val="nil"/>
              <w:right w:val="nil"/>
            </w:tcBorders>
            <w:shd w:val="clear" w:color="000000" w:fill="FFFFFF"/>
            <w:noWrap/>
            <w:vAlign w:val="center"/>
          </w:tcPr>
          <w:p w14:paraId="3437DC21" w14:textId="5805D48A" w:rsidR="00CA5B1C" w:rsidRPr="004D453A" w:rsidRDefault="00CA5B1C" w:rsidP="00CA5B1C">
            <w:pPr>
              <w:jc w:val="center"/>
              <w:rPr>
                <w:rFonts w:ascii="Arial" w:hAnsi="Arial" w:cs="Arial"/>
                <w:color w:val="000000"/>
                <w:sz w:val="18"/>
                <w:szCs w:val="18"/>
              </w:rPr>
            </w:pPr>
          </w:p>
        </w:tc>
        <w:tc>
          <w:tcPr>
            <w:tcW w:w="310" w:type="pct"/>
            <w:gridSpan w:val="2"/>
            <w:tcBorders>
              <w:top w:val="nil"/>
              <w:left w:val="nil"/>
              <w:bottom w:val="nil"/>
              <w:right w:val="nil"/>
            </w:tcBorders>
            <w:shd w:val="clear" w:color="000000" w:fill="FFFFFF"/>
            <w:noWrap/>
            <w:vAlign w:val="center"/>
          </w:tcPr>
          <w:p w14:paraId="5E04A731" w14:textId="72B78D78" w:rsidR="00CA5B1C" w:rsidRPr="004D453A" w:rsidRDefault="00CA5B1C" w:rsidP="00CA5B1C">
            <w:pPr>
              <w:jc w:val="center"/>
              <w:rPr>
                <w:rFonts w:ascii="Arial" w:hAnsi="Arial" w:cs="Arial"/>
                <w:color w:val="000000"/>
                <w:sz w:val="18"/>
                <w:szCs w:val="18"/>
              </w:rPr>
            </w:pPr>
          </w:p>
        </w:tc>
        <w:tc>
          <w:tcPr>
            <w:tcW w:w="403" w:type="pct"/>
            <w:gridSpan w:val="2"/>
            <w:tcBorders>
              <w:top w:val="nil"/>
              <w:left w:val="nil"/>
              <w:bottom w:val="nil"/>
              <w:right w:val="nil"/>
            </w:tcBorders>
            <w:shd w:val="clear" w:color="000000" w:fill="FFFFFF"/>
            <w:noWrap/>
            <w:vAlign w:val="bottom"/>
          </w:tcPr>
          <w:p w14:paraId="738EEE65" w14:textId="77777777" w:rsidR="00CA5B1C" w:rsidRPr="004D453A" w:rsidRDefault="00CA5B1C" w:rsidP="00CA5B1C">
            <w:pPr>
              <w:jc w:val="center"/>
              <w:rPr>
                <w:rFonts w:ascii="Arial" w:hAnsi="Arial" w:cs="Arial"/>
                <w:color w:val="000000"/>
                <w:sz w:val="18"/>
                <w:szCs w:val="18"/>
              </w:rPr>
            </w:pPr>
            <w:r w:rsidRPr="004D453A">
              <w:rPr>
                <w:rFonts w:ascii="Arial" w:hAnsi="Arial" w:cs="Arial"/>
                <w:color w:val="000000"/>
                <w:sz w:val="18"/>
                <w:szCs w:val="18"/>
              </w:rPr>
              <w:t> </w:t>
            </w:r>
          </w:p>
        </w:tc>
      </w:tr>
      <w:tr w:rsidR="001241A8" w:rsidRPr="004D453A" w14:paraId="54D951A4" w14:textId="77777777" w:rsidTr="00153BD1">
        <w:trPr>
          <w:trHeight w:val="20"/>
        </w:trPr>
        <w:tc>
          <w:tcPr>
            <w:tcW w:w="1435" w:type="pct"/>
            <w:gridSpan w:val="2"/>
            <w:tcBorders>
              <w:top w:val="nil"/>
              <w:left w:val="nil"/>
              <w:bottom w:val="nil"/>
              <w:right w:val="nil"/>
            </w:tcBorders>
            <w:shd w:val="clear" w:color="000000" w:fill="FFFFFF"/>
            <w:noWrap/>
            <w:vAlign w:val="center"/>
            <w:hideMark/>
          </w:tcPr>
          <w:p w14:paraId="7370E5CC" w14:textId="7F97D89C" w:rsidR="001241A8" w:rsidRPr="004D453A" w:rsidRDefault="001241A8" w:rsidP="001674FD">
            <w:pPr>
              <w:ind w:firstLine="163"/>
              <w:rPr>
                <w:rFonts w:ascii="Arial" w:hAnsi="Arial" w:cs="Arial"/>
                <w:color w:val="000000" w:themeColor="text1"/>
                <w:sz w:val="18"/>
                <w:szCs w:val="18"/>
              </w:rPr>
            </w:pPr>
            <w:r w:rsidRPr="004D453A">
              <w:rPr>
                <w:rFonts w:ascii="Arial" w:hAnsi="Arial" w:cs="Arial"/>
                <w:color w:val="000000"/>
                <w:sz w:val="18"/>
                <w:szCs w:val="18"/>
              </w:rPr>
              <w:t>&lt; 30</w:t>
            </w:r>
          </w:p>
        </w:tc>
        <w:tc>
          <w:tcPr>
            <w:tcW w:w="277" w:type="pct"/>
            <w:gridSpan w:val="2"/>
            <w:tcBorders>
              <w:top w:val="nil"/>
              <w:left w:val="nil"/>
              <w:bottom w:val="nil"/>
              <w:right w:val="nil"/>
            </w:tcBorders>
            <w:shd w:val="clear" w:color="000000" w:fill="FFFFFF"/>
            <w:noWrap/>
            <w:vAlign w:val="center"/>
          </w:tcPr>
          <w:p w14:paraId="4D2CCABB" w14:textId="0E594A87" w:rsidR="001241A8" w:rsidRPr="004D453A" w:rsidRDefault="004D244D" w:rsidP="00F504EF">
            <w:pPr>
              <w:jc w:val="center"/>
              <w:rPr>
                <w:rFonts w:ascii="Arial" w:hAnsi="Arial" w:cs="Arial"/>
                <w:color w:val="000000"/>
                <w:sz w:val="18"/>
                <w:szCs w:val="18"/>
              </w:rPr>
            </w:pPr>
            <w:r w:rsidRPr="004D453A">
              <w:rPr>
                <w:rFonts w:ascii="Arial" w:hAnsi="Arial" w:cs="Arial"/>
                <w:color w:val="000000"/>
                <w:sz w:val="18"/>
                <w:szCs w:val="18"/>
              </w:rPr>
              <w:t>560</w:t>
            </w:r>
          </w:p>
        </w:tc>
        <w:tc>
          <w:tcPr>
            <w:tcW w:w="292" w:type="pct"/>
            <w:tcBorders>
              <w:top w:val="nil"/>
              <w:left w:val="nil"/>
              <w:bottom w:val="nil"/>
              <w:right w:val="nil"/>
            </w:tcBorders>
            <w:shd w:val="clear" w:color="000000" w:fill="FFFFFF"/>
            <w:noWrap/>
            <w:vAlign w:val="center"/>
          </w:tcPr>
          <w:p w14:paraId="4A6A3915" w14:textId="5654CD7B" w:rsidR="001241A8" w:rsidRPr="004D453A" w:rsidRDefault="001241A8" w:rsidP="00153BD1">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vAlign w:val="center"/>
          </w:tcPr>
          <w:p w14:paraId="681CA99A" w14:textId="31CED2AC" w:rsidR="001241A8" w:rsidRPr="004D453A" w:rsidRDefault="001241A8" w:rsidP="00153BD1">
            <w:pPr>
              <w:jc w:val="center"/>
              <w:rPr>
                <w:rFonts w:ascii="Arial" w:hAnsi="Arial" w:cs="Arial"/>
                <w:color w:val="000000"/>
                <w:sz w:val="18"/>
                <w:szCs w:val="18"/>
              </w:rPr>
            </w:pPr>
            <w:r w:rsidRPr="004D453A">
              <w:rPr>
                <w:rFonts w:ascii="Arial" w:hAnsi="Arial" w:cs="Arial"/>
                <w:color w:val="000000"/>
                <w:sz w:val="18"/>
                <w:szCs w:val="18"/>
              </w:rPr>
              <w:t>1.23 (0.88, 1.71)</w:t>
            </w:r>
          </w:p>
        </w:tc>
        <w:tc>
          <w:tcPr>
            <w:tcW w:w="565" w:type="pct"/>
            <w:tcBorders>
              <w:top w:val="nil"/>
              <w:left w:val="nil"/>
              <w:bottom w:val="nil"/>
              <w:right w:val="nil"/>
            </w:tcBorders>
            <w:shd w:val="clear" w:color="000000" w:fill="FFFFFF"/>
            <w:vAlign w:val="center"/>
          </w:tcPr>
          <w:p w14:paraId="2EA36405" w14:textId="3717FFF2" w:rsidR="001241A8" w:rsidRPr="004D453A" w:rsidRDefault="001241A8" w:rsidP="00153BD1">
            <w:pPr>
              <w:jc w:val="center"/>
              <w:rPr>
                <w:rFonts w:ascii="Arial" w:hAnsi="Arial" w:cs="Arial"/>
                <w:color w:val="000000"/>
                <w:sz w:val="18"/>
                <w:szCs w:val="18"/>
              </w:rPr>
            </w:pPr>
            <w:r w:rsidRPr="004D453A">
              <w:rPr>
                <w:rFonts w:ascii="Arial" w:hAnsi="Arial" w:cs="Arial"/>
                <w:color w:val="000000"/>
                <w:sz w:val="18"/>
                <w:szCs w:val="18"/>
              </w:rPr>
              <w:t>1.02 (0.73, 1.43)</w:t>
            </w:r>
          </w:p>
        </w:tc>
        <w:tc>
          <w:tcPr>
            <w:tcW w:w="580" w:type="pct"/>
            <w:tcBorders>
              <w:top w:val="nil"/>
              <w:left w:val="nil"/>
              <w:bottom w:val="nil"/>
              <w:right w:val="nil"/>
            </w:tcBorders>
            <w:shd w:val="clear" w:color="000000" w:fill="FFFFFF"/>
            <w:vAlign w:val="center"/>
          </w:tcPr>
          <w:p w14:paraId="4D40DCF2" w14:textId="73E93227" w:rsidR="001241A8" w:rsidRPr="004D453A" w:rsidRDefault="001241A8" w:rsidP="00153BD1">
            <w:pPr>
              <w:jc w:val="center"/>
              <w:rPr>
                <w:rFonts w:ascii="Arial" w:hAnsi="Arial" w:cs="Arial"/>
                <w:color w:val="000000"/>
                <w:sz w:val="18"/>
                <w:szCs w:val="18"/>
              </w:rPr>
            </w:pPr>
            <w:r w:rsidRPr="004D453A">
              <w:rPr>
                <w:rFonts w:ascii="Arial" w:hAnsi="Arial" w:cs="Arial"/>
                <w:color w:val="000000"/>
                <w:sz w:val="18"/>
                <w:szCs w:val="18"/>
              </w:rPr>
              <w:t>1.21 (0.86, 1.7</w:t>
            </w:r>
            <w:r w:rsidR="00B670CC" w:rsidRPr="004D453A">
              <w:rPr>
                <w:rFonts w:ascii="Arial" w:hAnsi="Arial" w:cs="Arial"/>
                <w:color w:val="000000"/>
                <w:sz w:val="18"/>
                <w:szCs w:val="18"/>
              </w:rPr>
              <w:t>0</w:t>
            </w:r>
            <w:r w:rsidRPr="004D453A">
              <w:rPr>
                <w:rFonts w:ascii="Arial" w:hAnsi="Arial" w:cs="Arial"/>
                <w:color w:val="000000"/>
                <w:sz w:val="18"/>
                <w:szCs w:val="18"/>
              </w:rPr>
              <w:t>)</w:t>
            </w:r>
          </w:p>
        </w:tc>
        <w:tc>
          <w:tcPr>
            <w:tcW w:w="574" w:type="pct"/>
            <w:gridSpan w:val="2"/>
            <w:tcBorders>
              <w:top w:val="nil"/>
              <w:left w:val="nil"/>
              <w:bottom w:val="nil"/>
              <w:right w:val="nil"/>
            </w:tcBorders>
            <w:shd w:val="clear" w:color="000000" w:fill="FFFFFF"/>
            <w:noWrap/>
            <w:vAlign w:val="center"/>
          </w:tcPr>
          <w:p w14:paraId="4C69148B" w14:textId="4C513E7B" w:rsidR="001241A8" w:rsidRPr="004D453A" w:rsidRDefault="001241A8" w:rsidP="00153BD1">
            <w:pPr>
              <w:jc w:val="center"/>
              <w:rPr>
                <w:rFonts w:ascii="Arial" w:hAnsi="Arial" w:cs="Arial"/>
                <w:color w:val="000000"/>
                <w:sz w:val="18"/>
                <w:szCs w:val="18"/>
              </w:rPr>
            </w:pPr>
            <w:r w:rsidRPr="004D453A">
              <w:rPr>
                <w:rFonts w:ascii="Arial" w:hAnsi="Arial" w:cs="Arial"/>
                <w:color w:val="000000"/>
                <w:sz w:val="18"/>
                <w:szCs w:val="18"/>
              </w:rPr>
              <w:t>1.25 (0.89, 1.77)</w:t>
            </w:r>
          </w:p>
        </w:tc>
        <w:tc>
          <w:tcPr>
            <w:tcW w:w="310" w:type="pct"/>
            <w:gridSpan w:val="2"/>
            <w:tcBorders>
              <w:top w:val="nil"/>
              <w:left w:val="nil"/>
              <w:bottom w:val="nil"/>
              <w:right w:val="nil"/>
            </w:tcBorders>
            <w:shd w:val="clear" w:color="auto" w:fill="auto"/>
            <w:noWrap/>
            <w:vAlign w:val="center"/>
          </w:tcPr>
          <w:p w14:paraId="7645F029" w14:textId="63D6C71A" w:rsidR="001241A8" w:rsidRPr="004D453A" w:rsidRDefault="001241A8" w:rsidP="00153BD1">
            <w:pPr>
              <w:jc w:val="center"/>
              <w:rPr>
                <w:rFonts w:ascii="Arial" w:hAnsi="Arial" w:cs="Arial"/>
                <w:color w:val="000000"/>
                <w:sz w:val="18"/>
                <w:szCs w:val="18"/>
              </w:rPr>
            </w:pPr>
            <w:r w:rsidRPr="004D453A">
              <w:rPr>
                <w:rFonts w:ascii="Arial" w:hAnsi="Arial" w:cs="Arial"/>
                <w:color w:val="000000"/>
                <w:sz w:val="18"/>
                <w:szCs w:val="18"/>
              </w:rPr>
              <w:t>0.22</w:t>
            </w:r>
          </w:p>
        </w:tc>
        <w:tc>
          <w:tcPr>
            <w:tcW w:w="403" w:type="pct"/>
            <w:gridSpan w:val="2"/>
            <w:tcBorders>
              <w:top w:val="nil"/>
              <w:left w:val="nil"/>
              <w:bottom w:val="nil"/>
              <w:right w:val="nil"/>
            </w:tcBorders>
            <w:shd w:val="clear" w:color="000000" w:fill="FFFFFF"/>
            <w:noWrap/>
            <w:vAlign w:val="bottom"/>
          </w:tcPr>
          <w:p w14:paraId="741B42A9" w14:textId="597EFBCD" w:rsidR="001241A8" w:rsidRPr="004D453A" w:rsidRDefault="001241A8" w:rsidP="001241A8">
            <w:pPr>
              <w:jc w:val="center"/>
              <w:rPr>
                <w:rFonts w:ascii="Arial" w:hAnsi="Arial" w:cs="Arial"/>
                <w:color w:val="000000"/>
                <w:sz w:val="18"/>
                <w:szCs w:val="18"/>
              </w:rPr>
            </w:pPr>
            <w:r w:rsidRPr="004D453A">
              <w:rPr>
                <w:rFonts w:ascii="Arial" w:hAnsi="Arial" w:cs="Arial"/>
                <w:color w:val="000000"/>
                <w:sz w:val="18"/>
                <w:szCs w:val="18"/>
              </w:rPr>
              <w:t> </w:t>
            </w:r>
          </w:p>
        </w:tc>
      </w:tr>
      <w:tr w:rsidR="00153BD1" w:rsidRPr="004D453A" w14:paraId="373E3629" w14:textId="77777777" w:rsidTr="00153BD1">
        <w:trPr>
          <w:trHeight w:val="73"/>
        </w:trPr>
        <w:tc>
          <w:tcPr>
            <w:tcW w:w="1435" w:type="pct"/>
            <w:gridSpan w:val="2"/>
            <w:tcBorders>
              <w:top w:val="nil"/>
              <w:left w:val="nil"/>
              <w:bottom w:val="nil"/>
              <w:right w:val="nil"/>
            </w:tcBorders>
            <w:shd w:val="clear" w:color="000000" w:fill="FFFFFF"/>
            <w:noWrap/>
            <w:vAlign w:val="center"/>
            <w:hideMark/>
          </w:tcPr>
          <w:p w14:paraId="301DF159" w14:textId="5A6CF2D3" w:rsidR="00153BD1" w:rsidRPr="004D453A" w:rsidRDefault="00153BD1" w:rsidP="001674FD">
            <w:pPr>
              <w:ind w:firstLine="163"/>
              <w:rPr>
                <w:rFonts w:ascii="Arial" w:hAnsi="Arial" w:cs="Arial"/>
                <w:color w:val="000000" w:themeColor="text1"/>
                <w:sz w:val="18"/>
                <w:szCs w:val="18"/>
              </w:rPr>
            </w:pPr>
            <w:r w:rsidRPr="004D453A">
              <w:rPr>
                <w:rFonts w:ascii="Arial" w:hAnsi="Arial" w:cs="Arial"/>
                <w:color w:val="000000"/>
                <w:sz w:val="18"/>
                <w:szCs w:val="18"/>
              </w:rPr>
              <w:t>≥ 30</w:t>
            </w:r>
          </w:p>
        </w:tc>
        <w:tc>
          <w:tcPr>
            <w:tcW w:w="277" w:type="pct"/>
            <w:gridSpan w:val="2"/>
            <w:tcBorders>
              <w:top w:val="nil"/>
              <w:left w:val="nil"/>
              <w:bottom w:val="nil"/>
              <w:right w:val="nil"/>
            </w:tcBorders>
            <w:shd w:val="clear" w:color="000000" w:fill="FFFFFF"/>
            <w:noWrap/>
            <w:vAlign w:val="center"/>
          </w:tcPr>
          <w:p w14:paraId="07C0A4F9" w14:textId="58BC08D7" w:rsidR="00153BD1" w:rsidRPr="004D453A" w:rsidRDefault="00153BD1" w:rsidP="00F504EF">
            <w:pPr>
              <w:jc w:val="center"/>
              <w:rPr>
                <w:rFonts w:ascii="Arial" w:hAnsi="Arial" w:cs="Arial"/>
                <w:color w:val="000000"/>
                <w:sz w:val="18"/>
                <w:szCs w:val="18"/>
              </w:rPr>
            </w:pPr>
            <w:r w:rsidRPr="004D453A">
              <w:rPr>
                <w:rFonts w:ascii="Arial" w:hAnsi="Arial" w:cs="Arial"/>
                <w:color w:val="000000"/>
                <w:sz w:val="18"/>
                <w:szCs w:val="18"/>
              </w:rPr>
              <w:t>205</w:t>
            </w:r>
          </w:p>
        </w:tc>
        <w:tc>
          <w:tcPr>
            <w:tcW w:w="292" w:type="pct"/>
            <w:tcBorders>
              <w:top w:val="nil"/>
              <w:left w:val="nil"/>
              <w:bottom w:val="nil"/>
              <w:right w:val="nil"/>
            </w:tcBorders>
            <w:shd w:val="clear" w:color="000000" w:fill="FFFFFF"/>
            <w:noWrap/>
            <w:vAlign w:val="center"/>
          </w:tcPr>
          <w:p w14:paraId="04859C6F" w14:textId="6AF8FA24" w:rsidR="00153BD1" w:rsidRPr="004D453A" w:rsidRDefault="00153BD1" w:rsidP="00153BD1">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center"/>
          </w:tcPr>
          <w:p w14:paraId="14CEF5BD" w14:textId="76F01882" w:rsidR="00153BD1" w:rsidRPr="004D453A" w:rsidRDefault="00153BD1" w:rsidP="00F504EF">
            <w:pPr>
              <w:jc w:val="center"/>
              <w:rPr>
                <w:rFonts w:ascii="Arial" w:hAnsi="Arial" w:cs="Arial"/>
                <w:color w:val="000000"/>
                <w:sz w:val="18"/>
                <w:szCs w:val="18"/>
              </w:rPr>
            </w:pPr>
            <w:r w:rsidRPr="004D453A">
              <w:rPr>
                <w:rFonts w:ascii="Arial" w:hAnsi="Arial" w:cs="Arial"/>
                <w:color w:val="000000"/>
                <w:sz w:val="18"/>
                <w:szCs w:val="18"/>
              </w:rPr>
              <w:t>1.1</w:t>
            </w:r>
            <w:r w:rsidR="00B670CC" w:rsidRPr="004D453A">
              <w:rPr>
                <w:rFonts w:ascii="Arial" w:hAnsi="Arial" w:cs="Arial"/>
                <w:color w:val="000000"/>
                <w:sz w:val="18"/>
                <w:szCs w:val="18"/>
              </w:rPr>
              <w:t>0</w:t>
            </w:r>
            <w:r w:rsidRPr="004D453A">
              <w:rPr>
                <w:rFonts w:ascii="Arial" w:hAnsi="Arial" w:cs="Arial"/>
                <w:color w:val="000000"/>
                <w:sz w:val="18"/>
                <w:szCs w:val="18"/>
              </w:rPr>
              <w:t> (0.59, 2.04)</w:t>
            </w:r>
          </w:p>
        </w:tc>
        <w:tc>
          <w:tcPr>
            <w:tcW w:w="565" w:type="pct"/>
            <w:tcBorders>
              <w:top w:val="nil"/>
              <w:left w:val="nil"/>
              <w:bottom w:val="nil"/>
              <w:right w:val="nil"/>
            </w:tcBorders>
            <w:shd w:val="clear" w:color="000000" w:fill="FFFFFF"/>
            <w:noWrap/>
            <w:vAlign w:val="center"/>
          </w:tcPr>
          <w:p w14:paraId="62B61BF7" w14:textId="19D40C7F" w:rsidR="00153BD1" w:rsidRPr="004D453A" w:rsidRDefault="00153BD1" w:rsidP="00F504EF">
            <w:pPr>
              <w:jc w:val="center"/>
              <w:rPr>
                <w:rFonts w:ascii="Arial" w:hAnsi="Arial" w:cs="Arial"/>
                <w:color w:val="000000"/>
                <w:sz w:val="18"/>
                <w:szCs w:val="18"/>
              </w:rPr>
            </w:pPr>
            <w:r w:rsidRPr="004D453A">
              <w:rPr>
                <w:rFonts w:ascii="Arial" w:hAnsi="Arial" w:cs="Arial"/>
                <w:color w:val="000000"/>
                <w:sz w:val="18"/>
                <w:szCs w:val="18"/>
              </w:rPr>
              <w:t>1.31 (0.7</w:t>
            </w:r>
            <w:r w:rsidR="00B670CC" w:rsidRPr="004D453A">
              <w:rPr>
                <w:rFonts w:ascii="Arial" w:hAnsi="Arial" w:cs="Arial"/>
                <w:color w:val="000000"/>
                <w:sz w:val="18"/>
                <w:szCs w:val="18"/>
              </w:rPr>
              <w:t>0</w:t>
            </w:r>
            <w:r w:rsidRPr="004D453A">
              <w:rPr>
                <w:rFonts w:ascii="Arial" w:hAnsi="Arial" w:cs="Arial"/>
                <w:color w:val="000000"/>
                <w:sz w:val="18"/>
                <w:szCs w:val="18"/>
              </w:rPr>
              <w:t>, 2.44)</w:t>
            </w:r>
          </w:p>
        </w:tc>
        <w:tc>
          <w:tcPr>
            <w:tcW w:w="580" w:type="pct"/>
            <w:tcBorders>
              <w:top w:val="nil"/>
              <w:left w:val="nil"/>
              <w:bottom w:val="nil"/>
              <w:right w:val="nil"/>
            </w:tcBorders>
            <w:shd w:val="clear" w:color="000000" w:fill="FFFFFF"/>
            <w:noWrap/>
            <w:vAlign w:val="center"/>
          </w:tcPr>
          <w:p w14:paraId="7F5BB76E" w14:textId="39CF4CC0" w:rsidR="00153BD1" w:rsidRPr="004D453A" w:rsidRDefault="00153BD1" w:rsidP="00F504EF">
            <w:pPr>
              <w:jc w:val="center"/>
              <w:rPr>
                <w:rFonts w:ascii="Arial" w:hAnsi="Arial" w:cs="Arial"/>
                <w:color w:val="000000"/>
                <w:sz w:val="18"/>
                <w:szCs w:val="18"/>
              </w:rPr>
            </w:pPr>
            <w:r w:rsidRPr="004D453A">
              <w:rPr>
                <w:rFonts w:ascii="Arial" w:hAnsi="Arial" w:cs="Arial"/>
                <w:color w:val="000000"/>
                <w:sz w:val="18"/>
                <w:szCs w:val="18"/>
              </w:rPr>
              <w:t>1.13 (0.62, 2.04)</w:t>
            </w:r>
          </w:p>
        </w:tc>
        <w:tc>
          <w:tcPr>
            <w:tcW w:w="574" w:type="pct"/>
            <w:gridSpan w:val="2"/>
            <w:tcBorders>
              <w:top w:val="nil"/>
              <w:left w:val="nil"/>
              <w:bottom w:val="nil"/>
              <w:right w:val="nil"/>
            </w:tcBorders>
            <w:shd w:val="clear" w:color="000000" w:fill="FFFFFF"/>
            <w:noWrap/>
            <w:vAlign w:val="center"/>
          </w:tcPr>
          <w:p w14:paraId="7C98FBF5" w14:textId="5435F6FB" w:rsidR="00153BD1" w:rsidRPr="004D453A" w:rsidRDefault="00153BD1" w:rsidP="00F504EF">
            <w:pPr>
              <w:jc w:val="center"/>
              <w:rPr>
                <w:rFonts w:ascii="Arial" w:hAnsi="Arial" w:cs="Arial"/>
                <w:color w:val="000000"/>
                <w:sz w:val="18"/>
                <w:szCs w:val="18"/>
              </w:rPr>
            </w:pPr>
            <w:r w:rsidRPr="004D453A">
              <w:rPr>
                <w:rFonts w:ascii="Arial" w:hAnsi="Arial" w:cs="Arial"/>
                <w:color w:val="000000"/>
                <w:sz w:val="18"/>
                <w:szCs w:val="18"/>
              </w:rPr>
              <w:t>1.5</w:t>
            </w:r>
            <w:r w:rsidR="00B670CC" w:rsidRPr="004D453A">
              <w:rPr>
                <w:rFonts w:ascii="Arial" w:hAnsi="Arial" w:cs="Arial"/>
                <w:color w:val="000000"/>
                <w:sz w:val="18"/>
                <w:szCs w:val="18"/>
              </w:rPr>
              <w:t>0</w:t>
            </w:r>
            <w:r w:rsidRPr="004D453A">
              <w:rPr>
                <w:rFonts w:ascii="Arial" w:hAnsi="Arial" w:cs="Arial"/>
                <w:color w:val="000000"/>
                <w:sz w:val="18"/>
                <w:szCs w:val="18"/>
              </w:rPr>
              <w:t> (0.85, 2.67)</w:t>
            </w:r>
          </w:p>
        </w:tc>
        <w:tc>
          <w:tcPr>
            <w:tcW w:w="310" w:type="pct"/>
            <w:gridSpan w:val="2"/>
            <w:tcBorders>
              <w:top w:val="nil"/>
              <w:left w:val="nil"/>
              <w:bottom w:val="nil"/>
              <w:right w:val="nil"/>
            </w:tcBorders>
            <w:shd w:val="clear" w:color="auto" w:fill="auto"/>
            <w:noWrap/>
            <w:vAlign w:val="center"/>
          </w:tcPr>
          <w:p w14:paraId="1406CFBB" w14:textId="34F41715" w:rsidR="00153BD1" w:rsidRPr="004D453A" w:rsidRDefault="00153BD1" w:rsidP="00153BD1">
            <w:pPr>
              <w:jc w:val="center"/>
              <w:rPr>
                <w:rFonts w:ascii="Arial" w:hAnsi="Arial" w:cs="Arial"/>
                <w:color w:val="000000"/>
                <w:sz w:val="18"/>
                <w:szCs w:val="18"/>
              </w:rPr>
            </w:pPr>
            <w:r w:rsidRPr="004D453A">
              <w:rPr>
                <w:rFonts w:ascii="Arial" w:hAnsi="Arial" w:cs="Arial"/>
                <w:color w:val="000000"/>
                <w:sz w:val="18"/>
                <w:szCs w:val="18"/>
              </w:rPr>
              <w:t>0.21</w:t>
            </w:r>
          </w:p>
        </w:tc>
        <w:tc>
          <w:tcPr>
            <w:tcW w:w="403" w:type="pct"/>
            <w:gridSpan w:val="2"/>
            <w:tcBorders>
              <w:top w:val="nil"/>
              <w:left w:val="nil"/>
              <w:bottom w:val="nil"/>
              <w:right w:val="nil"/>
            </w:tcBorders>
            <w:shd w:val="clear" w:color="000000" w:fill="FFFFFF"/>
            <w:noWrap/>
            <w:vAlign w:val="bottom"/>
          </w:tcPr>
          <w:p w14:paraId="645BF7CC" w14:textId="48D5C9CD" w:rsidR="00153BD1" w:rsidRPr="004D453A" w:rsidRDefault="003112F2" w:rsidP="00153BD1">
            <w:pPr>
              <w:jc w:val="center"/>
              <w:rPr>
                <w:rFonts w:ascii="Arial" w:hAnsi="Arial" w:cs="Arial"/>
                <w:color w:val="000000"/>
                <w:sz w:val="18"/>
                <w:szCs w:val="18"/>
              </w:rPr>
            </w:pPr>
            <w:r w:rsidRPr="004D453A">
              <w:rPr>
                <w:rFonts w:ascii="Arial" w:hAnsi="Arial" w:cs="Arial"/>
                <w:color w:val="000000"/>
                <w:sz w:val="18"/>
                <w:szCs w:val="18"/>
              </w:rPr>
              <w:t>0.</w:t>
            </w:r>
            <w:r w:rsidR="00D53481" w:rsidRPr="004D453A">
              <w:rPr>
                <w:rFonts w:ascii="Arial" w:hAnsi="Arial" w:cs="Arial"/>
                <w:color w:val="000000"/>
                <w:sz w:val="18"/>
                <w:szCs w:val="18"/>
              </w:rPr>
              <w:t>84</w:t>
            </w:r>
          </w:p>
        </w:tc>
      </w:tr>
      <w:tr w:rsidR="00CA5B1C" w:rsidRPr="004D453A" w14:paraId="3EED4245" w14:textId="77777777" w:rsidTr="00F66E50">
        <w:trPr>
          <w:trHeight w:val="20"/>
        </w:trPr>
        <w:tc>
          <w:tcPr>
            <w:tcW w:w="1435" w:type="pct"/>
            <w:gridSpan w:val="2"/>
            <w:tcBorders>
              <w:top w:val="nil"/>
              <w:left w:val="nil"/>
              <w:bottom w:val="nil"/>
              <w:right w:val="nil"/>
            </w:tcBorders>
            <w:shd w:val="clear" w:color="000000" w:fill="FFFFFF"/>
            <w:noWrap/>
            <w:vAlign w:val="center"/>
            <w:hideMark/>
          </w:tcPr>
          <w:p w14:paraId="1D205CD0" w14:textId="388D27D4" w:rsidR="00CA5B1C" w:rsidRPr="004D453A" w:rsidRDefault="00CA5B1C" w:rsidP="00CA5B1C">
            <w:pPr>
              <w:rPr>
                <w:rFonts w:ascii="Arial" w:hAnsi="Arial" w:cs="Arial"/>
                <w:color w:val="000000" w:themeColor="text1"/>
                <w:sz w:val="18"/>
                <w:szCs w:val="18"/>
              </w:rPr>
            </w:pPr>
            <w:r w:rsidRPr="004D453A">
              <w:rPr>
                <w:rFonts w:ascii="Arial" w:hAnsi="Arial" w:cs="Arial"/>
                <w:color w:val="000000" w:themeColor="text1"/>
                <w:sz w:val="18"/>
                <w:szCs w:val="18"/>
              </w:rPr>
              <w:t>Alcohol use</w:t>
            </w:r>
          </w:p>
        </w:tc>
        <w:tc>
          <w:tcPr>
            <w:tcW w:w="277" w:type="pct"/>
            <w:gridSpan w:val="2"/>
            <w:tcBorders>
              <w:top w:val="nil"/>
              <w:left w:val="nil"/>
              <w:bottom w:val="nil"/>
              <w:right w:val="nil"/>
            </w:tcBorders>
            <w:shd w:val="clear" w:color="000000" w:fill="FFFFFF"/>
            <w:noWrap/>
            <w:vAlign w:val="bottom"/>
          </w:tcPr>
          <w:p w14:paraId="7D954989" w14:textId="77777777" w:rsidR="00CA5B1C" w:rsidRPr="004D453A" w:rsidRDefault="00CA5B1C" w:rsidP="00CA5B1C">
            <w:pPr>
              <w:jc w:val="center"/>
              <w:rPr>
                <w:rFonts w:ascii="Arial" w:hAnsi="Arial" w:cs="Arial"/>
                <w:color w:val="000000"/>
                <w:sz w:val="18"/>
                <w:szCs w:val="18"/>
              </w:rPr>
            </w:pPr>
          </w:p>
        </w:tc>
        <w:tc>
          <w:tcPr>
            <w:tcW w:w="292" w:type="pct"/>
            <w:tcBorders>
              <w:top w:val="nil"/>
              <w:left w:val="nil"/>
              <w:bottom w:val="nil"/>
              <w:right w:val="nil"/>
            </w:tcBorders>
            <w:shd w:val="clear" w:color="000000" w:fill="FFFFFF"/>
            <w:noWrap/>
            <w:vAlign w:val="center"/>
          </w:tcPr>
          <w:p w14:paraId="633312E4" w14:textId="77777777" w:rsidR="00CA5B1C" w:rsidRPr="004D453A" w:rsidRDefault="00CA5B1C" w:rsidP="00CA5B1C">
            <w:pPr>
              <w:jc w:val="center"/>
              <w:rPr>
                <w:rFonts w:ascii="Arial" w:hAnsi="Arial" w:cs="Arial"/>
                <w:color w:val="000000"/>
                <w:sz w:val="18"/>
                <w:szCs w:val="18"/>
              </w:rPr>
            </w:pPr>
            <w:r w:rsidRPr="004D453A">
              <w:rPr>
                <w:rFonts w:ascii="Arial" w:hAnsi="Arial" w:cs="Arial"/>
                <w:color w:val="000000"/>
                <w:sz w:val="18"/>
                <w:szCs w:val="18"/>
              </w:rPr>
              <w:t> </w:t>
            </w:r>
          </w:p>
        </w:tc>
        <w:tc>
          <w:tcPr>
            <w:tcW w:w="564" w:type="pct"/>
            <w:tcBorders>
              <w:top w:val="nil"/>
              <w:left w:val="nil"/>
              <w:bottom w:val="nil"/>
              <w:right w:val="nil"/>
            </w:tcBorders>
            <w:shd w:val="clear" w:color="000000" w:fill="FFFFFF"/>
            <w:noWrap/>
            <w:vAlign w:val="center"/>
          </w:tcPr>
          <w:p w14:paraId="39689410" w14:textId="16AF6C44" w:rsidR="00CA5B1C" w:rsidRPr="004D453A" w:rsidRDefault="00CA5B1C" w:rsidP="00CA5B1C">
            <w:pPr>
              <w:jc w:val="center"/>
              <w:rPr>
                <w:rFonts w:ascii="Arial" w:hAnsi="Arial" w:cs="Arial"/>
                <w:color w:val="000000"/>
                <w:sz w:val="18"/>
                <w:szCs w:val="18"/>
              </w:rPr>
            </w:pPr>
          </w:p>
        </w:tc>
        <w:tc>
          <w:tcPr>
            <w:tcW w:w="565" w:type="pct"/>
            <w:tcBorders>
              <w:top w:val="nil"/>
              <w:left w:val="nil"/>
              <w:bottom w:val="nil"/>
              <w:right w:val="nil"/>
            </w:tcBorders>
            <w:shd w:val="clear" w:color="000000" w:fill="FFFFFF"/>
            <w:noWrap/>
            <w:vAlign w:val="center"/>
          </w:tcPr>
          <w:p w14:paraId="7C04FE7A" w14:textId="62D93442" w:rsidR="00CA5B1C" w:rsidRPr="004D453A" w:rsidRDefault="00CA5B1C" w:rsidP="00CA5B1C">
            <w:pPr>
              <w:jc w:val="center"/>
              <w:rPr>
                <w:rFonts w:ascii="Arial" w:hAnsi="Arial" w:cs="Arial"/>
                <w:color w:val="000000"/>
                <w:sz w:val="18"/>
                <w:szCs w:val="18"/>
              </w:rPr>
            </w:pPr>
          </w:p>
        </w:tc>
        <w:tc>
          <w:tcPr>
            <w:tcW w:w="580" w:type="pct"/>
            <w:tcBorders>
              <w:top w:val="nil"/>
              <w:left w:val="nil"/>
              <w:bottom w:val="nil"/>
              <w:right w:val="nil"/>
            </w:tcBorders>
            <w:shd w:val="clear" w:color="000000" w:fill="FFFFFF"/>
            <w:noWrap/>
            <w:vAlign w:val="center"/>
          </w:tcPr>
          <w:p w14:paraId="66A39843" w14:textId="41B6B3B9" w:rsidR="00CA5B1C" w:rsidRPr="004D453A" w:rsidRDefault="00CA5B1C" w:rsidP="00CA5B1C">
            <w:pPr>
              <w:jc w:val="center"/>
              <w:rPr>
                <w:rFonts w:ascii="Arial" w:hAnsi="Arial" w:cs="Arial"/>
                <w:color w:val="000000"/>
                <w:sz w:val="18"/>
                <w:szCs w:val="18"/>
              </w:rPr>
            </w:pPr>
          </w:p>
        </w:tc>
        <w:tc>
          <w:tcPr>
            <w:tcW w:w="574" w:type="pct"/>
            <w:gridSpan w:val="2"/>
            <w:tcBorders>
              <w:top w:val="nil"/>
              <w:left w:val="nil"/>
              <w:bottom w:val="nil"/>
              <w:right w:val="nil"/>
            </w:tcBorders>
            <w:shd w:val="clear" w:color="000000" w:fill="FFFFFF"/>
            <w:noWrap/>
            <w:vAlign w:val="center"/>
          </w:tcPr>
          <w:p w14:paraId="2D152B9E" w14:textId="1919A1B1" w:rsidR="00CA5B1C" w:rsidRPr="004D453A" w:rsidRDefault="00CA5B1C" w:rsidP="00CA5B1C">
            <w:pPr>
              <w:jc w:val="center"/>
              <w:rPr>
                <w:rFonts w:ascii="Arial" w:hAnsi="Arial" w:cs="Arial"/>
                <w:color w:val="000000"/>
                <w:sz w:val="18"/>
                <w:szCs w:val="18"/>
              </w:rPr>
            </w:pPr>
          </w:p>
        </w:tc>
        <w:tc>
          <w:tcPr>
            <w:tcW w:w="310" w:type="pct"/>
            <w:gridSpan w:val="2"/>
            <w:tcBorders>
              <w:top w:val="nil"/>
              <w:left w:val="nil"/>
              <w:bottom w:val="nil"/>
              <w:right w:val="nil"/>
            </w:tcBorders>
            <w:shd w:val="clear" w:color="000000" w:fill="FFFFFF"/>
            <w:noWrap/>
            <w:vAlign w:val="center"/>
          </w:tcPr>
          <w:p w14:paraId="203707BE" w14:textId="075CC2D8" w:rsidR="00CA5B1C" w:rsidRPr="004D453A" w:rsidRDefault="00CA5B1C" w:rsidP="00CA5B1C">
            <w:pPr>
              <w:jc w:val="center"/>
              <w:rPr>
                <w:rFonts w:ascii="Arial" w:hAnsi="Arial" w:cs="Arial"/>
                <w:color w:val="000000"/>
                <w:sz w:val="18"/>
                <w:szCs w:val="18"/>
              </w:rPr>
            </w:pPr>
          </w:p>
        </w:tc>
        <w:tc>
          <w:tcPr>
            <w:tcW w:w="403" w:type="pct"/>
            <w:gridSpan w:val="2"/>
            <w:tcBorders>
              <w:top w:val="nil"/>
              <w:left w:val="nil"/>
              <w:bottom w:val="nil"/>
              <w:right w:val="nil"/>
            </w:tcBorders>
            <w:shd w:val="clear" w:color="000000" w:fill="FFFFFF"/>
            <w:noWrap/>
            <w:vAlign w:val="bottom"/>
          </w:tcPr>
          <w:p w14:paraId="7A30D877" w14:textId="77777777" w:rsidR="00CA5B1C" w:rsidRPr="004D453A" w:rsidRDefault="00CA5B1C" w:rsidP="00CA5B1C">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3CD623D9"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2F14206B" w14:textId="15D6C778" w:rsidR="0007729A" w:rsidRPr="004D453A" w:rsidRDefault="000A6080" w:rsidP="0007729A">
            <w:pPr>
              <w:ind w:firstLine="163"/>
              <w:rPr>
                <w:rFonts w:ascii="Arial" w:hAnsi="Arial" w:cs="Arial"/>
                <w:color w:val="000000" w:themeColor="text1"/>
                <w:sz w:val="18"/>
                <w:szCs w:val="18"/>
              </w:rPr>
            </w:pPr>
            <w:r>
              <w:rPr>
                <w:rFonts w:ascii="Arial" w:hAnsi="Arial" w:cs="Arial"/>
                <w:color w:val="000000"/>
                <w:sz w:val="18"/>
                <w:szCs w:val="18"/>
              </w:rPr>
              <w:t xml:space="preserve">Former or never </w:t>
            </w:r>
            <w:r w:rsidR="0007729A" w:rsidRPr="004D453A">
              <w:rPr>
                <w:rFonts w:ascii="Arial" w:hAnsi="Arial" w:cs="Arial"/>
                <w:color w:val="000000"/>
                <w:sz w:val="18"/>
                <w:szCs w:val="18"/>
              </w:rPr>
              <w:t>drinker</w:t>
            </w:r>
          </w:p>
        </w:tc>
        <w:tc>
          <w:tcPr>
            <w:tcW w:w="277" w:type="pct"/>
            <w:gridSpan w:val="2"/>
            <w:tcBorders>
              <w:top w:val="nil"/>
              <w:left w:val="nil"/>
              <w:bottom w:val="nil"/>
              <w:right w:val="nil"/>
            </w:tcBorders>
            <w:shd w:val="clear" w:color="000000" w:fill="FFFFFF"/>
            <w:noWrap/>
            <w:vAlign w:val="bottom"/>
          </w:tcPr>
          <w:p w14:paraId="322C6A0F" w14:textId="6FF8D482"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273</w:t>
            </w:r>
          </w:p>
        </w:tc>
        <w:tc>
          <w:tcPr>
            <w:tcW w:w="292" w:type="pct"/>
            <w:tcBorders>
              <w:top w:val="nil"/>
              <w:left w:val="nil"/>
              <w:bottom w:val="nil"/>
              <w:right w:val="nil"/>
            </w:tcBorders>
            <w:shd w:val="clear" w:color="000000" w:fill="FFFFFF"/>
            <w:noWrap/>
            <w:vAlign w:val="center"/>
          </w:tcPr>
          <w:p w14:paraId="6CED9C56" w14:textId="37FD83DA"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729375BE" w14:textId="0CAB8D26"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1.08 (0.64</w:t>
            </w:r>
            <w:r w:rsidR="001B63DC" w:rsidRPr="004D453A">
              <w:rPr>
                <w:rFonts w:ascii="Arial" w:hAnsi="Arial" w:cs="Arial"/>
                <w:color w:val="000000"/>
                <w:sz w:val="18"/>
                <w:szCs w:val="18"/>
              </w:rPr>
              <w:t>-</w:t>
            </w:r>
            <w:r w:rsidRPr="004D453A">
              <w:rPr>
                <w:rFonts w:ascii="Arial" w:hAnsi="Arial" w:cs="Arial"/>
                <w:color w:val="000000"/>
                <w:sz w:val="18"/>
                <w:szCs w:val="18"/>
              </w:rPr>
              <w:t>1.8</w:t>
            </w:r>
            <w:r w:rsidR="00297419" w:rsidRPr="004D453A">
              <w:rPr>
                <w:rFonts w:ascii="Arial" w:hAnsi="Arial" w:cs="Arial"/>
                <w:color w:val="000000"/>
                <w:sz w:val="18"/>
                <w:szCs w:val="18"/>
              </w:rPr>
              <w:t>0</w:t>
            </w:r>
            <w:r w:rsidRPr="004D453A">
              <w:rPr>
                <w:rFonts w:ascii="Arial" w:hAnsi="Arial" w:cs="Arial"/>
                <w:color w:val="000000"/>
                <w:sz w:val="18"/>
                <w:szCs w:val="18"/>
              </w:rPr>
              <w:t>)</w:t>
            </w:r>
          </w:p>
        </w:tc>
        <w:tc>
          <w:tcPr>
            <w:tcW w:w="565" w:type="pct"/>
            <w:tcBorders>
              <w:top w:val="nil"/>
              <w:left w:val="nil"/>
              <w:bottom w:val="nil"/>
              <w:right w:val="nil"/>
            </w:tcBorders>
            <w:shd w:val="clear" w:color="000000" w:fill="FFFFFF"/>
            <w:noWrap/>
            <w:vAlign w:val="bottom"/>
          </w:tcPr>
          <w:p w14:paraId="1E18E672" w14:textId="2C529285"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0.7</w:t>
            </w:r>
            <w:r w:rsidR="00297419" w:rsidRPr="004D453A">
              <w:rPr>
                <w:rFonts w:ascii="Arial" w:hAnsi="Arial" w:cs="Arial"/>
                <w:color w:val="000000"/>
                <w:sz w:val="18"/>
                <w:szCs w:val="18"/>
              </w:rPr>
              <w:t>0</w:t>
            </w:r>
            <w:r w:rsidRPr="004D453A">
              <w:rPr>
                <w:rFonts w:ascii="Arial" w:hAnsi="Arial" w:cs="Arial"/>
                <w:color w:val="000000"/>
                <w:sz w:val="18"/>
                <w:szCs w:val="18"/>
              </w:rPr>
              <w:t xml:space="preserve"> (0.39</w:t>
            </w:r>
            <w:r w:rsidR="001B63DC" w:rsidRPr="004D453A">
              <w:rPr>
                <w:rFonts w:ascii="Arial" w:hAnsi="Arial" w:cs="Arial"/>
                <w:color w:val="000000"/>
                <w:sz w:val="18"/>
                <w:szCs w:val="18"/>
              </w:rPr>
              <w:t>-</w:t>
            </w:r>
            <w:r w:rsidRPr="004D453A">
              <w:rPr>
                <w:rFonts w:ascii="Arial" w:hAnsi="Arial" w:cs="Arial"/>
                <w:color w:val="000000"/>
                <w:sz w:val="18"/>
                <w:szCs w:val="18"/>
              </w:rPr>
              <w:t>1.22)</w:t>
            </w:r>
          </w:p>
        </w:tc>
        <w:tc>
          <w:tcPr>
            <w:tcW w:w="580" w:type="pct"/>
            <w:tcBorders>
              <w:top w:val="nil"/>
              <w:left w:val="nil"/>
              <w:bottom w:val="nil"/>
              <w:right w:val="nil"/>
            </w:tcBorders>
            <w:shd w:val="clear" w:color="000000" w:fill="FFFFFF"/>
            <w:noWrap/>
            <w:vAlign w:val="bottom"/>
          </w:tcPr>
          <w:p w14:paraId="3C4D76F6" w14:textId="76CBB621"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1.16 (0.71</w:t>
            </w:r>
            <w:r w:rsidR="001B63DC" w:rsidRPr="004D453A">
              <w:rPr>
                <w:rFonts w:ascii="Arial" w:hAnsi="Arial" w:cs="Arial"/>
                <w:color w:val="000000"/>
                <w:sz w:val="18"/>
                <w:szCs w:val="18"/>
              </w:rPr>
              <w:t>-</w:t>
            </w:r>
            <w:r w:rsidRPr="004D453A">
              <w:rPr>
                <w:rFonts w:ascii="Arial" w:hAnsi="Arial" w:cs="Arial"/>
                <w:color w:val="000000"/>
                <w:sz w:val="18"/>
                <w:szCs w:val="18"/>
              </w:rPr>
              <w:t>1.92)</w:t>
            </w:r>
          </w:p>
        </w:tc>
        <w:tc>
          <w:tcPr>
            <w:tcW w:w="574" w:type="pct"/>
            <w:gridSpan w:val="2"/>
            <w:tcBorders>
              <w:top w:val="nil"/>
              <w:left w:val="nil"/>
              <w:bottom w:val="nil"/>
              <w:right w:val="nil"/>
            </w:tcBorders>
            <w:shd w:val="clear" w:color="000000" w:fill="FFFFFF"/>
            <w:noWrap/>
            <w:vAlign w:val="bottom"/>
          </w:tcPr>
          <w:p w14:paraId="02D98327" w14:textId="00170A93"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1.4</w:t>
            </w:r>
            <w:r w:rsidR="00297419" w:rsidRPr="004D453A">
              <w:rPr>
                <w:rFonts w:ascii="Arial" w:hAnsi="Arial" w:cs="Arial"/>
                <w:color w:val="000000"/>
                <w:sz w:val="18"/>
                <w:szCs w:val="18"/>
              </w:rPr>
              <w:t>0</w:t>
            </w:r>
            <w:r w:rsidRPr="004D453A">
              <w:rPr>
                <w:rFonts w:ascii="Arial" w:hAnsi="Arial" w:cs="Arial"/>
                <w:color w:val="000000"/>
                <w:sz w:val="18"/>
                <w:szCs w:val="18"/>
              </w:rPr>
              <w:t xml:space="preserve"> (0.88</w:t>
            </w:r>
            <w:r w:rsidR="001B63DC" w:rsidRPr="004D453A">
              <w:rPr>
                <w:rFonts w:ascii="Arial" w:hAnsi="Arial" w:cs="Arial"/>
                <w:color w:val="000000"/>
                <w:sz w:val="18"/>
                <w:szCs w:val="18"/>
              </w:rPr>
              <w:t>-</w:t>
            </w:r>
            <w:r w:rsidRPr="004D453A">
              <w:rPr>
                <w:rFonts w:ascii="Arial" w:hAnsi="Arial" w:cs="Arial"/>
                <w:color w:val="000000"/>
                <w:sz w:val="18"/>
                <w:szCs w:val="18"/>
              </w:rPr>
              <w:t>2.27)</w:t>
            </w:r>
          </w:p>
        </w:tc>
        <w:tc>
          <w:tcPr>
            <w:tcW w:w="310" w:type="pct"/>
            <w:gridSpan w:val="2"/>
            <w:tcBorders>
              <w:top w:val="nil"/>
              <w:left w:val="nil"/>
              <w:bottom w:val="nil"/>
              <w:right w:val="nil"/>
            </w:tcBorders>
            <w:shd w:val="clear" w:color="auto" w:fill="auto"/>
            <w:noWrap/>
            <w:vAlign w:val="bottom"/>
          </w:tcPr>
          <w:p w14:paraId="6D892317" w14:textId="072AC909"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0.12</w:t>
            </w:r>
          </w:p>
        </w:tc>
        <w:tc>
          <w:tcPr>
            <w:tcW w:w="403" w:type="pct"/>
            <w:gridSpan w:val="2"/>
            <w:tcBorders>
              <w:top w:val="nil"/>
              <w:left w:val="nil"/>
              <w:bottom w:val="nil"/>
              <w:right w:val="nil"/>
            </w:tcBorders>
            <w:shd w:val="clear" w:color="000000" w:fill="FFFFFF"/>
            <w:noWrap/>
            <w:vAlign w:val="bottom"/>
          </w:tcPr>
          <w:p w14:paraId="411424D7" w14:textId="0F6F1545"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1D9F81EC"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7E2A0A34" w14:textId="6BAEF1FA" w:rsidR="0007729A" w:rsidRPr="004D453A" w:rsidRDefault="00A2603D" w:rsidP="0007729A">
            <w:pPr>
              <w:ind w:firstLine="163"/>
              <w:rPr>
                <w:rFonts w:ascii="Arial" w:hAnsi="Arial" w:cs="Arial"/>
                <w:color w:val="000000" w:themeColor="text1"/>
                <w:sz w:val="18"/>
                <w:szCs w:val="18"/>
              </w:rPr>
            </w:pPr>
            <w:r>
              <w:rPr>
                <w:rFonts w:ascii="Arial" w:hAnsi="Arial" w:cs="Arial"/>
                <w:color w:val="000000"/>
                <w:sz w:val="18"/>
                <w:szCs w:val="18"/>
              </w:rPr>
              <w:t>Current</w:t>
            </w:r>
            <w:r w:rsidR="0007729A" w:rsidRPr="004D453A">
              <w:rPr>
                <w:rFonts w:ascii="Arial" w:hAnsi="Arial" w:cs="Arial"/>
                <w:color w:val="000000"/>
                <w:sz w:val="18"/>
                <w:szCs w:val="18"/>
              </w:rPr>
              <w:t xml:space="preserve"> </w:t>
            </w:r>
            <w:r w:rsidR="000A6080">
              <w:rPr>
                <w:rFonts w:ascii="Arial" w:hAnsi="Arial" w:cs="Arial"/>
                <w:color w:val="000000"/>
                <w:sz w:val="18"/>
                <w:szCs w:val="18"/>
              </w:rPr>
              <w:t>d</w:t>
            </w:r>
            <w:r w:rsidR="0007729A" w:rsidRPr="004D453A">
              <w:rPr>
                <w:rFonts w:ascii="Arial" w:hAnsi="Arial" w:cs="Arial"/>
                <w:color w:val="000000"/>
                <w:sz w:val="18"/>
                <w:szCs w:val="18"/>
              </w:rPr>
              <w:t>rinker</w:t>
            </w:r>
          </w:p>
        </w:tc>
        <w:tc>
          <w:tcPr>
            <w:tcW w:w="277" w:type="pct"/>
            <w:gridSpan w:val="2"/>
            <w:tcBorders>
              <w:top w:val="nil"/>
              <w:left w:val="nil"/>
              <w:bottom w:val="nil"/>
              <w:right w:val="nil"/>
            </w:tcBorders>
            <w:shd w:val="clear" w:color="000000" w:fill="FFFFFF"/>
            <w:noWrap/>
            <w:vAlign w:val="bottom"/>
          </w:tcPr>
          <w:p w14:paraId="2DD66CF2" w14:textId="2B91EFB4"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492</w:t>
            </w:r>
          </w:p>
        </w:tc>
        <w:tc>
          <w:tcPr>
            <w:tcW w:w="292" w:type="pct"/>
            <w:tcBorders>
              <w:top w:val="nil"/>
              <w:left w:val="nil"/>
              <w:bottom w:val="nil"/>
              <w:right w:val="nil"/>
            </w:tcBorders>
            <w:shd w:val="clear" w:color="000000" w:fill="FFFFFF"/>
            <w:noWrap/>
            <w:vAlign w:val="center"/>
          </w:tcPr>
          <w:p w14:paraId="161E43BA" w14:textId="18A585DD"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2218F8CF" w14:textId="0EFD632D"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1.24 (0.87</w:t>
            </w:r>
            <w:r w:rsidR="001B63DC" w:rsidRPr="004D453A">
              <w:rPr>
                <w:rFonts w:ascii="Arial" w:hAnsi="Arial" w:cs="Arial"/>
                <w:color w:val="000000"/>
                <w:sz w:val="18"/>
                <w:szCs w:val="18"/>
              </w:rPr>
              <w:t>-</w:t>
            </w:r>
            <w:r w:rsidRPr="004D453A">
              <w:rPr>
                <w:rFonts w:ascii="Arial" w:hAnsi="Arial" w:cs="Arial"/>
                <w:color w:val="000000"/>
                <w:sz w:val="18"/>
                <w:szCs w:val="18"/>
              </w:rPr>
              <w:t>1.77)</w:t>
            </w:r>
          </w:p>
        </w:tc>
        <w:tc>
          <w:tcPr>
            <w:tcW w:w="565" w:type="pct"/>
            <w:tcBorders>
              <w:top w:val="nil"/>
              <w:left w:val="nil"/>
              <w:bottom w:val="nil"/>
              <w:right w:val="nil"/>
            </w:tcBorders>
            <w:shd w:val="clear" w:color="000000" w:fill="FFFFFF"/>
            <w:noWrap/>
            <w:vAlign w:val="bottom"/>
          </w:tcPr>
          <w:p w14:paraId="330DE68E" w14:textId="29D26A8D"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1.26 (0.89</w:t>
            </w:r>
            <w:r w:rsidR="001B63DC" w:rsidRPr="004D453A">
              <w:rPr>
                <w:rFonts w:ascii="Arial" w:hAnsi="Arial" w:cs="Arial"/>
                <w:color w:val="000000"/>
                <w:sz w:val="18"/>
                <w:szCs w:val="18"/>
              </w:rPr>
              <w:t>-</w:t>
            </w:r>
            <w:r w:rsidRPr="004D453A">
              <w:rPr>
                <w:rFonts w:ascii="Arial" w:hAnsi="Arial" w:cs="Arial"/>
                <w:color w:val="000000"/>
                <w:sz w:val="18"/>
                <w:szCs w:val="18"/>
              </w:rPr>
              <w:t>1.8)</w:t>
            </w:r>
          </w:p>
        </w:tc>
        <w:tc>
          <w:tcPr>
            <w:tcW w:w="580" w:type="pct"/>
            <w:tcBorders>
              <w:top w:val="nil"/>
              <w:left w:val="nil"/>
              <w:bottom w:val="nil"/>
              <w:right w:val="nil"/>
            </w:tcBorders>
            <w:shd w:val="clear" w:color="000000" w:fill="FFFFFF"/>
            <w:noWrap/>
            <w:vAlign w:val="bottom"/>
          </w:tcPr>
          <w:p w14:paraId="3752A8C2" w14:textId="084E6302"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1.17 (0.81</w:t>
            </w:r>
            <w:r w:rsidR="0086321A" w:rsidRPr="004D453A">
              <w:rPr>
                <w:rFonts w:ascii="Arial" w:hAnsi="Arial" w:cs="Arial"/>
                <w:color w:val="000000"/>
                <w:sz w:val="18"/>
                <w:szCs w:val="18"/>
              </w:rPr>
              <w:t>-</w:t>
            </w:r>
            <w:r w:rsidRPr="004D453A">
              <w:rPr>
                <w:rFonts w:ascii="Arial" w:hAnsi="Arial" w:cs="Arial"/>
                <w:color w:val="000000"/>
                <w:sz w:val="18"/>
                <w:szCs w:val="18"/>
              </w:rPr>
              <w:t>1.69)</w:t>
            </w:r>
          </w:p>
        </w:tc>
        <w:tc>
          <w:tcPr>
            <w:tcW w:w="574" w:type="pct"/>
            <w:gridSpan w:val="2"/>
            <w:tcBorders>
              <w:top w:val="nil"/>
              <w:left w:val="nil"/>
              <w:bottom w:val="nil"/>
              <w:right w:val="nil"/>
            </w:tcBorders>
            <w:shd w:val="clear" w:color="000000" w:fill="FFFFFF"/>
            <w:noWrap/>
            <w:vAlign w:val="bottom"/>
          </w:tcPr>
          <w:p w14:paraId="7920E5C7" w14:textId="42390570"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1.27 (0.87</w:t>
            </w:r>
            <w:r w:rsidR="0086321A" w:rsidRPr="004D453A">
              <w:rPr>
                <w:rFonts w:ascii="Arial" w:hAnsi="Arial" w:cs="Arial"/>
                <w:color w:val="000000"/>
                <w:sz w:val="18"/>
                <w:szCs w:val="18"/>
              </w:rPr>
              <w:t>-</w:t>
            </w:r>
            <w:r w:rsidRPr="004D453A">
              <w:rPr>
                <w:rFonts w:ascii="Arial" w:hAnsi="Arial" w:cs="Arial"/>
                <w:color w:val="000000"/>
                <w:sz w:val="18"/>
                <w:szCs w:val="18"/>
              </w:rPr>
              <w:t>1.86)</w:t>
            </w:r>
          </w:p>
        </w:tc>
        <w:tc>
          <w:tcPr>
            <w:tcW w:w="310" w:type="pct"/>
            <w:gridSpan w:val="2"/>
            <w:tcBorders>
              <w:top w:val="nil"/>
              <w:left w:val="nil"/>
              <w:bottom w:val="nil"/>
              <w:right w:val="nil"/>
            </w:tcBorders>
            <w:shd w:val="clear" w:color="auto" w:fill="auto"/>
            <w:noWrap/>
            <w:vAlign w:val="bottom"/>
          </w:tcPr>
          <w:p w14:paraId="7E1BF22F" w14:textId="5225A05B"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0.26</w:t>
            </w:r>
          </w:p>
        </w:tc>
        <w:tc>
          <w:tcPr>
            <w:tcW w:w="403" w:type="pct"/>
            <w:gridSpan w:val="2"/>
            <w:tcBorders>
              <w:top w:val="nil"/>
              <w:left w:val="nil"/>
              <w:bottom w:val="nil"/>
              <w:right w:val="nil"/>
            </w:tcBorders>
            <w:shd w:val="clear" w:color="000000" w:fill="FFFFFF"/>
            <w:noWrap/>
            <w:vAlign w:val="bottom"/>
          </w:tcPr>
          <w:p w14:paraId="1126EEB0" w14:textId="08859F13"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0.19</w:t>
            </w:r>
          </w:p>
        </w:tc>
      </w:tr>
      <w:tr w:rsidR="00B810D0" w:rsidRPr="004D453A" w14:paraId="0F2DA238"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32EFE90A" w14:textId="7626D22C" w:rsidR="00AF09AE" w:rsidRPr="004D453A" w:rsidRDefault="00AF09AE" w:rsidP="002934D9">
            <w:pPr>
              <w:rPr>
                <w:rFonts w:ascii="Arial" w:hAnsi="Arial" w:cs="Arial"/>
                <w:color w:val="000000" w:themeColor="text1"/>
                <w:sz w:val="18"/>
                <w:szCs w:val="18"/>
                <w:vertAlign w:val="superscript"/>
              </w:rPr>
            </w:pPr>
            <w:r w:rsidRPr="004D453A">
              <w:rPr>
                <w:rFonts w:ascii="Arial" w:hAnsi="Arial" w:cs="Arial"/>
                <w:color w:val="000000" w:themeColor="text1"/>
                <w:sz w:val="18"/>
                <w:szCs w:val="18"/>
              </w:rPr>
              <w:t>Physical activity</w:t>
            </w:r>
          </w:p>
        </w:tc>
        <w:tc>
          <w:tcPr>
            <w:tcW w:w="277" w:type="pct"/>
            <w:gridSpan w:val="2"/>
            <w:tcBorders>
              <w:top w:val="nil"/>
              <w:left w:val="nil"/>
              <w:bottom w:val="nil"/>
              <w:right w:val="nil"/>
            </w:tcBorders>
            <w:shd w:val="clear" w:color="000000" w:fill="FFFFFF"/>
            <w:noWrap/>
            <w:vAlign w:val="center"/>
          </w:tcPr>
          <w:p w14:paraId="38CC0178" w14:textId="77777777" w:rsidR="00AF09AE" w:rsidRPr="004D453A" w:rsidRDefault="00AF09AE" w:rsidP="00AF09AE">
            <w:pPr>
              <w:jc w:val="center"/>
              <w:rPr>
                <w:rFonts w:ascii="Arial" w:hAnsi="Arial" w:cs="Arial"/>
                <w:color w:val="000000"/>
                <w:sz w:val="18"/>
                <w:szCs w:val="18"/>
              </w:rPr>
            </w:pPr>
          </w:p>
        </w:tc>
        <w:tc>
          <w:tcPr>
            <w:tcW w:w="292" w:type="pct"/>
            <w:tcBorders>
              <w:top w:val="nil"/>
              <w:left w:val="nil"/>
              <w:bottom w:val="nil"/>
              <w:right w:val="nil"/>
            </w:tcBorders>
            <w:shd w:val="clear" w:color="000000" w:fill="FFFFFF"/>
            <w:noWrap/>
            <w:vAlign w:val="center"/>
          </w:tcPr>
          <w:p w14:paraId="05613476"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4" w:type="pct"/>
            <w:tcBorders>
              <w:top w:val="nil"/>
              <w:left w:val="nil"/>
              <w:bottom w:val="nil"/>
              <w:right w:val="nil"/>
            </w:tcBorders>
            <w:shd w:val="clear" w:color="000000" w:fill="FFFFFF"/>
            <w:noWrap/>
            <w:vAlign w:val="center"/>
          </w:tcPr>
          <w:p w14:paraId="7D263A80"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5" w:type="pct"/>
            <w:tcBorders>
              <w:top w:val="nil"/>
              <w:left w:val="nil"/>
              <w:bottom w:val="nil"/>
              <w:right w:val="nil"/>
            </w:tcBorders>
            <w:shd w:val="clear" w:color="000000" w:fill="FFFFFF"/>
            <w:noWrap/>
            <w:vAlign w:val="center"/>
          </w:tcPr>
          <w:p w14:paraId="3E9F4413"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80" w:type="pct"/>
            <w:tcBorders>
              <w:top w:val="nil"/>
              <w:left w:val="nil"/>
              <w:bottom w:val="nil"/>
              <w:right w:val="nil"/>
            </w:tcBorders>
            <w:shd w:val="clear" w:color="000000" w:fill="FFFFFF"/>
            <w:noWrap/>
            <w:vAlign w:val="center"/>
          </w:tcPr>
          <w:p w14:paraId="7F03653D"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74" w:type="pct"/>
            <w:gridSpan w:val="2"/>
            <w:tcBorders>
              <w:top w:val="nil"/>
              <w:left w:val="nil"/>
              <w:bottom w:val="nil"/>
              <w:right w:val="nil"/>
            </w:tcBorders>
            <w:shd w:val="clear" w:color="000000" w:fill="FFFFFF"/>
            <w:noWrap/>
            <w:vAlign w:val="center"/>
          </w:tcPr>
          <w:p w14:paraId="404FDB48"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310" w:type="pct"/>
            <w:gridSpan w:val="2"/>
            <w:tcBorders>
              <w:top w:val="nil"/>
              <w:left w:val="nil"/>
              <w:bottom w:val="nil"/>
              <w:right w:val="nil"/>
            </w:tcBorders>
            <w:shd w:val="clear" w:color="000000" w:fill="FFFFFF"/>
            <w:noWrap/>
            <w:vAlign w:val="bottom"/>
          </w:tcPr>
          <w:p w14:paraId="529C3864"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403" w:type="pct"/>
            <w:gridSpan w:val="2"/>
            <w:tcBorders>
              <w:top w:val="nil"/>
              <w:left w:val="nil"/>
              <w:bottom w:val="nil"/>
              <w:right w:val="nil"/>
            </w:tcBorders>
            <w:shd w:val="clear" w:color="000000" w:fill="FFFFFF"/>
            <w:noWrap/>
            <w:vAlign w:val="bottom"/>
          </w:tcPr>
          <w:p w14:paraId="4E2C28FF"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0495D5AE"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64B5012E" w14:textId="0934517B" w:rsidR="0007729A" w:rsidRPr="004D453A" w:rsidRDefault="0007729A" w:rsidP="0007729A">
            <w:pPr>
              <w:ind w:firstLine="163"/>
              <w:rPr>
                <w:rFonts w:ascii="Arial" w:hAnsi="Arial" w:cs="Arial"/>
                <w:color w:val="000000" w:themeColor="text1"/>
                <w:sz w:val="18"/>
                <w:szCs w:val="18"/>
              </w:rPr>
            </w:pPr>
            <w:r w:rsidRPr="004D453A">
              <w:rPr>
                <w:rFonts w:ascii="Arial" w:hAnsi="Arial" w:cs="Arial"/>
                <w:color w:val="000000"/>
                <w:sz w:val="18"/>
                <w:szCs w:val="18"/>
              </w:rPr>
              <w:t>Total moderate + vigorous METs/week &lt; 41.54</w:t>
            </w:r>
          </w:p>
        </w:tc>
        <w:tc>
          <w:tcPr>
            <w:tcW w:w="277" w:type="pct"/>
            <w:gridSpan w:val="2"/>
            <w:tcBorders>
              <w:top w:val="nil"/>
              <w:left w:val="nil"/>
              <w:bottom w:val="nil"/>
              <w:right w:val="nil"/>
            </w:tcBorders>
            <w:shd w:val="clear" w:color="000000" w:fill="FFFFFF"/>
            <w:noWrap/>
            <w:vAlign w:val="bottom"/>
          </w:tcPr>
          <w:p w14:paraId="0EFB1C74" w14:textId="37268A4A"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361</w:t>
            </w:r>
          </w:p>
        </w:tc>
        <w:tc>
          <w:tcPr>
            <w:tcW w:w="292" w:type="pct"/>
            <w:tcBorders>
              <w:top w:val="nil"/>
              <w:left w:val="nil"/>
              <w:bottom w:val="nil"/>
              <w:right w:val="nil"/>
            </w:tcBorders>
            <w:shd w:val="clear" w:color="000000" w:fill="FFFFFF"/>
            <w:noWrap/>
            <w:vAlign w:val="center"/>
          </w:tcPr>
          <w:p w14:paraId="527F4057" w14:textId="5C9411F9"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76D43E44" w14:textId="20927EFE"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1.11 (0.72</w:t>
            </w:r>
            <w:r w:rsidR="0086321A" w:rsidRPr="004D453A">
              <w:rPr>
                <w:rFonts w:ascii="Arial" w:hAnsi="Arial" w:cs="Arial"/>
                <w:color w:val="000000"/>
                <w:sz w:val="18"/>
                <w:szCs w:val="18"/>
              </w:rPr>
              <w:t>-</w:t>
            </w:r>
            <w:r w:rsidRPr="004D453A">
              <w:rPr>
                <w:rFonts w:ascii="Arial" w:hAnsi="Arial" w:cs="Arial"/>
                <w:color w:val="000000"/>
                <w:sz w:val="18"/>
                <w:szCs w:val="18"/>
              </w:rPr>
              <w:t>1.74)</w:t>
            </w:r>
          </w:p>
        </w:tc>
        <w:tc>
          <w:tcPr>
            <w:tcW w:w="565" w:type="pct"/>
            <w:tcBorders>
              <w:top w:val="nil"/>
              <w:left w:val="nil"/>
              <w:bottom w:val="nil"/>
              <w:right w:val="nil"/>
            </w:tcBorders>
            <w:shd w:val="clear" w:color="000000" w:fill="FFFFFF"/>
            <w:noWrap/>
            <w:vAlign w:val="bottom"/>
          </w:tcPr>
          <w:p w14:paraId="4765AFCA" w14:textId="2F1E9FEE"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1.02 (0.65</w:t>
            </w:r>
            <w:r w:rsidR="0086321A" w:rsidRPr="004D453A">
              <w:rPr>
                <w:rFonts w:ascii="Arial" w:hAnsi="Arial" w:cs="Arial"/>
                <w:color w:val="000000"/>
                <w:sz w:val="18"/>
                <w:szCs w:val="18"/>
              </w:rPr>
              <w:t>-</w:t>
            </w:r>
            <w:r w:rsidRPr="004D453A">
              <w:rPr>
                <w:rFonts w:ascii="Arial" w:hAnsi="Arial" w:cs="Arial"/>
                <w:color w:val="000000"/>
                <w:sz w:val="18"/>
                <w:szCs w:val="18"/>
              </w:rPr>
              <w:t>1.58)</w:t>
            </w:r>
          </w:p>
        </w:tc>
        <w:tc>
          <w:tcPr>
            <w:tcW w:w="580" w:type="pct"/>
            <w:tcBorders>
              <w:top w:val="nil"/>
              <w:left w:val="nil"/>
              <w:bottom w:val="nil"/>
              <w:right w:val="nil"/>
            </w:tcBorders>
            <w:shd w:val="clear" w:color="000000" w:fill="FFFFFF"/>
            <w:noWrap/>
            <w:vAlign w:val="bottom"/>
          </w:tcPr>
          <w:p w14:paraId="2315A03E" w14:textId="44EA3624"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0.95 (0.61</w:t>
            </w:r>
            <w:r w:rsidR="0086321A" w:rsidRPr="004D453A">
              <w:rPr>
                <w:rFonts w:ascii="Arial" w:hAnsi="Arial" w:cs="Arial"/>
                <w:color w:val="000000"/>
                <w:sz w:val="18"/>
                <w:szCs w:val="18"/>
              </w:rPr>
              <w:t>-</w:t>
            </w:r>
            <w:r w:rsidRPr="004D453A">
              <w:rPr>
                <w:rFonts w:ascii="Arial" w:hAnsi="Arial" w:cs="Arial"/>
                <w:color w:val="000000"/>
                <w:sz w:val="18"/>
                <w:szCs w:val="18"/>
              </w:rPr>
              <w:t>1.48)</w:t>
            </w:r>
          </w:p>
        </w:tc>
        <w:tc>
          <w:tcPr>
            <w:tcW w:w="574" w:type="pct"/>
            <w:gridSpan w:val="2"/>
            <w:tcBorders>
              <w:top w:val="nil"/>
              <w:left w:val="nil"/>
              <w:bottom w:val="nil"/>
              <w:right w:val="nil"/>
            </w:tcBorders>
            <w:shd w:val="clear" w:color="000000" w:fill="FFFFFF"/>
            <w:noWrap/>
            <w:vAlign w:val="bottom"/>
          </w:tcPr>
          <w:p w14:paraId="0FB1256C" w14:textId="682BE442"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1.31 (0.85</w:t>
            </w:r>
            <w:r w:rsidR="0086321A" w:rsidRPr="004D453A">
              <w:rPr>
                <w:rFonts w:ascii="Arial" w:hAnsi="Arial" w:cs="Arial"/>
                <w:color w:val="000000"/>
                <w:sz w:val="18"/>
                <w:szCs w:val="18"/>
              </w:rPr>
              <w:t>-</w:t>
            </w:r>
            <w:r w:rsidRPr="004D453A">
              <w:rPr>
                <w:rFonts w:ascii="Arial" w:hAnsi="Arial" w:cs="Arial"/>
                <w:color w:val="000000"/>
                <w:sz w:val="18"/>
                <w:szCs w:val="18"/>
              </w:rPr>
              <w:t>2.02)</w:t>
            </w:r>
          </w:p>
        </w:tc>
        <w:tc>
          <w:tcPr>
            <w:tcW w:w="310" w:type="pct"/>
            <w:gridSpan w:val="2"/>
            <w:tcBorders>
              <w:top w:val="nil"/>
              <w:left w:val="nil"/>
              <w:bottom w:val="nil"/>
              <w:right w:val="nil"/>
            </w:tcBorders>
            <w:shd w:val="clear" w:color="auto" w:fill="auto"/>
            <w:noWrap/>
            <w:vAlign w:val="bottom"/>
          </w:tcPr>
          <w:p w14:paraId="19F54ADF" w14:textId="2EF08936"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0.38</w:t>
            </w:r>
          </w:p>
        </w:tc>
        <w:tc>
          <w:tcPr>
            <w:tcW w:w="403" w:type="pct"/>
            <w:gridSpan w:val="2"/>
            <w:tcBorders>
              <w:top w:val="nil"/>
              <w:left w:val="nil"/>
              <w:bottom w:val="nil"/>
              <w:right w:val="nil"/>
            </w:tcBorders>
            <w:shd w:val="clear" w:color="000000" w:fill="FFFFFF"/>
            <w:noWrap/>
            <w:vAlign w:val="bottom"/>
          </w:tcPr>
          <w:p w14:paraId="72460E0C" w14:textId="5CCCAAC4"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60EA56BC"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0333164F" w14:textId="0CA6A8CC" w:rsidR="0007729A" w:rsidRPr="004D453A" w:rsidRDefault="0007729A" w:rsidP="0007729A">
            <w:pPr>
              <w:ind w:firstLine="163"/>
              <w:rPr>
                <w:rFonts w:ascii="Arial" w:hAnsi="Arial" w:cs="Arial"/>
                <w:color w:val="000000" w:themeColor="text1"/>
                <w:sz w:val="18"/>
                <w:szCs w:val="18"/>
              </w:rPr>
            </w:pPr>
            <w:r w:rsidRPr="004D453A">
              <w:rPr>
                <w:rFonts w:ascii="Arial" w:hAnsi="Arial" w:cs="Arial"/>
                <w:color w:val="000000"/>
                <w:sz w:val="18"/>
                <w:szCs w:val="18"/>
              </w:rPr>
              <w:t>Total moderate + vigorous METs/week ≥ 41.54</w:t>
            </w:r>
          </w:p>
        </w:tc>
        <w:tc>
          <w:tcPr>
            <w:tcW w:w="277" w:type="pct"/>
            <w:gridSpan w:val="2"/>
            <w:tcBorders>
              <w:top w:val="nil"/>
              <w:left w:val="nil"/>
              <w:bottom w:val="nil"/>
              <w:right w:val="nil"/>
            </w:tcBorders>
            <w:shd w:val="clear" w:color="000000" w:fill="FFFFFF"/>
            <w:noWrap/>
            <w:vAlign w:val="bottom"/>
          </w:tcPr>
          <w:p w14:paraId="59EB7A9D" w14:textId="70A65440"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404</w:t>
            </w:r>
          </w:p>
        </w:tc>
        <w:tc>
          <w:tcPr>
            <w:tcW w:w="292" w:type="pct"/>
            <w:tcBorders>
              <w:top w:val="nil"/>
              <w:left w:val="nil"/>
              <w:bottom w:val="nil"/>
              <w:right w:val="nil"/>
            </w:tcBorders>
            <w:shd w:val="clear" w:color="000000" w:fill="FFFFFF"/>
            <w:noWrap/>
            <w:vAlign w:val="center"/>
          </w:tcPr>
          <w:p w14:paraId="39CBAF6E" w14:textId="37FB19A8"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5615E9FF" w14:textId="76E0A85E"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1.23 (0.83</w:t>
            </w:r>
            <w:r w:rsidR="0086321A" w:rsidRPr="004D453A">
              <w:rPr>
                <w:rFonts w:ascii="Arial" w:hAnsi="Arial" w:cs="Arial"/>
                <w:color w:val="000000"/>
                <w:sz w:val="18"/>
                <w:szCs w:val="18"/>
              </w:rPr>
              <w:t>-</w:t>
            </w:r>
            <w:r w:rsidRPr="004D453A">
              <w:rPr>
                <w:rFonts w:ascii="Arial" w:hAnsi="Arial" w:cs="Arial"/>
                <w:color w:val="000000"/>
                <w:sz w:val="18"/>
                <w:szCs w:val="18"/>
              </w:rPr>
              <w:t>1.83)</w:t>
            </w:r>
          </w:p>
        </w:tc>
        <w:tc>
          <w:tcPr>
            <w:tcW w:w="565" w:type="pct"/>
            <w:tcBorders>
              <w:top w:val="nil"/>
              <w:left w:val="nil"/>
              <w:bottom w:val="nil"/>
              <w:right w:val="nil"/>
            </w:tcBorders>
            <w:shd w:val="clear" w:color="000000" w:fill="FFFFFF"/>
            <w:noWrap/>
            <w:vAlign w:val="bottom"/>
          </w:tcPr>
          <w:p w14:paraId="21BED014" w14:textId="23A809AC"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1.09 (0.73</w:t>
            </w:r>
            <w:r w:rsidR="0086321A" w:rsidRPr="004D453A">
              <w:rPr>
                <w:rFonts w:ascii="Arial" w:hAnsi="Arial" w:cs="Arial"/>
                <w:color w:val="000000"/>
                <w:sz w:val="18"/>
                <w:szCs w:val="18"/>
              </w:rPr>
              <w:t>-</w:t>
            </w:r>
            <w:r w:rsidRPr="004D453A">
              <w:rPr>
                <w:rFonts w:ascii="Arial" w:hAnsi="Arial" w:cs="Arial"/>
                <w:color w:val="000000"/>
                <w:sz w:val="18"/>
                <w:szCs w:val="18"/>
              </w:rPr>
              <w:t>1.63)</w:t>
            </w:r>
          </w:p>
        </w:tc>
        <w:tc>
          <w:tcPr>
            <w:tcW w:w="580" w:type="pct"/>
            <w:tcBorders>
              <w:top w:val="nil"/>
              <w:left w:val="nil"/>
              <w:bottom w:val="nil"/>
              <w:right w:val="nil"/>
            </w:tcBorders>
            <w:shd w:val="clear" w:color="000000" w:fill="FFFFFF"/>
            <w:noWrap/>
            <w:vAlign w:val="bottom"/>
          </w:tcPr>
          <w:p w14:paraId="30414D15" w14:textId="0087D824"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1.5</w:t>
            </w:r>
            <w:r w:rsidR="00297419" w:rsidRPr="004D453A">
              <w:rPr>
                <w:rFonts w:ascii="Arial" w:hAnsi="Arial" w:cs="Arial"/>
                <w:color w:val="000000"/>
                <w:sz w:val="18"/>
                <w:szCs w:val="18"/>
              </w:rPr>
              <w:t>0</w:t>
            </w:r>
            <w:r w:rsidRPr="004D453A">
              <w:rPr>
                <w:rFonts w:ascii="Arial" w:hAnsi="Arial" w:cs="Arial"/>
                <w:color w:val="000000"/>
                <w:sz w:val="18"/>
                <w:szCs w:val="18"/>
              </w:rPr>
              <w:t xml:space="preserve"> (1.01</w:t>
            </w:r>
            <w:r w:rsidR="0086321A" w:rsidRPr="004D453A">
              <w:rPr>
                <w:rFonts w:ascii="Arial" w:hAnsi="Arial" w:cs="Arial"/>
                <w:color w:val="000000"/>
                <w:sz w:val="18"/>
                <w:szCs w:val="18"/>
              </w:rPr>
              <w:t>-</w:t>
            </w:r>
            <w:r w:rsidRPr="004D453A">
              <w:rPr>
                <w:rFonts w:ascii="Arial" w:hAnsi="Arial" w:cs="Arial"/>
                <w:color w:val="000000"/>
                <w:sz w:val="18"/>
                <w:szCs w:val="18"/>
              </w:rPr>
              <w:t>2.25)</w:t>
            </w:r>
          </w:p>
        </w:tc>
        <w:tc>
          <w:tcPr>
            <w:tcW w:w="574" w:type="pct"/>
            <w:gridSpan w:val="2"/>
            <w:tcBorders>
              <w:top w:val="nil"/>
              <w:left w:val="nil"/>
              <w:bottom w:val="nil"/>
              <w:right w:val="nil"/>
            </w:tcBorders>
            <w:shd w:val="clear" w:color="000000" w:fill="FFFFFF"/>
            <w:noWrap/>
            <w:vAlign w:val="bottom"/>
          </w:tcPr>
          <w:p w14:paraId="5436F2D9" w14:textId="767B8995"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1.32 (0.89</w:t>
            </w:r>
            <w:r w:rsidR="0086321A" w:rsidRPr="004D453A">
              <w:rPr>
                <w:rFonts w:ascii="Arial" w:hAnsi="Arial" w:cs="Arial"/>
                <w:color w:val="000000"/>
                <w:sz w:val="18"/>
                <w:szCs w:val="18"/>
              </w:rPr>
              <w:t>-</w:t>
            </w:r>
            <w:r w:rsidRPr="004D453A">
              <w:rPr>
                <w:rFonts w:ascii="Arial" w:hAnsi="Arial" w:cs="Arial"/>
                <w:color w:val="000000"/>
                <w:sz w:val="18"/>
                <w:szCs w:val="18"/>
              </w:rPr>
              <w:t>1.98)</w:t>
            </w:r>
          </w:p>
        </w:tc>
        <w:tc>
          <w:tcPr>
            <w:tcW w:w="310" w:type="pct"/>
            <w:gridSpan w:val="2"/>
            <w:tcBorders>
              <w:top w:val="nil"/>
              <w:left w:val="nil"/>
              <w:bottom w:val="nil"/>
              <w:right w:val="nil"/>
            </w:tcBorders>
            <w:shd w:val="clear" w:color="auto" w:fill="auto"/>
            <w:noWrap/>
            <w:vAlign w:val="bottom"/>
          </w:tcPr>
          <w:p w14:paraId="5B0F4EF7" w14:textId="72E02102"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0.09</w:t>
            </w:r>
          </w:p>
        </w:tc>
        <w:tc>
          <w:tcPr>
            <w:tcW w:w="403" w:type="pct"/>
            <w:gridSpan w:val="2"/>
            <w:tcBorders>
              <w:top w:val="nil"/>
              <w:left w:val="nil"/>
              <w:bottom w:val="nil"/>
              <w:right w:val="nil"/>
            </w:tcBorders>
            <w:shd w:val="clear" w:color="000000" w:fill="FFFFFF"/>
            <w:noWrap/>
            <w:vAlign w:val="bottom"/>
          </w:tcPr>
          <w:p w14:paraId="7555354A" w14:textId="1B5F35C7"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0.60</w:t>
            </w:r>
          </w:p>
        </w:tc>
      </w:tr>
      <w:tr w:rsidR="00B810D0" w:rsidRPr="004D453A" w14:paraId="31DB1396"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669F01D8" w14:textId="77777777" w:rsidR="00AF09AE" w:rsidRPr="004D453A" w:rsidRDefault="00AF09AE" w:rsidP="002934D9">
            <w:pPr>
              <w:rPr>
                <w:rFonts w:ascii="Arial" w:hAnsi="Arial" w:cs="Arial"/>
                <w:color w:val="000000" w:themeColor="text1"/>
                <w:sz w:val="18"/>
                <w:szCs w:val="18"/>
              </w:rPr>
            </w:pPr>
            <w:r w:rsidRPr="004D453A">
              <w:rPr>
                <w:rFonts w:ascii="Arial" w:hAnsi="Arial" w:cs="Arial"/>
                <w:color w:val="000000" w:themeColor="text1"/>
                <w:sz w:val="18"/>
                <w:szCs w:val="18"/>
              </w:rPr>
              <w:t>Study</w:t>
            </w:r>
          </w:p>
        </w:tc>
        <w:tc>
          <w:tcPr>
            <w:tcW w:w="277" w:type="pct"/>
            <w:gridSpan w:val="2"/>
            <w:tcBorders>
              <w:top w:val="nil"/>
              <w:left w:val="nil"/>
              <w:bottom w:val="nil"/>
              <w:right w:val="nil"/>
            </w:tcBorders>
            <w:shd w:val="clear" w:color="000000" w:fill="FFFFFF"/>
            <w:noWrap/>
            <w:vAlign w:val="center"/>
          </w:tcPr>
          <w:p w14:paraId="7D169ED2" w14:textId="77777777" w:rsidR="00AF09AE" w:rsidRPr="004D453A" w:rsidRDefault="00AF09AE" w:rsidP="00AF09AE">
            <w:pPr>
              <w:jc w:val="center"/>
              <w:rPr>
                <w:rFonts w:ascii="Arial" w:hAnsi="Arial" w:cs="Arial"/>
                <w:color w:val="000000"/>
                <w:sz w:val="18"/>
                <w:szCs w:val="18"/>
              </w:rPr>
            </w:pPr>
          </w:p>
        </w:tc>
        <w:tc>
          <w:tcPr>
            <w:tcW w:w="292" w:type="pct"/>
            <w:tcBorders>
              <w:top w:val="nil"/>
              <w:left w:val="nil"/>
              <w:bottom w:val="nil"/>
              <w:right w:val="nil"/>
            </w:tcBorders>
            <w:shd w:val="clear" w:color="000000" w:fill="FFFFFF"/>
            <w:noWrap/>
            <w:vAlign w:val="center"/>
          </w:tcPr>
          <w:p w14:paraId="67D7D8F2"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4" w:type="pct"/>
            <w:tcBorders>
              <w:top w:val="nil"/>
              <w:left w:val="nil"/>
              <w:bottom w:val="nil"/>
              <w:right w:val="nil"/>
            </w:tcBorders>
            <w:shd w:val="clear" w:color="000000" w:fill="FFFFFF"/>
            <w:noWrap/>
            <w:vAlign w:val="bottom"/>
          </w:tcPr>
          <w:p w14:paraId="5EAAA317" w14:textId="77777777" w:rsidR="00AF09AE" w:rsidRPr="004D453A" w:rsidRDefault="00AF09AE" w:rsidP="00AF09AE">
            <w:pPr>
              <w:jc w:val="center"/>
              <w:rPr>
                <w:rFonts w:ascii="Arial" w:hAnsi="Arial" w:cs="Arial"/>
                <w:color w:val="000000"/>
                <w:sz w:val="18"/>
                <w:szCs w:val="18"/>
              </w:rPr>
            </w:pPr>
          </w:p>
        </w:tc>
        <w:tc>
          <w:tcPr>
            <w:tcW w:w="565" w:type="pct"/>
            <w:tcBorders>
              <w:top w:val="nil"/>
              <w:left w:val="nil"/>
              <w:bottom w:val="nil"/>
              <w:right w:val="nil"/>
            </w:tcBorders>
            <w:shd w:val="clear" w:color="000000" w:fill="FFFFFF"/>
            <w:noWrap/>
            <w:vAlign w:val="bottom"/>
          </w:tcPr>
          <w:p w14:paraId="533F87C4" w14:textId="77777777" w:rsidR="00AF09AE" w:rsidRPr="004D453A" w:rsidRDefault="00AF09AE" w:rsidP="00AF09AE">
            <w:pPr>
              <w:rPr>
                <w:rFonts w:ascii="Arial" w:hAnsi="Arial" w:cs="Arial"/>
                <w:sz w:val="18"/>
                <w:szCs w:val="18"/>
              </w:rPr>
            </w:pPr>
          </w:p>
        </w:tc>
        <w:tc>
          <w:tcPr>
            <w:tcW w:w="580" w:type="pct"/>
            <w:tcBorders>
              <w:top w:val="nil"/>
              <w:left w:val="nil"/>
              <w:bottom w:val="nil"/>
              <w:right w:val="nil"/>
            </w:tcBorders>
            <w:shd w:val="clear" w:color="000000" w:fill="FFFFFF"/>
            <w:noWrap/>
            <w:vAlign w:val="bottom"/>
          </w:tcPr>
          <w:p w14:paraId="47483EF2" w14:textId="77777777" w:rsidR="00AF09AE" w:rsidRPr="004D453A" w:rsidRDefault="00AF09AE" w:rsidP="00AF09AE">
            <w:pPr>
              <w:rPr>
                <w:rFonts w:ascii="Arial" w:hAnsi="Arial" w:cs="Arial"/>
                <w:sz w:val="18"/>
                <w:szCs w:val="18"/>
              </w:rPr>
            </w:pPr>
          </w:p>
        </w:tc>
        <w:tc>
          <w:tcPr>
            <w:tcW w:w="574" w:type="pct"/>
            <w:gridSpan w:val="2"/>
            <w:tcBorders>
              <w:top w:val="nil"/>
              <w:left w:val="nil"/>
              <w:bottom w:val="nil"/>
              <w:right w:val="nil"/>
            </w:tcBorders>
            <w:shd w:val="clear" w:color="000000" w:fill="FFFFFF"/>
            <w:noWrap/>
            <w:vAlign w:val="bottom"/>
          </w:tcPr>
          <w:p w14:paraId="39A3B476" w14:textId="77777777" w:rsidR="00AF09AE" w:rsidRPr="004D453A" w:rsidRDefault="00AF09AE" w:rsidP="00AF09AE">
            <w:pPr>
              <w:rPr>
                <w:rFonts w:ascii="Arial" w:hAnsi="Arial" w:cs="Arial"/>
                <w:sz w:val="18"/>
                <w:szCs w:val="18"/>
              </w:rPr>
            </w:pPr>
          </w:p>
        </w:tc>
        <w:tc>
          <w:tcPr>
            <w:tcW w:w="310" w:type="pct"/>
            <w:gridSpan w:val="2"/>
            <w:tcBorders>
              <w:top w:val="nil"/>
              <w:left w:val="nil"/>
              <w:bottom w:val="nil"/>
              <w:right w:val="nil"/>
            </w:tcBorders>
            <w:shd w:val="clear" w:color="000000" w:fill="FFFFFF"/>
            <w:noWrap/>
            <w:vAlign w:val="bottom"/>
          </w:tcPr>
          <w:p w14:paraId="584EF7F2" w14:textId="77777777" w:rsidR="00AF09AE" w:rsidRPr="004D453A" w:rsidRDefault="00AF09AE" w:rsidP="00AF09AE">
            <w:pPr>
              <w:rPr>
                <w:rFonts w:ascii="Arial" w:hAnsi="Arial" w:cs="Arial"/>
                <w:sz w:val="18"/>
                <w:szCs w:val="18"/>
              </w:rPr>
            </w:pPr>
          </w:p>
        </w:tc>
        <w:tc>
          <w:tcPr>
            <w:tcW w:w="403" w:type="pct"/>
            <w:gridSpan w:val="2"/>
            <w:tcBorders>
              <w:top w:val="nil"/>
              <w:left w:val="nil"/>
              <w:bottom w:val="nil"/>
              <w:right w:val="nil"/>
            </w:tcBorders>
            <w:shd w:val="clear" w:color="000000" w:fill="FFFFFF"/>
            <w:noWrap/>
            <w:vAlign w:val="bottom"/>
          </w:tcPr>
          <w:p w14:paraId="688ADA06"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02FF10A5"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3C8B418D"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MAP I</w:t>
            </w:r>
          </w:p>
        </w:tc>
        <w:tc>
          <w:tcPr>
            <w:tcW w:w="277" w:type="pct"/>
            <w:gridSpan w:val="2"/>
            <w:tcBorders>
              <w:top w:val="nil"/>
              <w:left w:val="nil"/>
              <w:bottom w:val="nil"/>
              <w:right w:val="nil"/>
            </w:tcBorders>
            <w:shd w:val="clear" w:color="000000" w:fill="FFFFFF"/>
            <w:noWrap/>
            <w:vAlign w:val="bottom"/>
          </w:tcPr>
          <w:p w14:paraId="455E92D1"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550</w:t>
            </w:r>
          </w:p>
        </w:tc>
        <w:tc>
          <w:tcPr>
            <w:tcW w:w="292" w:type="pct"/>
            <w:tcBorders>
              <w:top w:val="nil"/>
              <w:left w:val="nil"/>
              <w:bottom w:val="nil"/>
              <w:right w:val="nil"/>
            </w:tcBorders>
            <w:shd w:val="clear" w:color="000000" w:fill="FFFFFF"/>
            <w:noWrap/>
            <w:vAlign w:val="center"/>
          </w:tcPr>
          <w:p w14:paraId="58333889"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400CCD17" w14:textId="7C5A1548"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w:t>
            </w:r>
            <w:r w:rsidR="00D92A23" w:rsidRPr="004D453A">
              <w:rPr>
                <w:rFonts w:ascii="Arial" w:hAnsi="Arial" w:cs="Arial"/>
                <w:color w:val="000000"/>
                <w:sz w:val="18"/>
                <w:szCs w:val="18"/>
              </w:rPr>
              <w:t>0</w:t>
            </w:r>
            <w:r w:rsidRPr="004D453A">
              <w:rPr>
                <w:rFonts w:ascii="Arial" w:hAnsi="Arial" w:cs="Arial"/>
                <w:color w:val="000000"/>
                <w:sz w:val="18"/>
                <w:szCs w:val="18"/>
              </w:rPr>
              <w:t xml:space="preserve"> (0.79</w:t>
            </w:r>
            <w:r w:rsidR="0086321A" w:rsidRPr="004D453A">
              <w:rPr>
                <w:rFonts w:ascii="Arial" w:hAnsi="Arial" w:cs="Arial"/>
                <w:color w:val="000000"/>
                <w:sz w:val="18"/>
                <w:szCs w:val="18"/>
              </w:rPr>
              <w:t>-</w:t>
            </w:r>
            <w:r w:rsidRPr="004D453A">
              <w:rPr>
                <w:rFonts w:ascii="Arial" w:hAnsi="Arial" w:cs="Arial"/>
                <w:color w:val="000000"/>
                <w:sz w:val="18"/>
                <w:szCs w:val="18"/>
              </w:rPr>
              <w:t>1.54)</w:t>
            </w:r>
          </w:p>
        </w:tc>
        <w:tc>
          <w:tcPr>
            <w:tcW w:w="565" w:type="pct"/>
            <w:tcBorders>
              <w:top w:val="nil"/>
              <w:left w:val="nil"/>
              <w:bottom w:val="nil"/>
              <w:right w:val="nil"/>
            </w:tcBorders>
            <w:shd w:val="clear" w:color="000000" w:fill="FFFFFF"/>
            <w:noWrap/>
            <w:vAlign w:val="bottom"/>
          </w:tcPr>
          <w:p w14:paraId="4624C5B8" w14:textId="26EF7626"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1.11 (0.79</w:t>
            </w:r>
            <w:r w:rsidR="0086321A" w:rsidRPr="004D453A">
              <w:rPr>
                <w:rFonts w:ascii="Arial" w:hAnsi="Arial" w:cs="Arial"/>
                <w:color w:val="000000"/>
                <w:sz w:val="18"/>
                <w:szCs w:val="18"/>
              </w:rPr>
              <w:t>-</w:t>
            </w:r>
            <w:r w:rsidRPr="004D453A">
              <w:rPr>
                <w:rFonts w:ascii="Arial" w:hAnsi="Arial" w:cs="Arial"/>
                <w:color w:val="000000"/>
                <w:sz w:val="18"/>
                <w:szCs w:val="18"/>
              </w:rPr>
              <w:t>1.54)</w:t>
            </w:r>
          </w:p>
        </w:tc>
        <w:tc>
          <w:tcPr>
            <w:tcW w:w="580" w:type="pct"/>
            <w:tcBorders>
              <w:top w:val="nil"/>
              <w:left w:val="nil"/>
              <w:bottom w:val="nil"/>
              <w:right w:val="nil"/>
            </w:tcBorders>
            <w:shd w:val="clear" w:color="000000" w:fill="FFFFFF"/>
            <w:noWrap/>
            <w:vAlign w:val="bottom"/>
          </w:tcPr>
          <w:p w14:paraId="0BC1FFEF" w14:textId="4B94678C"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1.18 (0.85</w:t>
            </w:r>
            <w:r w:rsidR="0086321A" w:rsidRPr="004D453A">
              <w:rPr>
                <w:rFonts w:ascii="Arial" w:hAnsi="Arial" w:cs="Arial"/>
                <w:color w:val="000000"/>
                <w:sz w:val="18"/>
                <w:szCs w:val="18"/>
              </w:rPr>
              <w:t>-</w:t>
            </w:r>
            <w:r w:rsidRPr="004D453A">
              <w:rPr>
                <w:rFonts w:ascii="Arial" w:hAnsi="Arial" w:cs="Arial"/>
                <w:color w:val="000000"/>
                <w:sz w:val="18"/>
                <w:szCs w:val="18"/>
              </w:rPr>
              <w:t>1.65)</w:t>
            </w:r>
          </w:p>
        </w:tc>
        <w:tc>
          <w:tcPr>
            <w:tcW w:w="574" w:type="pct"/>
            <w:gridSpan w:val="2"/>
            <w:tcBorders>
              <w:top w:val="nil"/>
              <w:left w:val="nil"/>
              <w:bottom w:val="nil"/>
              <w:right w:val="nil"/>
            </w:tcBorders>
            <w:shd w:val="clear" w:color="000000" w:fill="FFFFFF"/>
            <w:noWrap/>
            <w:vAlign w:val="bottom"/>
          </w:tcPr>
          <w:p w14:paraId="2C84305E" w14:textId="1755343D"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1.33 (0.96</w:t>
            </w:r>
            <w:r w:rsidR="0086321A" w:rsidRPr="004D453A">
              <w:rPr>
                <w:rFonts w:ascii="Arial" w:hAnsi="Arial" w:cs="Arial"/>
                <w:color w:val="000000"/>
                <w:sz w:val="18"/>
                <w:szCs w:val="18"/>
              </w:rPr>
              <w:t>-</w:t>
            </w:r>
            <w:r w:rsidRPr="004D453A">
              <w:rPr>
                <w:rFonts w:ascii="Arial" w:hAnsi="Arial" w:cs="Arial"/>
                <w:color w:val="000000"/>
                <w:sz w:val="18"/>
                <w:szCs w:val="18"/>
              </w:rPr>
              <w:t>1.85)</w:t>
            </w:r>
          </w:p>
        </w:tc>
        <w:tc>
          <w:tcPr>
            <w:tcW w:w="310" w:type="pct"/>
            <w:gridSpan w:val="2"/>
            <w:tcBorders>
              <w:top w:val="nil"/>
              <w:left w:val="nil"/>
              <w:bottom w:val="nil"/>
              <w:right w:val="nil"/>
            </w:tcBorders>
            <w:shd w:val="clear" w:color="auto" w:fill="auto"/>
            <w:noWrap/>
            <w:vAlign w:val="bottom"/>
          </w:tcPr>
          <w:p w14:paraId="664056FE"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0.10</w:t>
            </w:r>
          </w:p>
        </w:tc>
        <w:tc>
          <w:tcPr>
            <w:tcW w:w="403" w:type="pct"/>
            <w:gridSpan w:val="2"/>
            <w:tcBorders>
              <w:top w:val="nil"/>
              <w:left w:val="nil"/>
              <w:bottom w:val="nil"/>
              <w:right w:val="nil"/>
            </w:tcBorders>
            <w:shd w:val="clear" w:color="000000" w:fill="FFFFFF"/>
            <w:noWrap/>
            <w:vAlign w:val="center"/>
          </w:tcPr>
          <w:p w14:paraId="4D564E1A"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102C21CB"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0E2E2B37"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MAP II</w:t>
            </w:r>
          </w:p>
        </w:tc>
        <w:tc>
          <w:tcPr>
            <w:tcW w:w="277" w:type="pct"/>
            <w:gridSpan w:val="2"/>
            <w:tcBorders>
              <w:top w:val="nil"/>
              <w:left w:val="nil"/>
              <w:bottom w:val="nil"/>
              <w:right w:val="nil"/>
            </w:tcBorders>
            <w:shd w:val="clear" w:color="000000" w:fill="FFFFFF"/>
            <w:noWrap/>
            <w:vAlign w:val="bottom"/>
          </w:tcPr>
          <w:p w14:paraId="1C3C82F9"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168</w:t>
            </w:r>
          </w:p>
        </w:tc>
        <w:tc>
          <w:tcPr>
            <w:tcW w:w="292" w:type="pct"/>
            <w:tcBorders>
              <w:top w:val="nil"/>
              <w:left w:val="nil"/>
              <w:bottom w:val="nil"/>
              <w:right w:val="nil"/>
            </w:tcBorders>
            <w:shd w:val="clear" w:color="000000" w:fill="FFFFFF"/>
            <w:noWrap/>
            <w:vAlign w:val="center"/>
          </w:tcPr>
          <w:p w14:paraId="58795875"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42435DB7" w14:textId="3AC1BB7D"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1.44 (0.67</w:t>
            </w:r>
            <w:r w:rsidR="0086321A" w:rsidRPr="004D453A">
              <w:rPr>
                <w:rFonts w:ascii="Arial" w:hAnsi="Arial" w:cs="Arial"/>
                <w:color w:val="000000"/>
                <w:sz w:val="18"/>
                <w:szCs w:val="18"/>
              </w:rPr>
              <w:t>-</w:t>
            </w:r>
            <w:r w:rsidRPr="004D453A">
              <w:rPr>
                <w:rFonts w:ascii="Arial" w:hAnsi="Arial" w:cs="Arial"/>
                <w:color w:val="000000"/>
                <w:sz w:val="18"/>
                <w:szCs w:val="18"/>
              </w:rPr>
              <w:t>3.13)</w:t>
            </w:r>
          </w:p>
        </w:tc>
        <w:tc>
          <w:tcPr>
            <w:tcW w:w="565" w:type="pct"/>
            <w:tcBorders>
              <w:top w:val="nil"/>
              <w:left w:val="nil"/>
              <w:bottom w:val="nil"/>
              <w:right w:val="nil"/>
            </w:tcBorders>
            <w:shd w:val="clear" w:color="000000" w:fill="FFFFFF"/>
            <w:noWrap/>
            <w:vAlign w:val="bottom"/>
          </w:tcPr>
          <w:p w14:paraId="2D6F0DD3" w14:textId="35426E25"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0.96 (0.43</w:t>
            </w:r>
            <w:r w:rsidR="0086321A" w:rsidRPr="004D453A">
              <w:rPr>
                <w:rFonts w:ascii="Arial" w:hAnsi="Arial" w:cs="Arial"/>
                <w:color w:val="000000"/>
                <w:sz w:val="18"/>
                <w:szCs w:val="18"/>
              </w:rPr>
              <w:t>-</w:t>
            </w:r>
            <w:r w:rsidRPr="004D453A">
              <w:rPr>
                <w:rFonts w:ascii="Arial" w:hAnsi="Arial" w:cs="Arial"/>
                <w:color w:val="000000"/>
                <w:sz w:val="18"/>
                <w:szCs w:val="18"/>
              </w:rPr>
              <w:t>2.15)</w:t>
            </w:r>
          </w:p>
        </w:tc>
        <w:tc>
          <w:tcPr>
            <w:tcW w:w="580" w:type="pct"/>
            <w:tcBorders>
              <w:top w:val="nil"/>
              <w:left w:val="nil"/>
              <w:bottom w:val="nil"/>
              <w:right w:val="nil"/>
            </w:tcBorders>
            <w:shd w:val="clear" w:color="000000" w:fill="FFFFFF"/>
            <w:noWrap/>
            <w:vAlign w:val="bottom"/>
          </w:tcPr>
          <w:p w14:paraId="1872110D" w14:textId="50886313"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1.39 (0.63</w:t>
            </w:r>
            <w:r w:rsidR="0086321A" w:rsidRPr="004D453A">
              <w:rPr>
                <w:rFonts w:ascii="Arial" w:hAnsi="Arial" w:cs="Arial"/>
                <w:color w:val="000000"/>
                <w:sz w:val="18"/>
                <w:szCs w:val="18"/>
              </w:rPr>
              <w:t>-</w:t>
            </w:r>
            <w:r w:rsidRPr="004D453A">
              <w:rPr>
                <w:rFonts w:ascii="Arial" w:hAnsi="Arial" w:cs="Arial"/>
                <w:color w:val="000000"/>
                <w:sz w:val="18"/>
                <w:szCs w:val="18"/>
              </w:rPr>
              <w:t>3.14)</w:t>
            </w:r>
          </w:p>
        </w:tc>
        <w:tc>
          <w:tcPr>
            <w:tcW w:w="574" w:type="pct"/>
            <w:gridSpan w:val="2"/>
            <w:tcBorders>
              <w:top w:val="nil"/>
              <w:left w:val="nil"/>
              <w:bottom w:val="nil"/>
              <w:right w:val="nil"/>
            </w:tcBorders>
            <w:shd w:val="clear" w:color="000000" w:fill="FFFFFF"/>
            <w:noWrap/>
            <w:vAlign w:val="bottom"/>
          </w:tcPr>
          <w:p w14:paraId="6B04D871" w14:textId="1B4D9D61"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1.43 (0.65</w:t>
            </w:r>
            <w:r w:rsidR="0086321A" w:rsidRPr="004D453A">
              <w:rPr>
                <w:rFonts w:ascii="Arial" w:hAnsi="Arial" w:cs="Arial"/>
                <w:color w:val="000000"/>
                <w:sz w:val="18"/>
                <w:szCs w:val="18"/>
              </w:rPr>
              <w:t>-</w:t>
            </w:r>
            <w:r w:rsidRPr="004D453A">
              <w:rPr>
                <w:rFonts w:ascii="Arial" w:hAnsi="Arial" w:cs="Arial"/>
                <w:color w:val="000000"/>
                <w:sz w:val="18"/>
                <w:szCs w:val="18"/>
              </w:rPr>
              <w:t>3.2</w:t>
            </w:r>
            <w:r w:rsidR="00D92A23" w:rsidRPr="004D453A">
              <w:rPr>
                <w:rFonts w:ascii="Arial" w:hAnsi="Arial" w:cs="Arial"/>
                <w:color w:val="000000"/>
                <w:sz w:val="18"/>
                <w:szCs w:val="18"/>
              </w:rPr>
              <w:t>0</w:t>
            </w:r>
            <w:r w:rsidRPr="004D453A">
              <w:rPr>
                <w:rFonts w:ascii="Arial" w:hAnsi="Arial" w:cs="Arial"/>
                <w:color w:val="000000"/>
                <w:sz w:val="18"/>
                <w:szCs w:val="18"/>
              </w:rPr>
              <w:t>)</w:t>
            </w:r>
          </w:p>
        </w:tc>
        <w:tc>
          <w:tcPr>
            <w:tcW w:w="310" w:type="pct"/>
            <w:gridSpan w:val="2"/>
            <w:tcBorders>
              <w:top w:val="nil"/>
              <w:left w:val="nil"/>
              <w:bottom w:val="nil"/>
              <w:right w:val="nil"/>
            </w:tcBorders>
            <w:shd w:val="clear" w:color="auto" w:fill="auto"/>
            <w:noWrap/>
            <w:vAlign w:val="bottom"/>
          </w:tcPr>
          <w:p w14:paraId="33F05426"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0.44</w:t>
            </w:r>
          </w:p>
        </w:tc>
        <w:tc>
          <w:tcPr>
            <w:tcW w:w="403" w:type="pct"/>
            <w:gridSpan w:val="2"/>
            <w:tcBorders>
              <w:top w:val="nil"/>
              <w:left w:val="nil"/>
              <w:bottom w:val="nil"/>
              <w:right w:val="nil"/>
            </w:tcBorders>
            <w:shd w:val="clear" w:color="000000" w:fill="FFFFFF"/>
            <w:noWrap/>
            <w:vAlign w:val="center"/>
          </w:tcPr>
          <w:p w14:paraId="25D8FB44"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649F08CA"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0819242B"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CPRU</w:t>
            </w:r>
          </w:p>
        </w:tc>
        <w:tc>
          <w:tcPr>
            <w:tcW w:w="277" w:type="pct"/>
            <w:gridSpan w:val="2"/>
            <w:tcBorders>
              <w:top w:val="nil"/>
              <w:left w:val="nil"/>
              <w:bottom w:val="nil"/>
              <w:right w:val="nil"/>
            </w:tcBorders>
            <w:shd w:val="clear" w:color="000000" w:fill="FFFFFF"/>
            <w:noWrap/>
            <w:vAlign w:val="bottom"/>
          </w:tcPr>
          <w:p w14:paraId="478D3AAC"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47</w:t>
            </w:r>
          </w:p>
        </w:tc>
        <w:tc>
          <w:tcPr>
            <w:tcW w:w="292" w:type="pct"/>
            <w:tcBorders>
              <w:top w:val="nil"/>
              <w:left w:val="nil"/>
              <w:bottom w:val="nil"/>
              <w:right w:val="nil"/>
            </w:tcBorders>
            <w:shd w:val="clear" w:color="000000" w:fill="FFFFFF"/>
            <w:noWrap/>
            <w:vAlign w:val="center"/>
          </w:tcPr>
          <w:p w14:paraId="1010A30B"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694B8634" w14:textId="0B9B650A"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1.42 (0.46</w:t>
            </w:r>
            <w:r w:rsidR="0086321A" w:rsidRPr="004D453A">
              <w:rPr>
                <w:rFonts w:ascii="Arial" w:hAnsi="Arial" w:cs="Arial"/>
                <w:color w:val="000000"/>
                <w:sz w:val="18"/>
                <w:szCs w:val="18"/>
              </w:rPr>
              <w:t>-</w:t>
            </w:r>
            <w:r w:rsidRPr="004D453A">
              <w:rPr>
                <w:rFonts w:ascii="Arial" w:hAnsi="Arial" w:cs="Arial"/>
                <w:color w:val="000000"/>
                <w:sz w:val="18"/>
                <w:szCs w:val="18"/>
              </w:rPr>
              <w:t>4.52)</w:t>
            </w:r>
          </w:p>
        </w:tc>
        <w:tc>
          <w:tcPr>
            <w:tcW w:w="565" w:type="pct"/>
            <w:tcBorders>
              <w:top w:val="nil"/>
              <w:left w:val="nil"/>
              <w:bottom w:val="nil"/>
              <w:right w:val="nil"/>
            </w:tcBorders>
            <w:shd w:val="clear" w:color="000000" w:fill="FFFFFF"/>
            <w:noWrap/>
            <w:vAlign w:val="bottom"/>
          </w:tcPr>
          <w:p w14:paraId="1168755A" w14:textId="637FD918"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0.66 (0.16</w:t>
            </w:r>
            <w:r w:rsidR="0086321A" w:rsidRPr="004D453A">
              <w:rPr>
                <w:rFonts w:ascii="Arial" w:hAnsi="Arial" w:cs="Arial"/>
                <w:color w:val="000000"/>
                <w:sz w:val="18"/>
                <w:szCs w:val="18"/>
              </w:rPr>
              <w:t>-</w:t>
            </w:r>
            <w:r w:rsidRPr="004D453A">
              <w:rPr>
                <w:rFonts w:ascii="Arial" w:hAnsi="Arial" w:cs="Arial"/>
                <w:color w:val="000000"/>
                <w:sz w:val="18"/>
                <w:szCs w:val="18"/>
              </w:rPr>
              <w:t>2.55)</w:t>
            </w:r>
          </w:p>
        </w:tc>
        <w:tc>
          <w:tcPr>
            <w:tcW w:w="580" w:type="pct"/>
            <w:tcBorders>
              <w:top w:val="nil"/>
              <w:left w:val="nil"/>
              <w:bottom w:val="nil"/>
              <w:right w:val="nil"/>
            </w:tcBorders>
            <w:shd w:val="clear" w:color="000000" w:fill="FFFFFF"/>
            <w:noWrap/>
            <w:vAlign w:val="bottom"/>
          </w:tcPr>
          <w:p w14:paraId="6F6AA5DB" w14:textId="3AB84ADB"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1.02 (0.28</w:t>
            </w:r>
            <w:r w:rsidR="0086321A" w:rsidRPr="004D453A">
              <w:rPr>
                <w:rFonts w:ascii="Arial" w:hAnsi="Arial" w:cs="Arial"/>
                <w:color w:val="000000"/>
                <w:sz w:val="18"/>
                <w:szCs w:val="18"/>
              </w:rPr>
              <w:t>-</w:t>
            </w:r>
            <w:r w:rsidRPr="004D453A">
              <w:rPr>
                <w:rFonts w:ascii="Arial" w:hAnsi="Arial" w:cs="Arial"/>
                <w:color w:val="000000"/>
                <w:sz w:val="18"/>
                <w:szCs w:val="18"/>
              </w:rPr>
              <w:t>3.7</w:t>
            </w:r>
            <w:r w:rsidR="00D92A23" w:rsidRPr="004D453A">
              <w:rPr>
                <w:rFonts w:ascii="Arial" w:hAnsi="Arial" w:cs="Arial"/>
                <w:color w:val="000000"/>
                <w:sz w:val="18"/>
                <w:szCs w:val="18"/>
              </w:rPr>
              <w:t>0</w:t>
            </w:r>
            <w:r w:rsidRPr="004D453A">
              <w:rPr>
                <w:rFonts w:ascii="Arial" w:hAnsi="Arial" w:cs="Arial"/>
                <w:color w:val="000000"/>
                <w:sz w:val="18"/>
                <w:szCs w:val="18"/>
              </w:rPr>
              <w:t>)</w:t>
            </w:r>
          </w:p>
        </w:tc>
        <w:tc>
          <w:tcPr>
            <w:tcW w:w="574" w:type="pct"/>
            <w:gridSpan w:val="2"/>
            <w:tcBorders>
              <w:top w:val="nil"/>
              <w:left w:val="nil"/>
              <w:bottom w:val="nil"/>
              <w:right w:val="nil"/>
            </w:tcBorders>
            <w:shd w:val="clear" w:color="000000" w:fill="FFFFFF"/>
            <w:noWrap/>
            <w:vAlign w:val="bottom"/>
          </w:tcPr>
          <w:p w14:paraId="6969AA2F" w14:textId="4B1C84EE"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1.47 (0.4</w:t>
            </w:r>
            <w:r w:rsidR="00D92A23" w:rsidRPr="004D453A">
              <w:rPr>
                <w:rFonts w:ascii="Arial" w:hAnsi="Arial" w:cs="Arial"/>
                <w:color w:val="000000"/>
                <w:sz w:val="18"/>
                <w:szCs w:val="18"/>
              </w:rPr>
              <w:t>0</w:t>
            </w:r>
            <w:r w:rsidR="0086321A" w:rsidRPr="004D453A">
              <w:rPr>
                <w:rFonts w:ascii="Arial" w:hAnsi="Arial" w:cs="Arial"/>
                <w:color w:val="000000"/>
                <w:sz w:val="18"/>
                <w:szCs w:val="18"/>
              </w:rPr>
              <w:t>-</w:t>
            </w:r>
            <w:r w:rsidRPr="004D453A">
              <w:rPr>
                <w:rFonts w:ascii="Arial" w:hAnsi="Arial" w:cs="Arial"/>
                <w:color w:val="000000"/>
                <w:sz w:val="18"/>
                <w:szCs w:val="18"/>
              </w:rPr>
              <w:t>5.57)</w:t>
            </w:r>
          </w:p>
        </w:tc>
        <w:tc>
          <w:tcPr>
            <w:tcW w:w="310" w:type="pct"/>
            <w:gridSpan w:val="2"/>
            <w:tcBorders>
              <w:top w:val="nil"/>
              <w:left w:val="nil"/>
              <w:bottom w:val="nil"/>
              <w:right w:val="nil"/>
            </w:tcBorders>
            <w:shd w:val="clear" w:color="auto" w:fill="auto"/>
            <w:noWrap/>
            <w:vAlign w:val="bottom"/>
          </w:tcPr>
          <w:p w14:paraId="15B2AF02"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0.63</w:t>
            </w:r>
          </w:p>
        </w:tc>
        <w:tc>
          <w:tcPr>
            <w:tcW w:w="403" w:type="pct"/>
            <w:gridSpan w:val="2"/>
            <w:tcBorders>
              <w:top w:val="nil"/>
              <w:left w:val="nil"/>
              <w:bottom w:val="nil"/>
              <w:right w:val="nil"/>
            </w:tcBorders>
            <w:shd w:val="clear" w:color="auto" w:fill="auto"/>
            <w:noWrap/>
            <w:vAlign w:val="bottom"/>
          </w:tcPr>
          <w:p w14:paraId="02F0A2B7"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0.95</w:t>
            </w:r>
          </w:p>
        </w:tc>
      </w:tr>
      <w:tr w:rsidR="00B810D0" w:rsidRPr="004D453A" w14:paraId="1EB1CA7A"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44212412" w14:textId="20248258" w:rsidR="00AF09AE" w:rsidRPr="004D453A" w:rsidRDefault="00AF09AE" w:rsidP="002934D9">
            <w:pPr>
              <w:rPr>
                <w:rFonts w:ascii="Arial" w:hAnsi="Arial" w:cs="Arial"/>
                <w:b/>
                <w:color w:val="000000" w:themeColor="text1"/>
                <w:sz w:val="18"/>
                <w:szCs w:val="18"/>
              </w:rPr>
            </w:pPr>
            <w:r w:rsidRPr="004D453A">
              <w:rPr>
                <w:rFonts w:ascii="Arial" w:hAnsi="Arial" w:cs="Arial"/>
                <w:b/>
                <w:color w:val="000000" w:themeColor="text1"/>
                <w:sz w:val="18"/>
                <w:szCs w:val="18"/>
              </w:rPr>
              <w:t> </w:t>
            </w:r>
            <w:r w:rsidRPr="004D453A">
              <w:rPr>
                <w:rFonts w:ascii="Arial" w:hAnsi="Arial" w:cs="Arial"/>
                <w:b/>
                <w:i/>
                <w:iCs/>
                <w:color w:val="000000" w:themeColor="text1"/>
                <w:sz w:val="18"/>
                <w:szCs w:val="18"/>
              </w:rPr>
              <w:t>LIS</w:t>
            </w:r>
            <w:r w:rsidRPr="004D453A">
              <w:rPr>
                <w:rFonts w:ascii="Arial" w:hAnsi="Arial" w:cs="Arial"/>
                <w:b/>
                <w:i/>
                <w:iCs/>
                <w:color w:val="000000" w:themeColor="text1"/>
                <w:sz w:val="18"/>
                <w:szCs w:val="18"/>
                <w:vertAlign w:val="superscript"/>
              </w:rPr>
              <w:t xml:space="preserve"> </w:t>
            </w:r>
            <w:proofErr w:type="spellStart"/>
            <w:r w:rsidRPr="004D453A">
              <w:rPr>
                <w:rFonts w:ascii="Arial" w:hAnsi="Arial" w:cs="Arial"/>
                <w:bCs/>
                <w:i/>
                <w:iCs/>
                <w:color w:val="000000" w:themeColor="text1"/>
                <w:sz w:val="18"/>
                <w:szCs w:val="18"/>
                <w:vertAlign w:val="superscript"/>
              </w:rPr>
              <w:t>a</w:t>
            </w:r>
            <w:r w:rsidR="00496C80" w:rsidRPr="004D453A">
              <w:rPr>
                <w:rFonts w:ascii="Arial" w:hAnsi="Arial" w:cs="Arial"/>
                <w:bCs/>
                <w:i/>
                <w:iCs/>
                <w:color w:val="000000" w:themeColor="text1"/>
                <w:sz w:val="18"/>
                <w:szCs w:val="18"/>
                <w:vertAlign w:val="superscript"/>
              </w:rPr>
              <w:t>,e</w:t>
            </w:r>
            <w:proofErr w:type="spellEnd"/>
          </w:p>
        </w:tc>
        <w:tc>
          <w:tcPr>
            <w:tcW w:w="277" w:type="pct"/>
            <w:gridSpan w:val="2"/>
            <w:tcBorders>
              <w:top w:val="nil"/>
              <w:left w:val="nil"/>
              <w:bottom w:val="nil"/>
              <w:right w:val="nil"/>
            </w:tcBorders>
            <w:shd w:val="clear" w:color="000000" w:fill="FFFFFF"/>
            <w:noWrap/>
            <w:vAlign w:val="center"/>
          </w:tcPr>
          <w:p w14:paraId="4671AC97" w14:textId="77777777" w:rsidR="00AF09AE" w:rsidRPr="004D453A" w:rsidRDefault="00AF09AE" w:rsidP="00AF09AE">
            <w:pPr>
              <w:jc w:val="center"/>
              <w:rPr>
                <w:rFonts w:ascii="Arial" w:hAnsi="Arial" w:cs="Arial"/>
                <w:color w:val="000000"/>
                <w:sz w:val="18"/>
                <w:szCs w:val="18"/>
              </w:rPr>
            </w:pPr>
          </w:p>
        </w:tc>
        <w:tc>
          <w:tcPr>
            <w:tcW w:w="292" w:type="pct"/>
            <w:tcBorders>
              <w:top w:val="nil"/>
              <w:left w:val="nil"/>
              <w:bottom w:val="nil"/>
              <w:right w:val="nil"/>
            </w:tcBorders>
            <w:shd w:val="clear" w:color="000000" w:fill="FFFFFF"/>
            <w:vAlign w:val="center"/>
          </w:tcPr>
          <w:p w14:paraId="11F705D5"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4" w:type="pct"/>
            <w:tcBorders>
              <w:top w:val="nil"/>
              <w:left w:val="nil"/>
              <w:bottom w:val="nil"/>
              <w:right w:val="nil"/>
            </w:tcBorders>
            <w:shd w:val="clear" w:color="000000" w:fill="FFFFFF"/>
            <w:noWrap/>
            <w:vAlign w:val="center"/>
          </w:tcPr>
          <w:p w14:paraId="4CA78236"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5" w:type="pct"/>
            <w:tcBorders>
              <w:top w:val="nil"/>
              <w:left w:val="nil"/>
              <w:bottom w:val="nil"/>
              <w:right w:val="nil"/>
            </w:tcBorders>
            <w:shd w:val="clear" w:color="000000" w:fill="FFFFFF"/>
            <w:noWrap/>
            <w:vAlign w:val="center"/>
          </w:tcPr>
          <w:p w14:paraId="513B368B"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80" w:type="pct"/>
            <w:tcBorders>
              <w:top w:val="nil"/>
              <w:left w:val="nil"/>
              <w:bottom w:val="nil"/>
              <w:right w:val="nil"/>
            </w:tcBorders>
            <w:shd w:val="clear" w:color="000000" w:fill="FFFFFF"/>
            <w:noWrap/>
            <w:vAlign w:val="center"/>
          </w:tcPr>
          <w:p w14:paraId="67A86609"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74" w:type="pct"/>
            <w:gridSpan w:val="2"/>
            <w:tcBorders>
              <w:top w:val="nil"/>
              <w:left w:val="nil"/>
              <w:bottom w:val="nil"/>
              <w:right w:val="nil"/>
            </w:tcBorders>
            <w:shd w:val="clear" w:color="000000" w:fill="FFFFFF"/>
            <w:noWrap/>
            <w:vAlign w:val="center"/>
          </w:tcPr>
          <w:p w14:paraId="425F448E"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310" w:type="pct"/>
            <w:gridSpan w:val="2"/>
            <w:tcBorders>
              <w:top w:val="nil"/>
              <w:left w:val="nil"/>
              <w:bottom w:val="nil"/>
              <w:right w:val="nil"/>
            </w:tcBorders>
            <w:shd w:val="clear" w:color="000000" w:fill="FFFFFF"/>
            <w:noWrap/>
            <w:vAlign w:val="center"/>
          </w:tcPr>
          <w:p w14:paraId="5BD5DAE5"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403" w:type="pct"/>
            <w:gridSpan w:val="2"/>
            <w:tcBorders>
              <w:top w:val="nil"/>
              <w:left w:val="nil"/>
              <w:bottom w:val="nil"/>
              <w:right w:val="nil"/>
            </w:tcBorders>
            <w:shd w:val="clear" w:color="000000" w:fill="FFFFFF"/>
            <w:noWrap/>
            <w:vAlign w:val="center"/>
          </w:tcPr>
          <w:p w14:paraId="363B5ED4"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0AC26704"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25B16D88" w14:textId="33A92251" w:rsidR="00AF09AE" w:rsidRPr="004D453A" w:rsidRDefault="00AF09AE" w:rsidP="002934D9">
            <w:pPr>
              <w:rPr>
                <w:rFonts w:ascii="Arial" w:hAnsi="Arial" w:cs="Arial"/>
                <w:color w:val="000000" w:themeColor="text1"/>
                <w:sz w:val="18"/>
                <w:szCs w:val="18"/>
              </w:rPr>
            </w:pPr>
            <w:r w:rsidRPr="004D453A">
              <w:rPr>
                <w:rFonts w:ascii="Arial" w:hAnsi="Arial" w:cs="Arial"/>
                <w:color w:val="000000" w:themeColor="text1"/>
                <w:sz w:val="18"/>
                <w:szCs w:val="18"/>
              </w:rPr>
              <w:t>Age</w:t>
            </w:r>
            <w:r w:rsidR="0086321A" w:rsidRPr="004D453A">
              <w:rPr>
                <w:rFonts w:ascii="Arial" w:hAnsi="Arial" w:cs="Arial"/>
                <w:color w:val="000000" w:themeColor="text1"/>
                <w:sz w:val="18"/>
                <w:szCs w:val="18"/>
              </w:rPr>
              <w:t>-</w:t>
            </w:r>
            <w:r w:rsidRPr="004D453A">
              <w:rPr>
                <w:rFonts w:ascii="Arial" w:hAnsi="Arial" w:cs="Arial"/>
                <w:color w:val="000000" w:themeColor="text1"/>
                <w:sz w:val="18"/>
                <w:szCs w:val="18"/>
              </w:rPr>
              <w:t>y</w:t>
            </w:r>
          </w:p>
        </w:tc>
        <w:tc>
          <w:tcPr>
            <w:tcW w:w="277" w:type="pct"/>
            <w:gridSpan w:val="2"/>
            <w:tcBorders>
              <w:top w:val="nil"/>
              <w:left w:val="nil"/>
              <w:bottom w:val="nil"/>
              <w:right w:val="nil"/>
            </w:tcBorders>
            <w:shd w:val="clear" w:color="000000" w:fill="FFFFFF"/>
            <w:noWrap/>
            <w:vAlign w:val="center"/>
          </w:tcPr>
          <w:p w14:paraId="22C3D1A0" w14:textId="77777777" w:rsidR="00AF09AE" w:rsidRPr="004D453A" w:rsidRDefault="00AF09AE" w:rsidP="00AF09AE">
            <w:pPr>
              <w:jc w:val="center"/>
              <w:rPr>
                <w:rFonts w:ascii="Arial" w:hAnsi="Arial" w:cs="Arial"/>
                <w:color w:val="000000"/>
                <w:sz w:val="18"/>
                <w:szCs w:val="18"/>
              </w:rPr>
            </w:pPr>
          </w:p>
        </w:tc>
        <w:tc>
          <w:tcPr>
            <w:tcW w:w="292" w:type="pct"/>
            <w:tcBorders>
              <w:top w:val="nil"/>
              <w:left w:val="nil"/>
              <w:bottom w:val="nil"/>
              <w:right w:val="nil"/>
            </w:tcBorders>
            <w:shd w:val="clear" w:color="000000" w:fill="FFFFFF"/>
            <w:noWrap/>
            <w:vAlign w:val="center"/>
          </w:tcPr>
          <w:p w14:paraId="4D4DAB16"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4" w:type="pct"/>
            <w:tcBorders>
              <w:top w:val="nil"/>
              <w:left w:val="nil"/>
              <w:bottom w:val="nil"/>
              <w:right w:val="nil"/>
            </w:tcBorders>
            <w:shd w:val="clear" w:color="000000" w:fill="FFFFFF"/>
            <w:noWrap/>
            <w:vAlign w:val="center"/>
          </w:tcPr>
          <w:p w14:paraId="37A93B2B"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5" w:type="pct"/>
            <w:tcBorders>
              <w:top w:val="nil"/>
              <w:left w:val="nil"/>
              <w:bottom w:val="nil"/>
              <w:right w:val="nil"/>
            </w:tcBorders>
            <w:shd w:val="clear" w:color="000000" w:fill="FFFFFF"/>
            <w:noWrap/>
            <w:vAlign w:val="center"/>
          </w:tcPr>
          <w:p w14:paraId="724FA1BB"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80" w:type="pct"/>
            <w:tcBorders>
              <w:top w:val="nil"/>
              <w:left w:val="nil"/>
              <w:bottom w:val="nil"/>
              <w:right w:val="nil"/>
            </w:tcBorders>
            <w:shd w:val="clear" w:color="000000" w:fill="FFFFFF"/>
            <w:noWrap/>
            <w:vAlign w:val="center"/>
          </w:tcPr>
          <w:p w14:paraId="73FC7D37"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74" w:type="pct"/>
            <w:gridSpan w:val="2"/>
            <w:tcBorders>
              <w:top w:val="nil"/>
              <w:left w:val="nil"/>
              <w:bottom w:val="nil"/>
              <w:right w:val="nil"/>
            </w:tcBorders>
            <w:shd w:val="clear" w:color="000000" w:fill="FFFFFF"/>
            <w:noWrap/>
            <w:vAlign w:val="center"/>
          </w:tcPr>
          <w:p w14:paraId="385C919B"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310" w:type="pct"/>
            <w:gridSpan w:val="2"/>
            <w:tcBorders>
              <w:top w:val="nil"/>
              <w:left w:val="nil"/>
              <w:bottom w:val="nil"/>
              <w:right w:val="nil"/>
            </w:tcBorders>
            <w:shd w:val="clear" w:color="000000" w:fill="FFFFFF"/>
            <w:noWrap/>
            <w:vAlign w:val="center"/>
          </w:tcPr>
          <w:p w14:paraId="524AAD11"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403" w:type="pct"/>
            <w:gridSpan w:val="2"/>
            <w:tcBorders>
              <w:top w:val="nil"/>
              <w:left w:val="nil"/>
              <w:bottom w:val="nil"/>
              <w:right w:val="nil"/>
            </w:tcBorders>
            <w:shd w:val="clear" w:color="000000" w:fill="FFFFFF"/>
            <w:noWrap/>
            <w:vAlign w:val="center"/>
          </w:tcPr>
          <w:p w14:paraId="15DE4324"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2170FF98"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5EF6BB00"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&lt; 57</w:t>
            </w:r>
          </w:p>
        </w:tc>
        <w:tc>
          <w:tcPr>
            <w:tcW w:w="277" w:type="pct"/>
            <w:gridSpan w:val="2"/>
            <w:tcBorders>
              <w:top w:val="nil"/>
              <w:left w:val="nil"/>
              <w:bottom w:val="nil"/>
              <w:right w:val="nil"/>
            </w:tcBorders>
            <w:shd w:val="clear" w:color="000000" w:fill="FFFFFF"/>
            <w:noWrap/>
            <w:vAlign w:val="bottom"/>
          </w:tcPr>
          <w:p w14:paraId="3A70D1D5"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260</w:t>
            </w:r>
          </w:p>
        </w:tc>
        <w:tc>
          <w:tcPr>
            <w:tcW w:w="292" w:type="pct"/>
            <w:tcBorders>
              <w:top w:val="nil"/>
              <w:left w:val="nil"/>
              <w:bottom w:val="nil"/>
              <w:right w:val="nil"/>
            </w:tcBorders>
            <w:shd w:val="clear" w:color="000000" w:fill="FFFFFF"/>
            <w:noWrap/>
            <w:vAlign w:val="center"/>
          </w:tcPr>
          <w:p w14:paraId="152EA243"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39139B90" w14:textId="7A9647AD"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0.84 (0.47</w:t>
            </w:r>
            <w:r w:rsidR="0086321A" w:rsidRPr="004D453A">
              <w:rPr>
                <w:rFonts w:ascii="Arial" w:hAnsi="Arial" w:cs="Arial"/>
                <w:color w:val="000000"/>
                <w:sz w:val="18"/>
                <w:szCs w:val="18"/>
              </w:rPr>
              <w:t>-</w:t>
            </w:r>
            <w:r w:rsidRPr="004D453A">
              <w:rPr>
                <w:rFonts w:ascii="Arial" w:hAnsi="Arial" w:cs="Arial"/>
                <w:color w:val="000000"/>
                <w:sz w:val="18"/>
                <w:szCs w:val="18"/>
              </w:rPr>
              <w:t>1.46)</w:t>
            </w:r>
          </w:p>
        </w:tc>
        <w:tc>
          <w:tcPr>
            <w:tcW w:w="565" w:type="pct"/>
            <w:tcBorders>
              <w:top w:val="nil"/>
              <w:left w:val="nil"/>
              <w:bottom w:val="nil"/>
              <w:right w:val="nil"/>
            </w:tcBorders>
            <w:shd w:val="clear" w:color="000000" w:fill="FFFFFF"/>
            <w:noWrap/>
            <w:vAlign w:val="bottom"/>
          </w:tcPr>
          <w:p w14:paraId="4043B822" w14:textId="7248B846"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1.89 (1.19</w:t>
            </w:r>
            <w:r w:rsidR="0086321A" w:rsidRPr="004D453A">
              <w:rPr>
                <w:rFonts w:ascii="Arial" w:hAnsi="Arial" w:cs="Arial"/>
                <w:color w:val="000000"/>
                <w:sz w:val="18"/>
                <w:szCs w:val="18"/>
              </w:rPr>
              <w:t>-</w:t>
            </w:r>
            <w:r w:rsidRPr="004D453A">
              <w:rPr>
                <w:rFonts w:ascii="Arial" w:hAnsi="Arial" w:cs="Arial"/>
                <w:color w:val="000000"/>
                <w:sz w:val="18"/>
                <w:szCs w:val="18"/>
              </w:rPr>
              <w:t>3.02)</w:t>
            </w:r>
          </w:p>
        </w:tc>
        <w:tc>
          <w:tcPr>
            <w:tcW w:w="580" w:type="pct"/>
            <w:tcBorders>
              <w:top w:val="nil"/>
              <w:left w:val="nil"/>
              <w:bottom w:val="nil"/>
              <w:right w:val="nil"/>
            </w:tcBorders>
            <w:shd w:val="clear" w:color="000000" w:fill="FFFFFF"/>
            <w:noWrap/>
            <w:vAlign w:val="bottom"/>
          </w:tcPr>
          <w:p w14:paraId="00FBBB82" w14:textId="6AD23C27"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1.6</w:t>
            </w:r>
            <w:r w:rsidR="00D92A23" w:rsidRPr="004D453A">
              <w:rPr>
                <w:rFonts w:ascii="Arial" w:hAnsi="Arial" w:cs="Arial"/>
                <w:color w:val="000000"/>
                <w:sz w:val="18"/>
                <w:szCs w:val="18"/>
              </w:rPr>
              <w:t>0</w:t>
            </w:r>
            <w:r w:rsidRPr="004D453A">
              <w:rPr>
                <w:rFonts w:ascii="Arial" w:hAnsi="Arial" w:cs="Arial"/>
                <w:color w:val="000000"/>
                <w:sz w:val="18"/>
                <w:szCs w:val="18"/>
              </w:rPr>
              <w:t xml:space="preserve"> (1</w:t>
            </w:r>
            <w:r w:rsidR="00D92A23" w:rsidRPr="004D453A">
              <w:rPr>
                <w:rFonts w:ascii="Arial" w:hAnsi="Arial" w:cs="Arial"/>
                <w:color w:val="000000"/>
                <w:sz w:val="18"/>
                <w:szCs w:val="18"/>
              </w:rPr>
              <w:t>.00</w:t>
            </w:r>
            <w:r w:rsidR="0086321A" w:rsidRPr="004D453A">
              <w:rPr>
                <w:rFonts w:ascii="Arial" w:hAnsi="Arial" w:cs="Arial"/>
                <w:color w:val="000000"/>
                <w:sz w:val="18"/>
                <w:szCs w:val="18"/>
              </w:rPr>
              <w:t>-</w:t>
            </w:r>
            <w:r w:rsidRPr="004D453A">
              <w:rPr>
                <w:rFonts w:ascii="Arial" w:hAnsi="Arial" w:cs="Arial"/>
                <w:color w:val="000000"/>
                <w:sz w:val="18"/>
                <w:szCs w:val="18"/>
              </w:rPr>
              <w:t>2.58)</w:t>
            </w:r>
          </w:p>
        </w:tc>
        <w:tc>
          <w:tcPr>
            <w:tcW w:w="574" w:type="pct"/>
            <w:gridSpan w:val="2"/>
            <w:tcBorders>
              <w:top w:val="nil"/>
              <w:left w:val="nil"/>
              <w:bottom w:val="nil"/>
              <w:right w:val="nil"/>
            </w:tcBorders>
            <w:shd w:val="clear" w:color="auto" w:fill="auto"/>
            <w:noWrap/>
            <w:vAlign w:val="bottom"/>
          </w:tcPr>
          <w:p w14:paraId="545524D2" w14:textId="1E5AA592"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2.16 (1.36</w:t>
            </w:r>
            <w:r w:rsidR="0086321A" w:rsidRPr="004D453A">
              <w:rPr>
                <w:rFonts w:ascii="Arial" w:hAnsi="Arial" w:cs="Arial"/>
                <w:color w:val="000000"/>
                <w:sz w:val="18"/>
                <w:szCs w:val="18"/>
              </w:rPr>
              <w:t>-</w:t>
            </w:r>
            <w:r w:rsidRPr="004D453A">
              <w:rPr>
                <w:rFonts w:ascii="Arial" w:hAnsi="Arial" w:cs="Arial"/>
                <w:color w:val="000000"/>
                <w:sz w:val="18"/>
                <w:szCs w:val="18"/>
              </w:rPr>
              <w:t>3.45)</w:t>
            </w:r>
          </w:p>
        </w:tc>
        <w:tc>
          <w:tcPr>
            <w:tcW w:w="310" w:type="pct"/>
            <w:gridSpan w:val="2"/>
            <w:tcBorders>
              <w:top w:val="nil"/>
              <w:left w:val="nil"/>
              <w:bottom w:val="nil"/>
              <w:right w:val="nil"/>
            </w:tcBorders>
            <w:shd w:val="clear" w:color="auto" w:fill="auto"/>
            <w:noWrap/>
            <w:vAlign w:val="bottom"/>
          </w:tcPr>
          <w:p w14:paraId="617267C7"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0.0002</w:t>
            </w:r>
          </w:p>
        </w:tc>
        <w:tc>
          <w:tcPr>
            <w:tcW w:w="403" w:type="pct"/>
            <w:gridSpan w:val="2"/>
            <w:tcBorders>
              <w:top w:val="nil"/>
              <w:left w:val="nil"/>
              <w:bottom w:val="nil"/>
              <w:right w:val="nil"/>
            </w:tcBorders>
            <w:shd w:val="clear" w:color="auto" w:fill="auto"/>
            <w:noWrap/>
            <w:vAlign w:val="bottom"/>
          </w:tcPr>
          <w:p w14:paraId="7D041A47"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39C6652D"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070A2FFB"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 57</w:t>
            </w:r>
          </w:p>
        </w:tc>
        <w:tc>
          <w:tcPr>
            <w:tcW w:w="277" w:type="pct"/>
            <w:gridSpan w:val="2"/>
            <w:tcBorders>
              <w:top w:val="nil"/>
              <w:left w:val="nil"/>
              <w:bottom w:val="nil"/>
              <w:right w:val="nil"/>
            </w:tcBorders>
            <w:shd w:val="clear" w:color="000000" w:fill="FFFFFF"/>
            <w:noWrap/>
            <w:vAlign w:val="bottom"/>
          </w:tcPr>
          <w:p w14:paraId="2CDF67C8"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505</w:t>
            </w:r>
          </w:p>
        </w:tc>
        <w:tc>
          <w:tcPr>
            <w:tcW w:w="292" w:type="pct"/>
            <w:tcBorders>
              <w:top w:val="nil"/>
              <w:left w:val="nil"/>
              <w:bottom w:val="nil"/>
              <w:right w:val="nil"/>
            </w:tcBorders>
            <w:shd w:val="clear" w:color="000000" w:fill="FFFFFF"/>
            <w:noWrap/>
            <w:vAlign w:val="center"/>
          </w:tcPr>
          <w:p w14:paraId="119D34F5"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5705518D" w14:textId="168EA031"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1.24 (0.84</w:t>
            </w:r>
            <w:r w:rsidR="0086321A" w:rsidRPr="004D453A">
              <w:rPr>
                <w:rFonts w:ascii="Arial" w:hAnsi="Arial" w:cs="Arial"/>
                <w:color w:val="000000"/>
                <w:sz w:val="18"/>
                <w:szCs w:val="18"/>
              </w:rPr>
              <w:t>-</w:t>
            </w:r>
            <w:r w:rsidRPr="004D453A">
              <w:rPr>
                <w:rFonts w:ascii="Arial" w:hAnsi="Arial" w:cs="Arial"/>
                <w:color w:val="000000"/>
                <w:sz w:val="18"/>
                <w:szCs w:val="18"/>
              </w:rPr>
              <w:t>1.85)</w:t>
            </w:r>
          </w:p>
        </w:tc>
        <w:tc>
          <w:tcPr>
            <w:tcW w:w="565" w:type="pct"/>
            <w:tcBorders>
              <w:top w:val="nil"/>
              <w:left w:val="nil"/>
              <w:bottom w:val="nil"/>
              <w:right w:val="nil"/>
            </w:tcBorders>
            <w:shd w:val="clear" w:color="000000" w:fill="FFFFFF"/>
            <w:noWrap/>
            <w:vAlign w:val="bottom"/>
          </w:tcPr>
          <w:p w14:paraId="0216710F" w14:textId="78A43C95"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1.22 (0.83</w:t>
            </w:r>
            <w:r w:rsidR="0086321A" w:rsidRPr="004D453A">
              <w:rPr>
                <w:rFonts w:ascii="Arial" w:hAnsi="Arial" w:cs="Arial"/>
                <w:color w:val="000000"/>
                <w:sz w:val="18"/>
                <w:szCs w:val="18"/>
              </w:rPr>
              <w:t>-</w:t>
            </w:r>
            <w:r w:rsidRPr="004D453A">
              <w:rPr>
                <w:rFonts w:ascii="Arial" w:hAnsi="Arial" w:cs="Arial"/>
                <w:color w:val="000000"/>
                <w:sz w:val="18"/>
                <w:szCs w:val="18"/>
              </w:rPr>
              <w:t>1.8</w:t>
            </w:r>
            <w:r w:rsidR="00D92A23" w:rsidRPr="004D453A">
              <w:rPr>
                <w:rFonts w:ascii="Arial" w:hAnsi="Arial" w:cs="Arial"/>
                <w:color w:val="000000"/>
                <w:sz w:val="18"/>
                <w:szCs w:val="18"/>
              </w:rPr>
              <w:t>0</w:t>
            </w:r>
            <w:r w:rsidRPr="004D453A">
              <w:rPr>
                <w:rFonts w:ascii="Arial" w:hAnsi="Arial" w:cs="Arial"/>
                <w:color w:val="000000"/>
                <w:sz w:val="18"/>
                <w:szCs w:val="18"/>
              </w:rPr>
              <w:t>)</w:t>
            </w:r>
          </w:p>
        </w:tc>
        <w:tc>
          <w:tcPr>
            <w:tcW w:w="580" w:type="pct"/>
            <w:tcBorders>
              <w:top w:val="nil"/>
              <w:left w:val="nil"/>
              <w:bottom w:val="nil"/>
              <w:right w:val="nil"/>
            </w:tcBorders>
            <w:shd w:val="clear" w:color="000000" w:fill="FFFFFF"/>
            <w:noWrap/>
            <w:vAlign w:val="bottom"/>
          </w:tcPr>
          <w:p w14:paraId="31FBEFF7" w14:textId="4FB51697"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1.52 (1.04</w:t>
            </w:r>
            <w:r w:rsidR="00615A78" w:rsidRPr="004D453A">
              <w:rPr>
                <w:rFonts w:ascii="Arial" w:hAnsi="Arial" w:cs="Arial"/>
                <w:color w:val="000000"/>
                <w:sz w:val="18"/>
                <w:szCs w:val="18"/>
              </w:rPr>
              <w:t>-</w:t>
            </w:r>
            <w:r w:rsidRPr="004D453A">
              <w:rPr>
                <w:rFonts w:ascii="Arial" w:hAnsi="Arial" w:cs="Arial"/>
                <w:color w:val="000000"/>
                <w:sz w:val="18"/>
                <w:szCs w:val="18"/>
              </w:rPr>
              <w:t>2.23)</w:t>
            </w:r>
          </w:p>
        </w:tc>
        <w:tc>
          <w:tcPr>
            <w:tcW w:w="574" w:type="pct"/>
            <w:gridSpan w:val="2"/>
            <w:tcBorders>
              <w:top w:val="nil"/>
              <w:left w:val="nil"/>
              <w:bottom w:val="nil"/>
              <w:right w:val="nil"/>
            </w:tcBorders>
            <w:shd w:val="clear" w:color="auto" w:fill="auto"/>
            <w:noWrap/>
            <w:vAlign w:val="bottom"/>
          </w:tcPr>
          <w:p w14:paraId="2931B452" w14:textId="71307F6F"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1.76 (1.2</w:t>
            </w:r>
            <w:r w:rsidR="00D92A23" w:rsidRPr="004D453A">
              <w:rPr>
                <w:rFonts w:ascii="Arial" w:hAnsi="Arial" w:cs="Arial"/>
                <w:color w:val="000000"/>
                <w:sz w:val="18"/>
                <w:szCs w:val="18"/>
              </w:rPr>
              <w:t>0</w:t>
            </w:r>
            <w:r w:rsidR="00615A78" w:rsidRPr="004D453A">
              <w:rPr>
                <w:rFonts w:ascii="Arial" w:hAnsi="Arial" w:cs="Arial"/>
                <w:color w:val="000000"/>
                <w:sz w:val="18"/>
                <w:szCs w:val="18"/>
              </w:rPr>
              <w:t>-</w:t>
            </w:r>
            <w:r w:rsidRPr="004D453A">
              <w:rPr>
                <w:rFonts w:ascii="Arial" w:hAnsi="Arial" w:cs="Arial"/>
                <w:color w:val="000000"/>
                <w:sz w:val="18"/>
                <w:szCs w:val="18"/>
              </w:rPr>
              <w:t>2.59)</w:t>
            </w:r>
          </w:p>
        </w:tc>
        <w:tc>
          <w:tcPr>
            <w:tcW w:w="310" w:type="pct"/>
            <w:gridSpan w:val="2"/>
            <w:tcBorders>
              <w:top w:val="nil"/>
              <w:left w:val="nil"/>
              <w:bottom w:val="nil"/>
              <w:right w:val="nil"/>
            </w:tcBorders>
            <w:shd w:val="clear" w:color="auto" w:fill="auto"/>
            <w:noWrap/>
            <w:vAlign w:val="bottom"/>
          </w:tcPr>
          <w:p w14:paraId="72DF733F"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0.001</w:t>
            </w:r>
          </w:p>
        </w:tc>
        <w:tc>
          <w:tcPr>
            <w:tcW w:w="403" w:type="pct"/>
            <w:gridSpan w:val="2"/>
            <w:tcBorders>
              <w:top w:val="nil"/>
              <w:left w:val="nil"/>
              <w:bottom w:val="nil"/>
              <w:right w:val="nil"/>
            </w:tcBorders>
            <w:shd w:val="clear" w:color="000000" w:fill="FFFFFF"/>
            <w:noWrap/>
            <w:vAlign w:val="bottom"/>
          </w:tcPr>
          <w:p w14:paraId="01552057"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0.20</w:t>
            </w:r>
          </w:p>
        </w:tc>
      </w:tr>
      <w:tr w:rsidR="00B810D0" w:rsidRPr="004D453A" w14:paraId="1D2EF655" w14:textId="77777777" w:rsidTr="00FF5112">
        <w:trPr>
          <w:trHeight w:val="20"/>
        </w:trPr>
        <w:tc>
          <w:tcPr>
            <w:tcW w:w="1435" w:type="pct"/>
            <w:gridSpan w:val="2"/>
            <w:tcBorders>
              <w:top w:val="nil"/>
              <w:left w:val="nil"/>
              <w:bottom w:val="nil"/>
              <w:right w:val="nil"/>
            </w:tcBorders>
            <w:shd w:val="clear" w:color="000000" w:fill="FFFFFF"/>
            <w:vAlign w:val="center"/>
            <w:hideMark/>
          </w:tcPr>
          <w:p w14:paraId="0B243257" w14:textId="77777777" w:rsidR="00FF6313" w:rsidRPr="004D453A" w:rsidRDefault="00FF6313" w:rsidP="002934D9">
            <w:pPr>
              <w:rPr>
                <w:rFonts w:ascii="Arial" w:hAnsi="Arial" w:cs="Arial"/>
                <w:color w:val="000000" w:themeColor="text1"/>
                <w:sz w:val="18"/>
                <w:szCs w:val="18"/>
              </w:rPr>
            </w:pPr>
            <w:r w:rsidRPr="004D453A">
              <w:rPr>
                <w:rFonts w:ascii="Arial" w:hAnsi="Arial" w:cs="Arial"/>
                <w:color w:val="000000" w:themeColor="text1"/>
                <w:sz w:val="18"/>
                <w:szCs w:val="18"/>
              </w:rPr>
              <w:t>Sex</w:t>
            </w:r>
          </w:p>
        </w:tc>
        <w:tc>
          <w:tcPr>
            <w:tcW w:w="277" w:type="pct"/>
            <w:gridSpan w:val="2"/>
            <w:tcBorders>
              <w:top w:val="nil"/>
              <w:left w:val="nil"/>
              <w:bottom w:val="nil"/>
              <w:right w:val="nil"/>
            </w:tcBorders>
            <w:shd w:val="clear" w:color="000000" w:fill="FFFFFF"/>
            <w:vAlign w:val="bottom"/>
          </w:tcPr>
          <w:p w14:paraId="06ABDB06" w14:textId="77777777" w:rsidR="00FF6313" w:rsidRPr="004D453A" w:rsidRDefault="00FF6313" w:rsidP="00FF6313">
            <w:pPr>
              <w:jc w:val="center"/>
              <w:rPr>
                <w:rFonts w:ascii="Arial" w:hAnsi="Arial" w:cs="Arial"/>
                <w:color w:val="000000"/>
                <w:sz w:val="18"/>
                <w:szCs w:val="18"/>
              </w:rPr>
            </w:pPr>
          </w:p>
        </w:tc>
        <w:tc>
          <w:tcPr>
            <w:tcW w:w="292" w:type="pct"/>
            <w:tcBorders>
              <w:top w:val="nil"/>
              <w:left w:val="nil"/>
              <w:bottom w:val="nil"/>
              <w:right w:val="nil"/>
            </w:tcBorders>
            <w:shd w:val="clear" w:color="000000" w:fill="FFFFFF"/>
            <w:noWrap/>
            <w:vAlign w:val="center"/>
          </w:tcPr>
          <w:p w14:paraId="09FE1720" w14:textId="77777777" w:rsidR="00FF6313" w:rsidRPr="004D453A" w:rsidRDefault="00FF6313" w:rsidP="00FF6313">
            <w:pPr>
              <w:jc w:val="center"/>
              <w:rPr>
                <w:rFonts w:ascii="Arial" w:hAnsi="Arial" w:cs="Arial"/>
                <w:color w:val="000000"/>
                <w:sz w:val="18"/>
                <w:szCs w:val="18"/>
              </w:rPr>
            </w:pPr>
          </w:p>
        </w:tc>
        <w:tc>
          <w:tcPr>
            <w:tcW w:w="564" w:type="pct"/>
            <w:tcBorders>
              <w:top w:val="nil"/>
              <w:left w:val="nil"/>
              <w:bottom w:val="nil"/>
              <w:right w:val="nil"/>
            </w:tcBorders>
            <w:shd w:val="clear" w:color="000000" w:fill="FFFFFF"/>
            <w:noWrap/>
            <w:vAlign w:val="bottom"/>
          </w:tcPr>
          <w:p w14:paraId="73C9E4F6" w14:textId="77777777" w:rsidR="00FF6313" w:rsidRPr="004D453A" w:rsidRDefault="00FF6313" w:rsidP="00FF6313">
            <w:pPr>
              <w:rPr>
                <w:rFonts w:ascii="Arial" w:hAnsi="Arial" w:cs="Arial"/>
                <w:color w:val="000000"/>
                <w:sz w:val="18"/>
                <w:szCs w:val="18"/>
              </w:rPr>
            </w:pPr>
          </w:p>
        </w:tc>
        <w:tc>
          <w:tcPr>
            <w:tcW w:w="565" w:type="pct"/>
            <w:tcBorders>
              <w:top w:val="nil"/>
              <w:left w:val="nil"/>
              <w:bottom w:val="nil"/>
              <w:right w:val="nil"/>
            </w:tcBorders>
            <w:shd w:val="clear" w:color="000000" w:fill="FFFFFF"/>
            <w:vAlign w:val="bottom"/>
          </w:tcPr>
          <w:p w14:paraId="2361B65E" w14:textId="77777777" w:rsidR="00FF6313" w:rsidRPr="004D453A" w:rsidRDefault="00FF6313" w:rsidP="00FF6313">
            <w:pPr>
              <w:rPr>
                <w:rFonts w:ascii="Arial" w:hAnsi="Arial" w:cs="Arial"/>
                <w:color w:val="000000"/>
                <w:sz w:val="18"/>
                <w:szCs w:val="18"/>
              </w:rPr>
            </w:pPr>
          </w:p>
        </w:tc>
        <w:tc>
          <w:tcPr>
            <w:tcW w:w="580" w:type="pct"/>
            <w:tcBorders>
              <w:top w:val="nil"/>
              <w:left w:val="nil"/>
              <w:bottom w:val="nil"/>
              <w:right w:val="nil"/>
            </w:tcBorders>
            <w:shd w:val="clear" w:color="000000" w:fill="FFFFFF"/>
            <w:noWrap/>
            <w:vAlign w:val="bottom"/>
          </w:tcPr>
          <w:p w14:paraId="769DF782" w14:textId="77777777" w:rsidR="00FF6313" w:rsidRPr="004D453A" w:rsidRDefault="00FF6313" w:rsidP="00FF6313">
            <w:pPr>
              <w:rPr>
                <w:rFonts w:ascii="Arial" w:hAnsi="Arial" w:cs="Arial"/>
                <w:color w:val="000000"/>
                <w:sz w:val="18"/>
                <w:szCs w:val="18"/>
              </w:rPr>
            </w:pPr>
          </w:p>
        </w:tc>
        <w:tc>
          <w:tcPr>
            <w:tcW w:w="574" w:type="pct"/>
            <w:gridSpan w:val="2"/>
            <w:tcBorders>
              <w:top w:val="nil"/>
              <w:left w:val="nil"/>
              <w:bottom w:val="nil"/>
              <w:right w:val="nil"/>
            </w:tcBorders>
            <w:shd w:val="clear" w:color="auto" w:fill="auto"/>
            <w:noWrap/>
            <w:vAlign w:val="bottom"/>
          </w:tcPr>
          <w:p w14:paraId="252D1B62" w14:textId="77777777" w:rsidR="00FF6313" w:rsidRPr="004D453A" w:rsidRDefault="00FF6313" w:rsidP="00FF6313">
            <w:pPr>
              <w:rPr>
                <w:rFonts w:ascii="Arial" w:hAnsi="Arial" w:cs="Arial"/>
                <w:color w:val="000000"/>
                <w:sz w:val="18"/>
                <w:szCs w:val="18"/>
              </w:rPr>
            </w:pPr>
          </w:p>
        </w:tc>
        <w:tc>
          <w:tcPr>
            <w:tcW w:w="310" w:type="pct"/>
            <w:gridSpan w:val="2"/>
            <w:tcBorders>
              <w:top w:val="nil"/>
              <w:left w:val="nil"/>
              <w:bottom w:val="nil"/>
              <w:right w:val="nil"/>
            </w:tcBorders>
            <w:shd w:val="clear" w:color="000000" w:fill="FFFFFF"/>
            <w:noWrap/>
            <w:vAlign w:val="bottom"/>
          </w:tcPr>
          <w:p w14:paraId="4E803A78" w14:textId="77777777" w:rsidR="00FF6313" w:rsidRPr="004D453A" w:rsidRDefault="00FF6313" w:rsidP="00FF6313">
            <w:pPr>
              <w:jc w:val="center"/>
              <w:rPr>
                <w:rFonts w:ascii="Arial" w:hAnsi="Arial" w:cs="Arial"/>
                <w:color w:val="000000"/>
                <w:sz w:val="18"/>
                <w:szCs w:val="18"/>
              </w:rPr>
            </w:pPr>
          </w:p>
        </w:tc>
        <w:tc>
          <w:tcPr>
            <w:tcW w:w="403" w:type="pct"/>
            <w:gridSpan w:val="2"/>
            <w:tcBorders>
              <w:top w:val="nil"/>
              <w:left w:val="nil"/>
              <w:bottom w:val="nil"/>
              <w:right w:val="nil"/>
            </w:tcBorders>
            <w:shd w:val="clear" w:color="000000" w:fill="FFFFFF"/>
            <w:noWrap/>
            <w:vAlign w:val="bottom"/>
          </w:tcPr>
          <w:p w14:paraId="284FEC74" w14:textId="77777777" w:rsidR="00FF6313" w:rsidRPr="004D453A" w:rsidRDefault="00FF6313" w:rsidP="00FF6313">
            <w:pPr>
              <w:jc w:val="center"/>
              <w:rPr>
                <w:rFonts w:ascii="Arial" w:hAnsi="Arial" w:cs="Arial"/>
                <w:sz w:val="18"/>
                <w:szCs w:val="18"/>
              </w:rPr>
            </w:pPr>
          </w:p>
        </w:tc>
      </w:tr>
      <w:tr w:rsidR="00B810D0" w:rsidRPr="004D453A" w14:paraId="6C954898" w14:textId="77777777" w:rsidTr="00FF5112">
        <w:trPr>
          <w:trHeight w:val="20"/>
        </w:trPr>
        <w:tc>
          <w:tcPr>
            <w:tcW w:w="1435" w:type="pct"/>
            <w:gridSpan w:val="2"/>
            <w:tcBorders>
              <w:top w:val="nil"/>
              <w:left w:val="nil"/>
              <w:bottom w:val="nil"/>
              <w:right w:val="nil"/>
            </w:tcBorders>
            <w:shd w:val="clear" w:color="000000" w:fill="FFFFFF"/>
            <w:vAlign w:val="center"/>
            <w:hideMark/>
          </w:tcPr>
          <w:p w14:paraId="2DACECB4" w14:textId="6F26096D" w:rsidR="0007729A" w:rsidRPr="004D453A" w:rsidRDefault="0007729A" w:rsidP="0007729A">
            <w:pPr>
              <w:ind w:firstLine="163"/>
              <w:rPr>
                <w:rFonts w:ascii="Arial" w:hAnsi="Arial" w:cs="Arial"/>
                <w:color w:val="000000" w:themeColor="text1"/>
                <w:sz w:val="18"/>
                <w:szCs w:val="18"/>
              </w:rPr>
            </w:pPr>
            <w:r w:rsidRPr="004D453A">
              <w:rPr>
                <w:rFonts w:ascii="Arial" w:hAnsi="Arial" w:cs="Arial"/>
                <w:color w:val="000000"/>
                <w:sz w:val="18"/>
                <w:szCs w:val="18"/>
              </w:rPr>
              <w:t>Men</w:t>
            </w:r>
          </w:p>
        </w:tc>
        <w:tc>
          <w:tcPr>
            <w:tcW w:w="277" w:type="pct"/>
            <w:gridSpan w:val="2"/>
            <w:tcBorders>
              <w:top w:val="nil"/>
              <w:left w:val="nil"/>
              <w:bottom w:val="nil"/>
              <w:right w:val="nil"/>
            </w:tcBorders>
            <w:shd w:val="clear" w:color="000000" w:fill="FFFFFF"/>
            <w:vAlign w:val="bottom"/>
          </w:tcPr>
          <w:p w14:paraId="5E01765A" w14:textId="2617AFEC"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469</w:t>
            </w:r>
          </w:p>
        </w:tc>
        <w:tc>
          <w:tcPr>
            <w:tcW w:w="292" w:type="pct"/>
            <w:tcBorders>
              <w:top w:val="nil"/>
              <w:left w:val="nil"/>
              <w:bottom w:val="nil"/>
              <w:right w:val="nil"/>
            </w:tcBorders>
            <w:shd w:val="clear" w:color="000000" w:fill="FFFFFF"/>
            <w:noWrap/>
            <w:vAlign w:val="center"/>
          </w:tcPr>
          <w:p w14:paraId="7926470A" w14:textId="15A588BB"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vAlign w:val="bottom"/>
          </w:tcPr>
          <w:p w14:paraId="4C803D7F" w14:textId="6C95CAB2"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1.32 (0.85</w:t>
            </w:r>
            <w:r w:rsidR="00615A78" w:rsidRPr="004D453A">
              <w:rPr>
                <w:rFonts w:ascii="Arial" w:hAnsi="Arial" w:cs="Arial"/>
                <w:color w:val="000000"/>
                <w:sz w:val="18"/>
                <w:szCs w:val="18"/>
              </w:rPr>
              <w:t>-</w:t>
            </w:r>
            <w:r w:rsidRPr="004D453A">
              <w:rPr>
                <w:rFonts w:ascii="Arial" w:hAnsi="Arial" w:cs="Arial"/>
                <w:color w:val="000000"/>
                <w:sz w:val="18"/>
                <w:szCs w:val="18"/>
              </w:rPr>
              <w:t>2.07)</w:t>
            </w:r>
          </w:p>
        </w:tc>
        <w:tc>
          <w:tcPr>
            <w:tcW w:w="565" w:type="pct"/>
            <w:tcBorders>
              <w:top w:val="nil"/>
              <w:left w:val="nil"/>
              <w:bottom w:val="nil"/>
              <w:right w:val="nil"/>
            </w:tcBorders>
            <w:shd w:val="clear" w:color="000000" w:fill="FFFFFF"/>
            <w:vAlign w:val="bottom"/>
          </w:tcPr>
          <w:p w14:paraId="6EC41C82" w14:textId="498DF4CB"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1.51 (0.99</w:t>
            </w:r>
            <w:r w:rsidR="00615A78" w:rsidRPr="004D453A">
              <w:rPr>
                <w:rFonts w:ascii="Arial" w:hAnsi="Arial" w:cs="Arial"/>
                <w:color w:val="000000"/>
                <w:sz w:val="18"/>
                <w:szCs w:val="18"/>
              </w:rPr>
              <w:t>-</w:t>
            </w:r>
            <w:r w:rsidRPr="004D453A">
              <w:rPr>
                <w:rFonts w:ascii="Arial" w:hAnsi="Arial" w:cs="Arial"/>
                <w:color w:val="000000"/>
                <w:sz w:val="18"/>
                <w:szCs w:val="18"/>
              </w:rPr>
              <w:t>2.32)</w:t>
            </w:r>
          </w:p>
        </w:tc>
        <w:tc>
          <w:tcPr>
            <w:tcW w:w="580" w:type="pct"/>
            <w:tcBorders>
              <w:top w:val="nil"/>
              <w:left w:val="nil"/>
              <w:bottom w:val="nil"/>
              <w:right w:val="nil"/>
            </w:tcBorders>
            <w:shd w:val="clear" w:color="000000" w:fill="FFFFFF"/>
            <w:vAlign w:val="bottom"/>
          </w:tcPr>
          <w:p w14:paraId="74868C3A" w14:textId="65F4D966"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1.50 (0.99</w:t>
            </w:r>
            <w:r w:rsidR="005C4D61" w:rsidRPr="004D453A">
              <w:rPr>
                <w:rFonts w:ascii="Arial" w:hAnsi="Arial" w:cs="Arial"/>
                <w:color w:val="000000"/>
                <w:sz w:val="18"/>
                <w:szCs w:val="18"/>
              </w:rPr>
              <w:t>-</w:t>
            </w:r>
            <w:r w:rsidRPr="004D453A">
              <w:rPr>
                <w:rFonts w:ascii="Arial" w:hAnsi="Arial" w:cs="Arial"/>
                <w:color w:val="000000"/>
                <w:sz w:val="18"/>
                <w:szCs w:val="18"/>
              </w:rPr>
              <w:t>2.30)</w:t>
            </w:r>
          </w:p>
        </w:tc>
        <w:tc>
          <w:tcPr>
            <w:tcW w:w="574" w:type="pct"/>
            <w:gridSpan w:val="2"/>
            <w:tcBorders>
              <w:top w:val="nil"/>
              <w:left w:val="nil"/>
              <w:bottom w:val="nil"/>
              <w:right w:val="nil"/>
            </w:tcBorders>
            <w:shd w:val="clear" w:color="auto" w:fill="auto"/>
            <w:noWrap/>
            <w:vAlign w:val="bottom"/>
          </w:tcPr>
          <w:p w14:paraId="68BE8793" w14:textId="7D450D18"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2.13 (1.40</w:t>
            </w:r>
            <w:r w:rsidR="005C4D61" w:rsidRPr="004D453A">
              <w:rPr>
                <w:rFonts w:ascii="Arial" w:hAnsi="Arial" w:cs="Arial"/>
                <w:color w:val="000000"/>
                <w:sz w:val="18"/>
                <w:szCs w:val="18"/>
              </w:rPr>
              <w:t>-</w:t>
            </w:r>
            <w:r w:rsidRPr="004D453A">
              <w:rPr>
                <w:rFonts w:ascii="Arial" w:hAnsi="Arial" w:cs="Arial"/>
                <w:color w:val="000000"/>
                <w:sz w:val="18"/>
                <w:szCs w:val="18"/>
              </w:rPr>
              <w:t>3.28)</w:t>
            </w:r>
          </w:p>
        </w:tc>
        <w:tc>
          <w:tcPr>
            <w:tcW w:w="310" w:type="pct"/>
            <w:gridSpan w:val="2"/>
            <w:tcBorders>
              <w:top w:val="nil"/>
              <w:left w:val="nil"/>
              <w:bottom w:val="nil"/>
              <w:right w:val="nil"/>
            </w:tcBorders>
            <w:shd w:val="clear" w:color="auto" w:fill="auto"/>
            <w:noWrap/>
            <w:vAlign w:val="bottom"/>
          </w:tcPr>
          <w:p w14:paraId="70641201" w14:textId="55D83F13"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0.0004</w:t>
            </w:r>
          </w:p>
        </w:tc>
        <w:tc>
          <w:tcPr>
            <w:tcW w:w="403" w:type="pct"/>
            <w:gridSpan w:val="2"/>
            <w:tcBorders>
              <w:top w:val="nil"/>
              <w:left w:val="nil"/>
              <w:bottom w:val="nil"/>
              <w:right w:val="nil"/>
            </w:tcBorders>
            <w:shd w:val="clear" w:color="000000" w:fill="FFFFFF"/>
            <w:noWrap/>
            <w:vAlign w:val="bottom"/>
          </w:tcPr>
          <w:p w14:paraId="4A139704" w14:textId="55DCC5EE"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3C5E7809"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360EEEBF" w14:textId="15AA672E" w:rsidR="0007729A" w:rsidRPr="004D453A" w:rsidRDefault="0007729A" w:rsidP="0007729A">
            <w:pPr>
              <w:ind w:firstLine="163"/>
              <w:rPr>
                <w:rFonts w:ascii="Arial" w:hAnsi="Arial" w:cs="Arial"/>
                <w:color w:val="000000" w:themeColor="text1"/>
                <w:sz w:val="18"/>
                <w:szCs w:val="18"/>
              </w:rPr>
            </w:pPr>
            <w:r w:rsidRPr="004D453A">
              <w:rPr>
                <w:rFonts w:ascii="Arial" w:hAnsi="Arial" w:cs="Arial"/>
                <w:color w:val="000000"/>
                <w:sz w:val="18"/>
                <w:szCs w:val="18"/>
              </w:rPr>
              <w:t>Women</w:t>
            </w:r>
          </w:p>
        </w:tc>
        <w:tc>
          <w:tcPr>
            <w:tcW w:w="277" w:type="pct"/>
            <w:gridSpan w:val="2"/>
            <w:tcBorders>
              <w:top w:val="nil"/>
              <w:left w:val="nil"/>
              <w:bottom w:val="nil"/>
              <w:right w:val="nil"/>
            </w:tcBorders>
            <w:shd w:val="clear" w:color="000000" w:fill="FFFFFF"/>
            <w:noWrap/>
            <w:vAlign w:val="bottom"/>
          </w:tcPr>
          <w:p w14:paraId="75E9F538" w14:textId="15AA1386"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303</w:t>
            </w:r>
          </w:p>
        </w:tc>
        <w:tc>
          <w:tcPr>
            <w:tcW w:w="292" w:type="pct"/>
            <w:tcBorders>
              <w:top w:val="nil"/>
              <w:left w:val="nil"/>
              <w:bottom w:val="nil"/>
              <w:right w:val="nil"/>
            </w:tcBorders>
            <w:shd w:val="clear" w:color="000000" w:fill="FFFFFF"/>
            <w:noWrap/>
            <w:vAlign w:val="center"/>
          </w:tcPr>
          <w:p w14:paraId="2B714B66" w14:textId="123E6E96"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34664AD1" w14:textId="5D145943"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0.95 (0.59</w:t>
            </w:r>
            <w:r w:rsidR="005C4D61" w:rsidRPr="004D453A">
              <w:rPr>
                <w:rFonts w:ascii="Arial" w:hAnsi="Arial" w:cs="Arial"/>
                <w:color w:val="000000"/>
                <w:sz w:val="18"/>
                <w:szCs w:val="18"/>
              </w:rPr>
              <w:t>-</w:t>
            </w:r>
            <w:r w:rsidRPr="004D453A">
              <w:rPr>
                <w:rFonts w:ascii="Arial" w:hAnsi="Arial" w:cs="Arial"/>
                <w:color w:val="000000"/>
                <w:sz w:val="18"/>
                <w:szCs w:val="18"/>
              </w:rPr>
              <w:t>1.51)</w:t>
            </w:r>
          </w:p>
        </w:tc>
        <w:tc>
          <w:tcPr>
            <w:tcW w:w="565" w:type="pct"/>
            <w:tcBorders>
              <w:top w:val="nil"/>
              <w:left w:val="nil"/>
              <w:bottom w:val="nil"/>
              <w:right w:val="nil"/>
            </w:tcBorders>
            <w:shd w:val="clear" w:color="000000" w:fill="FFFFFF"/>
            <w:noWrap/>
            <w:vAlign w:val="bottom"/>
          </w:tcPr>
          <w:p w14:paraId="535107B2" w14:textId="70B14FCE"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1.64 (1.08</w:t>
            </w:r>
            <w:r w:rsidR="005C4D61" w:rsidRPr="004D453A">
              <w:rPr>
                <w:rFonts w:ascii="Arial" w:hAnsi="Arial" w:cs="Arial"/>
                <w:color w:val="000000"/>
                <w:sz w:val="18"/>
                <w:szCs w:val="18"/>
              </w:rPr>
              <w:t>-</w:t>
            </w:r>
            <w:r w:rsidRPr="004D453A">
              <w:rPr>
                <w:rFonts w:ascii="Arial" w:hAnsi="Arial" w:cs="Arial"/>
                <w:color w:val="000000"/>
                <w:sz w:val="18"/>
                <w:szCs w:val="18"/>
              </w:rPr>
              <w:t>2.51)</w:t>
            </w:r>
          </w:p>
        </w:tc>
        <w:tc>
          <w:tcPr>
            <w:tcW w:w="580" w:type="pct"/>
            <w:tcBorders>
              <w:top w:val="nil"/>
              <w:left w:val="nil"/>
              <w:bottom w:val="nil"/>
              <w:right w:val="nil"/>
            </w:tcBorders>
            <w:shd w:val="clear" w:color="000000" w:fill="FFFFFF"/>
            <w:noWrap/>
            <w:vAlign w:val="bottom"/>
          </w:tcPr>
          <w:p w14:paraId="66A11459" w14:textId="5D4F8453"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1.95 (1.29</w:t>
            </w:r>
            <w:r w:rsidR="005C4D61" w:rsidRPr="004D453A">
              <w:rPr>
                <w:rFonts w:ascii="Arial" w:hAnsi="Arial" w:cs="Arial"/>
                <w:color w:val="000000"/>
                <w:sz w:val="18"/>
                <w:szCs w:val="18"/>
              </w:rPr>
              <w:t>-</w:t>
            </w:r>
            <w:r w:rsidRPr="004D453A">
              <w:rPr>
                <w:rFonts w:ascii="Arial" w:hAnsi="Arial" w:cs="Arial"/>
                <w:color w:val="000000"/>
                <w:sz w:val="18"/>
                <w:szCs w:val="18"/>
              </w:rPr>
              <w:t>2.98)</w:t>
            </w:r>
          </w:p>
        </w:tc>
        <w:tc>
          <w:tcPr>
            <w:tcW w:w="574" w:type="pct"/>
            <w:gridSpan w:val="2"/>
            <w:tcBorders>
              <w:top w:val="nil"/>
              <w:left w:val="nil"/>
              <w:bottom w:val="nil"/>
              <w:right w:val="nil"/>
            </w:tcBorders>
            <w:shd w:val="clear" w:color="auto" w:fill="auto"/>
            <w:noWrap/>
            <w:vAlign w:val="bottom"/>
          </w:tcPr>
          <w:p w14:paraId="4C968E9F" w14:textId="4E9452F9" w:rsidR="0007729A" w:rsidRPr="004D453A" w:rsidRDefault="0007729A" w:rsidP="0007729A">
            <w:pPr>
              <w:rPr>
                <w:rFonts w:ascii="Arial" w:hAnsi="Arial" w:cs="Arial"/>
                <w:color w:val="000000"/>
                <w:sz w:val="18"/>
                <w:szCs w:val="18"/>
              </w:rPr>
            </w:pPr>
            <w:r w:rsidRPr="004D453A">
              <w:rPr>
                <w:rFonts w:ascii="Arial" w:hAnsi="Arial" w:cs="Arial"/>
                <w:color w:val="000000"/>
                <w:sz w:val="18"/>
                <w:szCs w:val="18"/>
              </w:rPr>
              <w:t>1.93 (1.27</w:t>
            </w:r>
            <w:r w:rsidR="005C4D61" w:rsidRPr="004D453A">
              <w:rPr>
                <w:rFonts w:ascii="Arial" w:hAnsi="Arial" w:cs="Arial"/>
                <w:color w:val="000000"/>
                <w:sz w:val="18"/>
                <w:szCs w:val="18"/>
              </w:rPr>
              <w:t>-</w:t>
            </w:r>
            <w:r w:rsidRPr="004D453A">
              <w:rPr>
                <w:rFonts w:ascii="Arial" w:hAnsi="Arial" w:cs="Arial"/>
                <w:color w:val="000000"/>
                <w:sz w:val="18"/>
                <w:szCs w:val="18"/>
              </w:rPr>
              <w:t>2.95)</w:t>
            </w:r>
          </w:p>
        </w:tc>
        <w:tc>
          <w:tcPr>
            <w:tcW w:w="310" w:type="pct"/>
            <w:gridSpan w:val="2"/>
            <w:tcBorders>
              <w:top w:val="nil"/>
              <w:left w:val="nil"/>
              <w:bottom w:val="nil"/>
              <w:right w:val="nil"/>
            </w:tcBorders>
            <w:shd w:val="clear" w:color="auto" w:fill="auto"/>
            <w:noWrap/>
            <w:vAlign w:val="bottom"/>
          </w:tcPr>
          <w:p w14:paraId="46EA4001" w14:textId="02DEC5DF"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&lt;0.0001</w:t>
            </w:r>
          </w:p>
        </w:tc>
        <w:tc>
          <w:tcPr>
            <w:tcW w:w="403" w:type="pct"/>
            <w:gridSpan w:val="2"/>
            <w:tcBorders>
              <w:top w:val="nil"/>
              <w:left w:val="nil"/>
              <w:bottom w:val="nil"/>
              <w:right w:val="nil"/>
            </w:tcBorders>
            <w:shd w:val="clear" w:color="000000" w:fill="FFFFFF"/>
            <w:noWrap/>
            <w:vAlign w:val="bottom"/>
          </w:tcPr>
          <w:p w14:paraId="23A642D4" w14:textId="07FB9116" w:rsidR="0007729A" w:rsidRPr="004D453A" w:rsidRDefault="0007729A" w:rsidP="0007729A">
            <w:pPr>
              <w:jc w:val="center"/>
              <w:rPr>
                <w:rFonts w:ascii="Arial" w:hAnsi="Arial" w:cs="Arial"/>
                <w:color w:val="000000"/>
                <w:sz w:val="18"/>
                <w:szCs w:val="18"/>
              </w:rPr>
            </w:pPr>
            <w:r w:rsidRPr="004D453A">
              <w:rPr>
                <w:rFonts w:ascii="Arial" w:hAnsi="Arial" w:cs="Arial"/>
                <w:color w:val="000000"/>
                <w:sz w:val="18"/>
                <w:szCs w:val="18"/>
              </w:rPr>
              <w:t>0.45</w:t>
            </w:r>
          </w:p>
        </w:tc>
      </w:tr>
      <w:tr w:rsidR="00B810D0" w:rsidRPr="004D453A" w14:paraId="32B7AC5C"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7C20DB1C" w14:textId="77777777" w:rsidR="00AF09AE" w:rsidRPr="004D453A" w:rsidRDefault="00AF09AE" w:rsidP="002934D9">
            <w:pPr>
              <w:rPr>
                <w:rFonts w:ascii="Arial" w:hAnsi="Arial" w:cs="Arial"/>
                <w:color w:val="000000" w:themeColor="text1"/>
                <w:sz w:val="18"/>
                <w:szCs w:val="18"/>
              </w:rPr>
            </w:pPr>
            <w:r w:rsidRPr="004D453A">
              <w:rPr>
                <w:rFonts w:ascii="Arial" w:hAnsi="Arial" w:cs="Arial"/>
                <w:color w:val="000000" w:themeColor="text1"/>
                <w:sz w:val="18"/>
                <w:szCs w:val="18"/>
              </w:rPr>
              <w:t>Aspirin or other NSAID use</w:t>
            </w:r>
          </w:p>
        </w:tc>
        <w:tc>
          <w:tcPr>
            <w:tcW w:w="277" w:type="pct"/>
            <w:gridSpan w:val="2"/>
            <w:tcBorders>
              <w:top w:val="nil"/>
              <w:left w:val="nil"/>
              <w:bottom w:val="nil"/>
              <w:right w:val="nil"/>
            </w:tcBorders>
            <w:shd w:val="clear" w:color="000000" w:fill="FFFFFF"/>
            <w:noWrap/>
            <w:vAlign w:val="bottom"/>
          </w:tcPr>
          <w:p w14:paraId="1382CC64" w14:textId="77777777" w:rsidR="00AF09AE" w:rsidRPr="004D453A" w:rsidRDefault="00AF09AE" w:rsidP="00AF09AE">
            <w:pPr>
              <w:jc w:val="center"/>
              <w:rPr>
                <w:rFonts w:ascii="Arial" w:hAnsi="Arial" w:cs="Arial"/>
                <w:color w:val="000000"/>
                <w:sz w:val="18"/>
                <w:szCs w:val="18"/>
              </w:rPr>
            </w:pPr>
          </w:p>
        </w:tc>
        <w:tc>
          <w:tcPr>
            <w:tcW w:w="292" w:type="pct"/>
            <w:tcBorders>
              <w:top w:val="nil"/>
              <w:left w:val="nil"/>
              <w:bottom w:val="nil"/>
              <w:right w:val="nil"/>
            </w:tcBorders>
            <w:shd w:val="clear" w:color="000000" w:fill="FFFFFF"/>
            <w:noWrap/>
            <w:vAlign w:val="center"/>
          </w:tcPr>
          <w:p w14:paraId="1BE7DEB0"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c>
          <w:tcPr>
            <w:tcW w:w="564" w:type="pct"/>
            <w:tcBorders>
              <w:top w:val="nil"/>
              <w:left w:val="nil"/>
              <w:bottom w:val="nil"/>
              <w:right w:val="nil"/>
            </w:tcBorders>
            <w:shd w:val="clear" w:color="auto" w:fill="auto"/>
            <w:noWrap/>
            <w:vAlign w:val="bottom"/>
          </w:tcPr>
          <w:p w14:paraId="2956CEEB" w14:textId="77777777" w:rsidR="00AF09AE" w:rsidRPr="004D453A" w:rsidRDefault="00AF09AE" w:rsidP="00AF09AE">
            <w:pPr>
              <w:jc w:val="center"/>
              <w:rPr>
                <w:rFonts w:ascii="Arial" w:hAnsi="Arial" w:cs="Arial"/>
                <w:color w:val="000000"/>
                <w:sz w:val="18"/>
                <w:szCs w:val="18"/>
              </w:rPr>
            </w:pPr>
          </w:p>
        </w:tc>
        <w:tc>
          <w:tcPr>
            <w:tcW w:w="565" w:type="pct"/>
            <w:tcBorders>
              <w:top w:val="nil"/>
              <w:left w:val="nil"/>
              <w:bottom w:val="nil"/>
              <w:right w:val="nil"/>
            </w:tcBorders>
            <w:shd w:val="clear" w:color="auto" w:fill="auto"/>
            <w:noWrap/>
            <w:vAlign w:val="bottom"/>
          </w:tcPr>
          <w:p w14:paraId="024CE411" w14:textId="77777777" w:rsidR="00AF09AE" w:rsidRPr="004D453A" w:rsidRDefault="00AF09AE" w:rsidP="00AF09AE">
            <w:pPr>
              <w:rPr>
                <w:rFonts w:ascii="Arial" w:hAnsi="Arial" w:cs="Arial"/>
                <w:sz w:val="18"/>
                <w:szCs w:val="18"/>
              </w:rPr>
            </w:pPr>
          </w:p>
        </w:tc>
        <w:tc>
          <w:tcPr>
            <w:tcW w:w="580" w:type="pct"/>
            <w:tcBorders>
              <w:top w:val="nil"/>
              <w:left w:val="nil"/>
              <w:bottom w:val="nil"/>
              <w:right w:val="nil"/>
            </w:tcBorders>
            <w:shd w:val="clear" w:color="auto" w:fill="auto"/>
            <w:noWrap/>
            <w:vAlign w:val="bottom"/>
          </w:tcPr>
          <w:p w14:paraId="5AD619B8" w14:textId="77777777" w:rsidR="00AF09AE" w:rsidRPr="004D453A" w:rsidRDefault="00AF09AE" w:rsidP="00AF09AE">
            <w:pPr>
              <w:rPr>
                <w:rFonts w:ascii="Arial" w:hAnsi="Arial" w:cs="Arial"/>
                <w:sz w:val="18"/>
                <w:szCs w:val="18"/>
              </w:rPr>
            </w:pPr>
          </w:p>
        </w:tc>
        <w:tc>
          <w:tcPr>
            <w:tcW w:w="574" w:type="pct"/>
            <w:gridSpan w:val="2"/>
            <w:tcBorders>
              <w:top w:val="nil"/>
              <w:left w:val="nil"/>
              <w:bottom w:val="nil"/>
              <w:right w:val="nil"/>
            </w:tcBorders>
            <w:shd w:val="clear" w:color="auto" w:fill="auto"/>
            <w:noWrap/>
            <w:vAlign w:val="bottom"/>
          </w:tcPr>
          <w:p w14:paraId="62A594DD" w14:textId="77777777" w:rsidR="00AF09AE" w:rsidRPr="004D453A" w:rsidRDefault="00AF09AE" w:rsidP="00AF09AE">
            <w:pPr>
              <w:rPr>
                <w:rFonts w:ascii="Arial" w:hAnsi="Arial" w:cs="Arial"/>
                <w:sz w:val="18"/>
                <w:szCs w:val="18"/>
              </w:rPr>
            </w:pPr>
          </w:p>
        </w:tc>
        <w:tc>
          <w:tcPr>
            <w:tcW w:w="310" w:type="pct"/>
            <w:gridSpan w:val="2"/>
            <w:tcBorders>
              <w:top w:val="nil"/>
              <w:left w:val="nil"/>
              <w:bottom w:val="nil"/>
              <w:right w:val="nil"/>
            </w:tcBorders>
            <w:shd w:val="clear" w:color="auto" w:fill="auto"/>
            <w:noWrap/>
            <w:vAlign w:val="bottom"/>
          </w:tcPr>
          <w:p w14:paraId="054CDE25" w14:textId="77777777" w:rsidR="00AF09AE" w:rsidRPr="004D453A" w:rsidRDefault="00AF09AE" w:rsidP="00AF09AE">
            <w:pPr>
              <w:rPr>
                <w:rFonts w:ascii="Arial" w:hAnsi="Arial" w:cs="Arial"/>
                <w:sz w:val="18"/>
                <w:szCs w:val="18"/>
              </w:rPr>
            </w:pPr>
          </w:p>
        </w:tc>
        <w:tc>
          <w:tcPr>
            <w:tcW w:w="403" w:type="pct"/>
            <w:gridSpan w:val="2"/>
            <w:tcBorders>
              <w:top w:val="nil"/>
              <w:left w:val="nil"/>
              <w:bottom w:val="nil"/>
              <w:right w:val="nil"/>
            </w:tcBorders>
            <w:shd w:val="clear" w:color="000000" w:fill="FFFFFF"/>
            <w:noWrap/>
            <w:vAlign w:val="bottom"/>
          </w:tcPr>
          <w:p w14:paraId="70F2EE95" w14:textId="77777777" w:rsidR="00AF09AE" w:rsidRPr="004D453A" w:rsidRDefault="00AF09AE" w:rsidP="00AF09AE">
            <w:pPr>
              <w:jc w:val="center"/>
              <w:rPr>
                <w:rFonts w:ascii="Arial" w:hAnsi="Arial" w:cs="Arial"/>
                <w:sz w:val="18"/>
                <w:szCs w:val="18"/>
              </w:rPr>
            </w:pPr>
          </w:p>
        </w:tc>
      </w:tr>
      <w:tr w:rsidR="00B810D0" w:rsidRPr="004D453A" w14:paraId="682CB0B7"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4B5C245B" w14:textId="46ACB502"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Takes aspirin or NSAID &lt;</w:t>
            </w:r>
            <w:r w:rsidR="002934D9" w:rsidRPr="004D453A">
              <w:rPr>
                <w:rFonts w:ascii="Arial" w:hAnsi="Arial" w:cs="Arial"/>
                <w:color w:val="000000" w:themeColor="text1"/>
                <w:sz w:val="18"/>
                <w:szCs w:val="18"/>
              </w:rPr>
              <w:t xml:space="preserve"> </w:t>
            </w:r>
            <w:r w:rsidRPr="004D453A">
              <w:rPr>
                <w:rFonts w:ascii="Arial" w:hAnsi="Arial" w:cs="Arial"/>
                <w:color w:val="000000" w:themeColor="text1"/>
                <w:sz w:val="18"/>
                <w:szCs w:val="18"/>
              </w:rPr>
              <w:t>once/wk</w:t>
            </w:r>
          </w:p>
        </w:tc>
        <w:tc>
          <w:tcPr>
            <w:tcW w:w="277" w:type="pct"/>
            <w:gridSpan w:val="2"/>
            <w:tcBorders>
              <w:top w:val="nil"/>
              <w:left w:val="nil"/>
              <w:bottom w:val="nil"/>
              <w:right w:val="nil"/>
            </w:tcBorders>
            <w:shd w:val="clear" w:color="000000" w:fill="FFFFFF"/>
            <w:noWrap/>
            <w:vAlign w:val="bottom"/>
          </w:tcPr>
          <w:p w14:paraId="28EB9638"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493</w:t>
            </w:r>
          </w:p>
        </w:tc>
        <w:tc>
          <w:tcPr>
            <w:tcW w:w="292" w:type="pct"/>
            <w:tcBorders>
              <w:top w:val="nil"/>
              <w:left w:val="nil"/>
              <w:bottom w:val="nil"/>
              <w:right w:val="nil"/>
            </w:tcBorders>
            <w:shd w:val="clear" w:color="000000" w:fill="FFFFFF"/>
            <w:noWrap/>
            <w:vAlign w:val="center"/>
          </w:tcPr>
          <w:p w14:paraId="70EEB00B"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0FE47DB3" w14:textId="2B3FE6BC"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1.23 (0.83</w:t>
            </w:r>
            <w:r w:rsidR="005C4D61" w:rsidRPr="004D453A">
              <w:rPr>
                <w:rFonts w:ascii="Arial" w:hAnsi="Arial" w:cs="Arial"/>
                <w:color w:val="000000"/>
                <w:sz w:val="18"/>
                <w:szCs w:val="18"/>
              </w:rPr>
              <w:t>-</w:t>
            </w:r>
            <w:r w:rsidRPr="004D453A">
              <w:rPr>
                <w:rFonts w:ascii="Arial" w:hAnsi="Arial" w:cs="Arial"/>
                <w:color w:val="000000"/>
                <w:sz w:val="18"/>
                <w:szCs w:val="18"/>
              </w:rPr>
              <w:t>1.83)</w:t>
            </w:r>
          </w:p>
        </w:tc>
        <w:tc>
          <w:tcPr>
            <w:tcW w:w="565" w:type="pct"/>
            <w:tcBorders>
              <w:top w:val="nil"/>
              <w:left w:val="nil"/>
              <w:bottom w:val="nil"/>
              <w:right w:val="nil"/>
            </w:tcBorders>
            <w:shd w:val="clear" w:color="000000" w:fill="FFFFFF"/>
            <w:noWrap/>
            <w:vAlign w:val="bottom"/>
          </w:tcPr>
          <w:p w14:paraId="4BB6FE7D" w14:textId="4D8390B0"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1.56 (1.08</w:t>
            </w:r>
            <w:r w:rsidR="005C4D61" w:rsidRPr="004D453A">
              <w:rPr>
                <w:rFonts w:ascii="Arial" w:hAnsi="Arial" w:cs="Arial"/>
                <w:color w:val="000000"/>
                <w:sz w:val="18"/>
                <w:szCs w:val="18"/>
              </w:rPr>
              <w:t>-</w:t>
            </w:r>
            <w:r w:rsidRPr="004D453A">
              <w:rPr>
                <w:rFonts w:ascii="Arial" w:hAnsi="Arial" w:cs="Arial"/>
                <w:color w:val="000000"/>
                <w:sz w:val="18"/>
                <w:szCs w:val="18"/>
              </w:rPr>
              <w:t>2.26)</w:t>
            </w:r>
          </w:p>
        </w:tc>
        <w:tc>
          <w:tcPr>
            <w:tcW w:w="580" w:type="pct"/>
            <w:tcBorders>
              <w:top w:val="nil"/>
              <w:left w:val="nil"/>
              <w:bottom w:val="nil"/>
              <w:right w:val="nil"/>
            </w:tcBorders>
            <w:shd w:val="clear" w:color="000000" w:fill="FFFFFF"/>
            <w:noWrap/>
            <w:vAlign w:val="bottom"/>
          </w:tcPr>
          <w:p w14:paraId="464DDFAB" w14:textId="4B529A56"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1.86 (1.29</w:t>
            </w:r>
            <w:r w:rsidR="005C4D61" w:rsidRPr="004D453A">
              <w:rPr>
                <w:rFonts w:ascii="Arial" w:hAnsi="Arial" w:cs="Arial"/>
                <w:color w:val="000000"/>
                <w:sz w:val="18"/>
                <w:szCs w:val="18"/>
              </w:rPr>
              <w:t>-</w:t>
            </w:r>
            <w:r w:rsidRPr="004D453A">
              <w:rPr>
                <w:rFonts w:ascii="Arial" w:hAnsi="Arial" w:cs="Arial"/>
                <w:color w:val="000000"/>
                <w:sz w:val="18"/>
                <w:szCs w:val="18"/>
              </w:rPr>
              <w:t>2.68)</w:t>
            </w:r>
          </w:p>
        </w:tc>
        <w:tc>
          <w:tcPr>
            <w:tcW w:w="574" w:type="pct"/>
            <w:gridSpan w:val="2"/>
            <w:tcBorders>
              <w:top w:val="nil"/>
              <w:left w:val="nil"/>
              <w:bottom w:val="nil"/>
              <w:right w:val="nil"/>
            </w:tcBorders>
            <w:shd w:val="clear" w:color="auto" w:fill="auto"/>
            <w:noWrap/>
            <w:vAlign w:val="bottom"/>
          </w:tcPr>
          <w:p w14:paraId="348A904B" w14:textId="3AF7AC62"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2.1</w:t>
            </w:r>
            <w:r w:rsidR="00D92A23" w:rsidRPr="004D453A">
              <w:rPr>
                <w:rFonts w:ascii="Arial" w:hAnsi="Arial" w:cs="Arial"/>
                <w:color w:val="000000"/>
                <w:sz w:val="18"/>
                <w:szCs w:val="18"/>
              </w:rPr>
              <w:t>0</w:t>
            </w:r>
            <w:r w:rsidRPr="004D453A">
              <w:rPr>
                <w:rFonts w:ascii="Arial" w:hAnsi="Arial" w:cs="Arial"/>
                <w:color w:val="000000"/>
                <w:sz w:val="18"/>
                <w:szCs w:val="18"/>
              </w:rPr>
              <w:t xml:space="preserve"> (1.45</w:t>
            </w:r>
            <w:r w:rsidR="005C4D61" w:rsidRPr="004D453A">
              <w:rPr>
                <w:rFonts w:ascii="Arial" w:hAnsi="Arial" w:cs="Arial"/>
                <w:color w:val="000000"/>
                <w:sz w:val="18"/>
                <w:szCs w:val="18"/>
              </w:rPr>
              <w:t>-</w:t>
            </w:r>
            <w:r w:rsidRPr="004D453A">
              <w:rPr>
                <w:rFonts w:ascii="Arial" w:hAnsi="Arial" w:cs="Arial"/>
                <w:color w:val="000000"/>
                <w:sz w:val="18"/>
                <w:szCs w:val="18"/>
              </w:rPr>
              <w:t>3.06)</w:t>
            </w:r>
          </w:p>
        </w:tc>
        <w:tc>
          <w:tcPr>
            <w:tcW w:w="310" w:type="pct"/>
            <w:gridSpan w:val="2"/>
            <w:tcBorders>
              <w:top w:val="nil"/>
              <w:left w:val="nil"/>
              <w:bottom w:val="nil"/>
              <w:right w:val="nil"/>
            </w:tcBorders>
            <w:shd w:val="clear" w:color="auto" w:fill="auto"/>
            <w:noWrap/>
            <w:vAlign w:val="bottom"/>
          </w:tcPr>
          <w:p w14:paraId="42CE59AC"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&lt;0.0001</w:t>
            </w:r>
          </w:p>
        </w:tc>
        <w:tc>
          <w:tcPr>
            <w:tcW w:w="403" w:type="pct"/>
            <w:gridSpan w:val="2"/>
            <w:tcBorders>
              <w:top w:val="nil"/>
              <w:left w:val="nil"/>
              <w:bottom w:val="nil"/>
              <w:right w:val="nil"/>
            </w:tcBorders>
            <w:shd w:val="clear" w:color="auto" w:fill="auto"/>
            <w:noWrap/>
            <w:vAlign w:val="bottom"/>
          </w:tcPr>
          <w:p w14:paraId="0152FFD1" w14:textId="77777777" w:rsidR="00AF09AE" w:rsidRPr="004D453A" w:rsidRDefault="00AF09AE" w:rsidP="00AF09AE">
            <w:pPr>
              <w:jc w:val="center"/>
              <w:rPr>
                <w:rFonts w:ascii="Arial" w:hAnsi="Arial" w:cs="Arial"/>
                <w:color w:val="000000"/>
                <w:sz w:val="18"/>
                <w:szCs w:val="18"/>
              </w:rPr>
            </w:pPr>
          </w:p>
        </w:tc>
      </w:tr>
      <w:tr w:rsidR="00B810D0" w:rsidRPr="004D453A" w14:paraId="27BF10D5"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15845ABD" w14:textId="6A86B15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lastRenderedPageBreak/>
              <w:t>Take</w:t>
            </w:r>
            <w:r w:rsidR="002934D9" w:rsidRPr="004D453A">
              <w:rPr>
                <w:rFonts w:ascii="Arial" w:hAnsi="Arial" w:cs="Arial"/>
                <w:color w:val="000000" w:themeColor="text1"/>
                <w:sz w:val="18"/>
                <w:szCs w:val="18"/>
              </w:rPr>
              <w:t>s</w:t>
            </w:r>
            <w:r w:rsidRPr="004D453A">
              <w:rPr>
                <w:rFonts w:ascii="Arial" w:hAnsi="Arial" w:cs="Arial"/>
                <w:color w:val="000000" w:themeColor="text1"/>
                <w:sz w:val="18"/>
                <w:szCs w:val="18"/>
              </w:rPr>
              <w:t xml:space="preserve"> aspirin or NSAID ≥ once/wk</w:t>
            </w:r>
          </w:p>
        </w:tc>
        <w:tc>
          <w:tcPr>
            <w:tcW w:w="277" w:type="pct"/>
            <w:gridSpan w:val="2"/>
            <w:tcBorders>
              <w:top w:val="nil"/>
              <w:left w:val="nil"/>
              <w:bottom w:val="nil"/>
              <w:right w:val="nil"/>
            </w:tcBorders>
            <w:shd w:val="clear" w:color="000000" w:fill="FFFFFF"/>
            <w:noWrap/>
            <w:vAlign w:val="bottom"/>
          </w:tcPr>
          <w:p w14:paraId="1199C613"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272</w:t>
            </w:r>
          </w:p>
        </w:tc>
        <w:tc>
          <w:tcPr>
            <w:tcW w:w="292" w:type="pct"/>
            <w:tcBorders>
              <w:top w:val="nil"/>
              <w:left w:val="nil"/>
              <w:bottom w:val="nil"/>
              <w:right w:val="nil"/>
            </w:tcBorders>
            <w:shd w:val="clear" w:color="000000" w:fill="FFFFFF"/>
            <w:noWrap/>
            <w:vAlign w:val="center"/>
          </w:tcPr>
          <w:p w14:paraId="53509055"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auto" w:fill="auto"/>
            <w:noWrap/>
            <w:vAlign w:val="bottom"/>
          </w:tcPr>
          <w:p w14:paraId="54BDE704" w14:textId="4A9D0EF5"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0.92 (0.54</w:t>
            </w:r>
            <w:r w:rsidR="005C4D61" w:rsidRPr="004D453A">
              <w:rPr>
                <w:rFonts w:ascii="Arial" w:hAnsi="Arial" w:cs="Arial"/>
                <w:color w:val="000000"/>
                <w:sz w:val="18"/>
                <w:szCs w:val="18"/>
              </w:rPr>
              <w:t>-</w:t>
            </w:r>
            <w:r w:rsidRPr="004D453A">
              <w:rPr>
                <w:rFonts w:ascii="Arial" w:hAnsi="Arial" w:cs="Arial"/>
                <w:color w:val="000000"/>
                <w:sz w:val="18"/>
                <w:szCs w:val="18"/>
              </w:rPr>
              <w:t>1.57)</w:t>
            </w:r>
          </w:p>
        </w:tc>
        <w:tc>
          <w:tcPr>
            <w:tcW w:w="565" w:type="pct"/>
            <w:tcBorders>
              <w:top w:val="nil"/>
              <w:left w:val="nil"/>
              <w:bottom w:val="nil"/>
              <w:right w:val="nil"/>
            </w:tcBorders>
            <w:shd w:val="clear" w:color="auto" w:fill="auto"/>
            <w:noWrap/>
            <w:vAlign w:val="bottom"/>
          </w:tcPr>
          <w:p w14:paraId="14547200" w14:textId="0653A14D"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1.32 (0.81</w:t>
            </w:r>
            <w:r w:rsidR="005C4D61" w:rsidRPr="004D453A">
              <w:rPr>
                <w:rFonts w:ascii="Arial" w:hAnsi="Arial" w:cs="Arial"/>
                <w:color w:val="000000"/>
                <w:sz w:val="18"/>
                <w:szCs w:val="18"/>
              </w:rPr>
              <w:t>-</w:t>
            </w:r>
            <w:r w:rsidRPr="004D453A">
              <w:rPr>
                <w:rFonts w:ascii="Arial" w:hAnsi="Arial" w:cs="Arial"/>
                <w:color w:val="000000"/>
                <w:sz w:val="18"/>
                <w:szCs w:val="18"/>
              </w:rPr>
              <w:t>2.17)</w:t>
            </w:r>
          </w:p>
        </w:tc>
        <w:tc>
          <w:tcPr>
            <w:tcW w:w="580" w:type="pct"/>
            <w:tcBorders>
              <w:top w:val="nil"/>
              <w:left w:val="nil"/>
              <w:bottom w:val="nil"/>
              <w:right w:val="nil"/>
            </w:tcBorders>
            <w:shd w:val="clear" w:color="auto" w:fill="auto"/>
            <w:noWrap/>
            <w:vAlign w:val="bottom"/>
          </w:tcPr>
          <w:p w14:paraId="06A632E9" w14:textId="515FC7B6"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1.16 (0.71</w:t>
            </w:r>
            <w:r w:rsidR="005C4D61" w:rsidRPr="004D453A">
              <w:rPr>
                <w:rFonts w:ascii="Arial" w:hAnsi="Arial" w:cs="Arial"/>
                <w:color w:val="000000"/>
                <w:sz w:val="18"/>
                <w:szCs w:val="18"/>
              </w:rPr>
              <w:t>-</w:t>
            </w:r>
            <w:r w:rsidRPr="004D453A">
              <w:rPr>
                <w:rFonts w:ascii="Arial" w:hAnsi="Arial" w:cs="Arial"/>
                <w:color w:val="000000"/>
                <w:sz w:val="18"/>
                <w:szCs w:val="18"/>
              </w:rPr>
              <w:t>1.91)</w:t>
            </w:r>
          </w:p>
        </w:tc>
        <w:tc>
          <w:tcPr>
            <w:tcW w:w="574" w:type="pct"/>
            <w:gridSpan w:val="2"/>
            <w:tcBorders>
              <w:top w:val="nil"/>
              <w:left w:val="nil"/>
              <w:bottom w:val="nil"/>
              <w:right w:val="nil"/>
            </w:tcBorders>
            <w:shd w:val="clear" w:color="auto" w:fill="auto"/>
            <w:noWrap/>
            <w:vAlign w:val="bottom"/>
          </w:tcPr>
          <w:p w14:paraId="30FBBE02" w14:textId="627D688F"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1.74 (1.09</w:t>
            </w:r>
            <w:r w:rsidR="005C4D61" w:rsidRPr="004D453A">
              <w:rPr>
                <w:rFonts w:ascii="Arial" w:hAnsi="Arial" w:cs="Arial"/>
                <w:color w:val="000000"/>
                <w:sz w:val="18"/>
                <w:szCs w:val="18"/>
              </w:rPr>
              <w:t>-</w:t>
            </w:r>
            <w:r w:rsidRPr="004D453A">
              <w:rPr>
                <w:rFonts w:ascii="Arial" w:hAnsi="Arial" w:cs="Arial"/>
                <w:color w:val="000000"/>
                <w:sz w:val="18"/>
                <w:szCs w:val="18"/>
              </w:rPr>
              <w:t>2.82)</w:t>
            </w:r>
          </w:p>
        </w:tc>
        <w:tc>
          <w:tcPr>
            <w:tcW w:w="310" w:type="pct"/>
            <w:gridSpan w:val="2"/>
            <w:tcBorders>
              <w:top w:val="nil"/>
              <w:left w:val="nil"/>
              <w:bottom w:val="nil"/>
              <w:right w:val="nil"/>
            </w:tcBorders>
            <w:shd w:val="clear" w:color="auto" w:fill="auto"/>
            <w:noWrap/>
            <w:vAlign w:val="bottom"/>
          </w:tcPr>
          <w:p w14:paraId="44B51065"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0.01</w:t>
            </w:r>
          </w:p>
        </w:tc>
        <w:tc>
          <w:tcPr>
            <w:tcW w:w="403" w:type="pct"/>
            <w:gridSpan w:val="2"/>
            <w:tcBorders>
              <w:top w:val="nil"/>
              <w:left w:val="nil"/>
              <w:bottom w:val="nil"/>
              <w:right w:val="nil"/>
            </w:tcBorders>
            <w:shd w:val="clear" w:color="auto" w:fill="auto"/>
            <w:noWrap/>
            <w:vAlign w:val="bottom"/>
          </w:tcPr>
          <w:p w14:paraId="7142B8F9"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0.77</w:t>
            </w:r>
          </w:p>
        </w:tc>
      </w:tr>
      <w:tr w:rsidR="00B810D0" w:rsidRPr="004D453A" w14:paraId="030E9FAE"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67F59644" w14:textId="77777777" w:rsidR="00AF09AE" w:rsidRPr="004D453A" w:rsidRDefault="00AF09AE" w:rsidP="002934D9">
            <w:pPr>
              <w:rPr>
                <w:rFonts w:ascii="Arial" w:hAnsi="Arial" w:cs="Arial"/>
                <w:color w:val="000000" w:themeColor="text1"/>
                <w:sz w:val="18"/>
                <w:szCs w:val="18"/>
                <w:vertAlign w:val="superscript"/>
              </w:rPr>
            </w:pPr>
            <w:r w:rsidRPr="004D453A">
              <w:rPr>
                <w:rFonts w:ascii="Arial" w:hAnsi="Arial" w:cs="Arial"/>
                <w:color w:val="000000" w:themeColor="text1"/>
                <w:sz w:val="18"/>
                <w:szCs w:val="18"/>
              </w:rPr>
              <w:t xml:space="preserve">Family history of </w:t>
            </w:r>
            <w:proofErr w:type="spellStart"/>
            <w:r w:rsidRPr="004D453A">
              <w:rPr>
                <w:rFonts w:ascii="Arial" w:hAnsi="Arial" w:cs="Arial"/>
                <w:color w:val="000000" w:themeColor="text1"/>
                <w:sz w:val="18"/>
                <w:szCs w:val="18"/>
              </w:rPr>
              <w:t>CRC</w:t>
            </w:r>
            <w:r w:rsidRPr="004D453A">
              <w:rPr>
                <w:rFonts w:ascii="Arial" w:hAnsi="Arial" w:cs="Arial"/>
                <w:color w:val="000000" w:themeColor="text1"/>
                <w:sz w:val="18"/>
                <w:szCs w:val="18"/>
                <w:vertAlign w:val="superscript"/>
              </w:rPr>
              <w:t>c</w:t>
            </w:r>
            <w:proofErr w:type="spellEnd"/>
          </w:p>
        </w:tc>
        <w:tc>
          <w:tcPr>
            <w:tcW w:w="277" w:type="pct"/>
            <w:gridSpan w:val="2"/>
            <w:tcBorders>
              <w:top w:val="nil"/>
              <w:left w:val="nil"/>
              <w:bottom w:val="nil"/>
              <w:right w:val="nil"/>
            </w:tcBorders>
            <w:shd w:val="clear" w:color="000000" w:fill="FFFFFF"/>
            <w:noWrap/>
            <w:vAlign w:val="bottom"/>
          </w:tcPr>
          <w:p w14:paraId="53929534" w14:textId="77777777" w:rsidR="00AF09AE" w:rsidRPr="004D453A" w:rsidRDefault="00AF09AE" w:rsidP="00AF09AE">
            <w:pPr>
              <w:jc w:val="center"/>
              <w:rPr>
                <w:rFonts w:ascii="Arial" w:hAnsi="Arial" w:cs="Arial"/>
                <w:color w:val="000000"/>
                <w:sz w:val="18"/>
                <w:szCs w:val="18"/>
              </w:rPr>
            </w:pPr>
          </w:p>
        </w:tc>
        <w:tc>
          <w:tcPr>
            <w:tcW w:w="292" w:type="pct"/>
            <w:tcBorders>
              <w:top w:val="nil"/>
              <w:left w:val="nil"/>
              <w:bottom w:val="nil"/>
              <w:right w:val="nil"/>
            </w:tcBorders>
            <w:shd w:val="clear" w:color="000000" w:fill="FFFFFF"/>
            <w:noWrap/>
            <w:vAlign w:val="center"/>
          </w:tcPr>
          <w:p w14:paraId="3972D850" w14:textId="77777777" w:rsidR="00AF09AE" w:rsidRPr="004D453A" w:rsidRDefault="00AF09AE" w:rsidP="00AF09AE">
            <w:pPr>
              <w:jc w:val="center"/>
              <w:rPr>
                <w:rFonts w:ascii="Arial" w:hAnsi="Arial" w:cs="Arial"/>
                <w:color w:val="000000"/>
                <w:sz w:val="18"/>
                <w:szCs w:val="18"/>
              </w:rPr>
            </w:pPr>
          </w:p>
        </w:tc>
        <w:tc>
          <w:tcPr>
            <w:tcW w:w="564" w:type="pct"/>
            <w:tcBorders>
              <w:top w:val="nil"/>
              <w:left w:val="nil"/>
              <w:bottom w:val="nil"/>
              <w:right w:val="nil"/>
            </w:tcBorders>
            <w:shd w:val="clear" w:color="000000" w:fill="FFFFFF"/>
            <w:noWrap/>
            <w:vAlign w:val="bottom"/>
          </w:tcPr>
          <w:p w14:paraId="05E14889" w14:textId="77777777" w:rsidR="00AF09AE" w:rsidRPr="004D453A" w:rsidRDefault="00AF09AE" w:rsidP="00AF09AE">
            <w:pPr>
              <w:rPr>
                <w:rFonts w:ascii="Arial" w:hAnsi="Arial" w:cs="Arial"/>
                <w:color w:val="000000"/>
                <w:sz w:val="18"/>
                <w:szCs w:val="18"/>
              </w:rPr>
            </w:pPr>
          </w:p>
        </w:tc>
        <w:tc>
          <w:tcPr>
            <w:tcW w:w="565" w:type="pct"/>
            <w:tcBorders>
              <w:top w:val="nil"/>
              <w:left w:val="nil"/>
              <w:bottom w:val="nil"/>
              <w:right w:val="nil"/>
            </w:tcBorders>
            <w:shd w:val="clear" w:color="000000" w:fill="FFFFFF"/>
            <w:noWrap/>
            <w:vAlign w:val="bottom"/>
          </w:tcPr>
          <w:p w14:paraId="2EA87095" w14:textId="77777777" w:rsidR="00AF09AE" w:rsidRPr="004D453A" w:rsidRDefault="00AF09AE" w:rsidP="00AF09AE">
            <w:pPr>
              <w:rPr>
                <w:rFonts w:ascii="Arial" w:hAnsi="Arial" w:cs="Arial"/>
                <w:color w:val="000000"/>
                <w:sz w:val="18"/>
                <w:szCs w:val="18"/>
              </w:rPr>
            </w:pPr>
          </w:p>
        </w:tc>
        <w:tc>
          <w:tcPr>
            <w:tcW w:w="580" w:type="pct"/>
            <w:tcBorders>
              <w:top w:val="nil"/>
              <w:left w:val="nil"/>
              <w:bottom w:val="nil"/>
              <w:right w:val="nil"/>
            </w:tcBorders>
            <w:shd w:val="clear" w:color="000000" w:fill="FFFFFF"/>
            <w:noWrap/>
            <w:vAlign w:val="bottom"/>
          </w:tcPr>
          <w:p w14:paraId="0EF3E28B" w14:textId="77777777" w:rsidR="00AF09AE" w:rsidRPr="004D453A" w:rsidRDefault="00AF09AE" w:rsidP="00AF09AE">
            <w:pPr>
              <w:rPr>
                <w:rFonts w:ascii="Arial" w:hAnsi="Arial" w:cs="Arial"/>
                <w:color w:val="000000"/>
                <w:sz w:val="18"/>
                <w:szCs w:val="18"/>
              </w:rPr>
            </w:pPr>
          </w:p>
        </w:tc>
        <w:tc>
          <w:tcPr>
            <w:tcW w:w="574" w:type="pct"/>
            <w:gridSpan w:val="2"/>
            <w:tcBorders>
              <w:top w:val="nil"/>
              <w:left w:val="nil"/>
              <w:bottom w:val="nil"/>
              <w:right w:val="nil"/>
            </w:tcBorders>
            <w:shd w:val="clear" w:color="auto" w:fill="auto"/>
            <w:noWrap/>
            <w:vAlign w:val="bottom"/>
          </w:tcPr>
          <w:p w14:paraId="3D469CE1" w14:textId="77777777" w:rsidR="00AF09AE" w:rsidRPr="004D453A" w:rsidRDefault="00AF09AE" w:rsidP="00AF09AE">
            <w:pPr>
              <w:rPr>
                <w:rFonts w:ascii="Arial" w:hAnsi="Arial" w:cs="Arial"/>
                <w:color w:val="000000"/>
                <w:sz w:val="18"/>
                <w:szCs w:val="18"/>
              </w:rPr>
            </w:pPr>
          </w:p>
        </w:tc>
        <w:tc>
          <w:tcPr>
            <w:tcW w:w="310" w:type="pct"/>
            <w:gridSpan w:val="2"/>
            <w:tcBorders>
              <w:top w:val="nil"/>
              <w:left w:val="nil"/>
              <w:bottom w:val="nil"/>
              <w:right w:val="nil"/>
            </w:tcBorders>
            <w:shd w:val="clear" w:color="000000" w:fill="FFFFFF"/>
            <w:noWrap/>
            <w:vAlign w:val="bottom"/>
          </w:tcPr>
          <w:p w14:paraId="58FD27EC" w14:textId="77777777" w:rsidR="00AF09AE" w:rsidRPr="004D453A" w:rsidRDefault="00AF09AE" w:rsidP="00AF09AE">
            <w:pPr>
              <w:jc w:val="center"/>
              <w:rPr>
                <w:rFonts w:ascii="Arial" w:hAnsi="Arial" w:cs="Arial"/>
                <w:color w:val="000000"/>
                <w:sz w:val="18"/>
                <w:szCs w:val="18"/>
              </w:rPr>
            </w:pPr>
          </w:p>
        </w:tc>
        <w:tc>
          <w:tcPr>
            <w:tcW w:w="403" w:type="pct"/>
            <w:gridSpan w:val="2"/>
            <w:tcBorders>
              <w:top w:val="nil"/>
              <w:left w:val="nil"/>
              <w:bottom w:val="nil"/>
              <w:right w:val="nil"/>
            </w:tcBorders>
            <w:shd w:val="clear" w:color="000000" w:fill="FFFFFF"/>
            <w:noWrap/>
            <w:vAlign w:val="bottom"/>
          </w:tcPr>
          <w:p w14:paraId="02F16DD1" w14:textId="77777777" w:rsidR="00AF09AE" w:rsidRPr="004D453A" w:rsidRDefault="00AF09AE" w:rsidP="00AF09AE">
            <w:pPr>
              <w:jc w:val="center"/>
              <w:rPr>
                <w:rFonts w:ascii="Arial" w:hAnsi="Arial" w:cs="Arial"/>
                <w:color w:val="000000"/>
                <w:sz w:val="18"/>
                <w:szCs w:val="18"/>
              </w:rPr>
            </w:pPr>
          </w:p>
        </w:tc>
      </w:tr>
      <w:tr w:rsidR="00B810D0" w:rsidRPr="004D453A" w14:paraId="2D0A7322"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631084E4"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No</w:t>
            </w:r>
          </w:p>
        </w:tc>
        <w:tc>
          <w:tcPr>
            <w:tcW w:w="277" w:type="pct"/>
            <w:gridSpan w:val="2"/>
            <w:tcBorders>
              <w:top w:val="nil"/>
              <w:left w:val="nil"/>
              <w:bottom w:val="nil"/>
              <w:right w:val="nil"/>
            </w:tcBorders>
            <w:shd w:val="clear" w:color="000000" w:fill="FFFFFF"/>
            <w:noWrap/>
            <w:vAlign w:val="bottom"/>
          </w:tcPr>
          <w:p w14:paraId="0BC715E3"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635</w:t>
            </w:r>
          </w:p>
        </w:tc>
        <w:tc>
          <w:tcPr>
            <w:tcW w:w="292" w:type="pct"/>
            <w:tcBorders>
              <w:top w:val="nil"/>
              <w:left w:val="nil"/>
              <w:bottom w:val="nil"/>
              <w:right w:val="nil"/>
            </w:tcBorders>
            <w:shd w:val="clear" w:color="000000" w:fill="FFFFFF"/>
            <w:noWrap/>
            <w:vAlign w:val="center"/>
          </w:tcPr>
          <w:p w14:paraId="6F9F6959"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51996AE6" w14:textId="00210ED2"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1.14 (0.81</w:t>
            </w:r>
            <w:r w:rsidR="005C4D61" w:rsidRPr="004D453A">
              <w:rPr>
                <w:rFonts w:ascii="Arial" w:hAnsi="Arial" w:cs="Arial"/>
                <w:color w:val="000000"/>
                <w:sz w:val="18"/>
                <w:szCs w:val="18"/>
              </w:rPr>
              <w:t>-</w:t>
            </w:r>
            <w:r w:rsidRPr="004D453A">
              <w:rPr>
                <w:rFonts w:ascii="Arial" w:hAnsi="Arial" w:cs="Arial"/>
                <w:color w:val="000000"/>
                <w:sz w:val="18"/>
                <w:szCs w:val="18"/>
              </w:rPr>
              <w:t>1.63)</w:t>
            </w:r>
          </w:p>
        </w:tc>
        <w:tc>
          <w:tcPr>
            <w:tcW w:w="565" w:type="pct"/>
            <w:tcBorders>
              <w:top w:val="nil"/>
              <w:left w:val="nil"/>
              <w:bottom w:val="nil"/>
              <w:right w:val="nil"/>
            </w:tcBorders>
            <w:shd w:val="clear" w:color="000000" w:fill="FFFFFF"/>
            <w:noWrap/>
            <w:vAlign w:val="bottom"/>
          </w:tcPr>
          <w:p w14:paraId="05A6E53B" w14:textId="0F422BBD"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1.52 (1.1</w:t>
            </w:r>
            <w:r w:rsidR="00184F9C" w:rsidRPr="004D453A">
              <w:rPr>
                <w:rFonts w:ascii="Arial" w:hAnsi="Arial" w:cs="Arial"/>
                <w:color w:val="000000"/>
                <w:sz w:val="18"/>
                <w:szCs w:val="18"/>
              </w:rPr>
              <w:t>0</w:t>
            </w:r>
            <w:r w:rsidR="005C4D61" w:rsidRPr="004D453A">
              <w:rPr>
                <w:rFonts w:ascii="Arial" w:hAnsi="Arial" w:cs="Arial"/>
                <w:color w:val="000000"/>
                <w:sz w:val="18"/>
                <w:szCs w:val="18"/>
              </w:rPr>
              <w:t>-</w:t>
            </w:r>
            <w:r w:rsidRPr="004D453A">
              <w:rPr>
                <w:rFonts w:ascii="Arial" w:hAnsi="Arial" w:cs="Arial"/>
                <w:color w:val="000000"/>
                <w:sz w:val="18"/>
                <w:szCs w:val="18"/>
              </w:rPr>
              <w:t>2.12)</w:t>
            </w:r>
          </w:p>
        </w:tc>
        <w:tc>
          <w:tcPr>
            <w:tcW w:w="580" w:type="pct"/>
            <w:tcBorders>
              <w:top w:val="nil"/>
              <w:left w:val="nil"/>
              <w:bottom w:val="nil"/>
              <w:right w:val="nil"/>
            </w:tcBorders>
            <w:shd w:val="clear" w:color="000000" w:fill="FFFFFF"/>
            <w:noWrap/>
            <w:vAlign w:val="bottom"/>
          </w:tcPr>
          <w:p w14:paraId="6EB4BC95" w14:textId="7894B3E5"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1.65 (1.2</w:t>
            </w:r>
            <w:r w:rsidR="00184F9C" w:rsidRPr="004D453A">
              <w:rPr>
                <w:rFonts w:ascii="Arial" w:hAnsi="Arial" w:cs="Arial"/>
                <w:color w:val="000000"/>
                <w:sz w:val="18"/>
                <w:szCs w:val="18"/>
              </w:rPr>
              <w:t>0-</w:t>
            </w:r>
            <w:r w:rsidRPr="004D453A">
              <w:rPr>
                <w:rFonts w:ascii="Arial" w:hAnsi="Arial" w:cs="Arial"/>
                <w:color w:val="000000"/>
                <w:sz w:val="18"/>
                <w:szCs w:val="18"/>
              </w:rPr>
              <w:t>2.29)</w:t>
            </w:r>
          </w:p>
        </w:tc>
        <w:tc>
          <w:tcPr>
            <w:tcW w:w="574" w:type="pct"/>
            <w:gridSpan w:val="2"/>
            <w:tcBorders>
              <w:top w:val="nil"/>
              <w:left w:val="nil"/>
              <w:bottom w:val="nil"/>
              <w:right w:val="nil"/>
            </w:tcBorders>
            <w:shd w:val="clear" w:color="auto" w:fill="auto"/>
            <w:noWrap/>
            <w:vAlign w:val="bottom"/>
          </w:tcPr>
          <w:p w14:paraId="26B38A28" w14:textId="7BC65646"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1.99 (1.44</w:t>
            </w:r>
            <w:r w:rsidR="00184F9C" w:rsidRPr="004D453A">
              <w:rPr>
                <w:rFonts w:ascii="Arial" w:hAnsi="Arial" w:cs="Arial"/>
                <w:color w:val="000000"/>
                <w:sz w:val="18"/>
                <w:szCs w:val="18"/>
              </w:rPr>
              <w:t>-</w:t>
            </w:r>
            <w:r w:rsidRPr="004D453A">
              <w:rPr>
                <w:rFonts w:ascii="Arial" w:hAnsi="Arial" w:cs="Arial"/>
                <w:color w:val="000000"/>
                <w:sz w:val="18"/>
                <w:szCs w:val="18"/>
              </w:rPr>
              <w:t>2.75)</w:t>
            </w:r>
          </w:p>
        </w:tc>
        <w:tc>
          <w:tcPr>
            <w:tcW w:w="310" w:type="pct"/>
            <w:gridSpan w:val="2"/>
            <w:tcBorders>
              <w:top w:val="nil"/>
              <w:left w:val="nil"/>
              <w:bottom w:val="nil"/>
              <w:right w:val="nil"/>
            </w:tcBorders>
            <w:shd w:val="clear" w:color="auto" w:fill="auto"/>
            <w:noWrap/>
            <w:vAlign w:val="bottom"/>
          </w:tcPr>
          <w:p w14:paraId="50C7D4E8"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&lt;0.0001</w:t>
            </w:r>
          </w:p>
        </w:tc>
        <w:tc>
          <w:tcPr>
            <w:tcW w:w="403" w:type="pct"/>
            <w:gridSpan w:val="2"/>
            <w:tcBorders>
              <w:top w:val="nil"/>
              <w:left w:val="nil"/>
              <w:bottom w:val="nil"/>
              <w:right w:val="nil"/>
            </w:tcBorders>
            <w:shd w:val="clear" w:color="auto" w:fill="auto"/>
            <w:noWrap/>
            <w:vAlign w:val="bottom"/>
          </w:tcPr>
          <w:p w14:paraId="1D3FA0D9" w14:textId="77777777" w:rsidR="00AF09AE" w:rsidRPr="004D453A" w:rsidRDefault="00AF09AE" w:rsidP="00AF09AE">
            <w:pPr>
              <w:jc w:val="center"/>
              <w:rPr>
                <w:rFonts w:ascii="Arial" w:hAnsi="Arial" w:cs="Arial"/>
                <w:color w:val="000000"/>
                <w:sz w:val="18"/>
                <w:szCs w:val="18"/>
              </w:rPr>
            </w:pPr>
          </w:p>
        </w:tc>
      </w:tr>
      <w:tr w:rsidR="00B810D0" w:rsidRPr="004D453A" w14:paraId="682277AF"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04EFB214"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Yes</w:t>
            </w:r>
          </w:p>
        </w:tc>
        <w:tc>
          <w:tcPr>
            <w:tcW w:w="277" w:type="pct"/>
            <w:gridSpan w:val="2"/>
            <w:tcBorders>
              <w:top w:val="nil"/>
              <w:left w:val="nil"/>
              <w:bottom w:val="nil"/>
              <w:right w:val="nil"/>
            </w:tcBorders>
            <w:shd w:val="clear" w:color="000000" w:fill="FFFFFF"/>
            <w:noWrap/>
            <w:vAlign w:val="bottom"/>
          </w:tcPr>
          <w:p w14:paraId="7A8F4AC1"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130</w:t>
            </w:r>
          </w:p>
        </w:tc>
        <w:tc>
          <w:tcPr>
            <w:tcW w:w="292" w:type="pct"/>
            <w:tcBorders>
              <w:top w:val="nil"/>
              <w:left w:val="nil"/>
              <w:bottom w:val="nil"/>
              <w:right w:val="nil"/>
            </w:tcBorders>
            <w:shd w:val="clear" w:color="000000" w:fill="FFFFFF"/>
            <w:noWrap/>
            <w:vAlign w:val="center"/>
          </w:tcPr>
          <w:p w14:paraId="6633D5BB"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noWrap/>
            <w:vAlign w:val="bottom"/>
          </w:tcPr>
          <w:p w14:paraId="6D9B5E71" w14:textId="02E8B80A"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1.19 (0.56</w:t>
            </w:r>
            <w:r w:rsidR="00184F9C" w:rsidRPr="004D453A">
              <w:rPr>
                <w:rFonts w:ascii="Arial" w:hAnsi="Arial" w:cs="Arial"/>
                <w:color w:val="000000"/>
                <w:sz w:val="18"/>
                <w:szCs w:val="18"/>
              </w:rPr>
              <w:t>-</w:t>
            </w:r>
            <w:r w:rsidRPr="004D453A">
              <w:rPr>
                <w:rFonts w:ascii="Arial" w:hAnsi="Arial" w:cs="Arial"/>
                <w:color w:val="000000"/>
                <w:sz w:val="18"/>
                <w:szCs w:val="18"/>
              </w:rPr>
              <w:t>2.54)</w:t>
            </w:r>
          </w:p>
        </w:tc>
        <w:tc>
          <w:tcPr>
            <w:tcW w:w="565" w:type="pct"/>
            <w:tcBorders>
              <w:top w:val="nil"/>
              <w:left w:val="nil"/>
              <w:bottom w:val="nil"/>
              <w:right w:val="nil"/>
            </w:tcBorders>
            <w:shd w:val="clear" w:color="000000" w:fill="FFFFFF"/>
            <w:noWrap/>
            <w:vAlign w:val="bottom"/>
          </w:tcPr>
          <w:p w14:paraId="7C830A63" w14:textId="34E90DCF"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1.39 (0.71</w:t>
            </w:r>
            <w:r w:rsidR="00184F9C" w:rsidRPr="004D453A">
              <w:rPr>
                <w:rFonts w:ascii="Arial" w:hAnsi="Arial" w:cs="Arial"/>
                <w:color w:val="000000"/>
                <w:sz w:val="18"/>
                <w:szCs w:val="18"/>
              </w:rPr>
              <w:t>-</w:t>
            </w:r>
            <w:r w:rsidRPr="004D453A">
              <w:rPr>
                <w:rFonts w:ascii="Arial" w:hAnsi="Arial" w:cs="Arial"/>
                <w:color w:val="000000"/>
                <w:sz w:val="18"/>
                <w:szCs w:val="18"/>
              </w:rPr>
              <w:t>2.79)</w:t>
            </w:r>
          </w:p>
        </w:tc>
        <w:tc>
          <w:tcPr>
            <w:tcW w:w="580" w:type="pct"/>
            <w:tcBorders>
              <w:top w:val="nil"/>
              <w:left w:val="nil"/>
              <w:bottom w:val="nil"/>
              <w:right w:val="nil"/>
            </w:tcBorders>
            <w:shd w:val="clear" w:color="000000" w:fill="FFFFFF"/>
            <w:noWrap/>
            <w:vAlign w:val="bottom"/>
          </w:tcPr>
          <w:p w14:paraId="4A326330" w14:textId="6BC37E30"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1.35 (0.66</w:t>
            </w:r>
            <w:r w:rsidR="00184F9C" w:rsidRPr="004D453A">
              <w:rPr>
                <w:rFonts w:ascii="Arial" w:hAnsi="Arial" w:cs="Arial"/>
                <w:color w:val="000000"/>
                <w:sz w:val="18"/>
                <w:szCs w:val="18"/>
              </w:rPr>
              <w:t>-</w:t>
            </w:r>
            <w:r w:rsidRPr="004D453A">
              <w:rPr>
                <w:rFonts w:ascii="Arial" w:hAnsi="Arial" w:cs="Arial"/>
                <w:color w:val="000000"/>
                <w:sz w:val="18"/>
                <w:szCs w:val="18"/>
              </w:rPr>
              <w:t>2.8</w:t>
            </w:r>
            <w:r w:rsidR="00184F9C" w:rsidRPr="004D453A">
              <w:rPr>
                <w:rFonts w:ascii="Arial" w:hAnsi="Arial" w:cs="Arial"/>
                <w:color w:val="000000"/>
                <w:sz w:val="18"/>
                <w:szCs w:val="18"/>
              </w:rPr>
              <w:t>0</w:t>
            </w:r>
            <w:r w:rsidRPr="004D453A">
              <w:rPr>
                <w:rFonts w:ascii="Arial" w:hAnsi="Arial" w:cs="Arial"/>
                <w:color w:val="000000"/>
                <w:sz w:val="18"/>
                <w:szCs w:val="18"/>
              </w:rPr>
              <w:t>)</w:t>
            </w:r>
          </w:p>
        </w:tc>
        <w:tc>
          <w:tcPr>
            <w:tcW w:w="574" w:type="pct"/>
            <w:gridSpan w:val="2"/>
            <w:tcBorders>
              <w:top w:val="nil"/>
              <w:left w:val="nil"/>
              <w:bottom w:val="nil"/>
              <w:right w:val="nil"/>
            </w:tcBorders>
            <w:shd w:val="clear" w:color="auto" w:fill="auto"/>
            <w:noWrap/>
            <w:vAlign w:val="bottom"/>
          </w:tcPr>
          <w:p w14:paraId="0A13FF95" w14:textId="45CCECED"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2.06 (1.01</w:t>
            </w:r>
            <w:r w:rsidR="00F17781" w:rsidRPr="004D453A">
              <w:rPr>
                <w:rFonts w:ascii="Arial" w:hAnsi="Arial" w:cs="Arial"/>
                <w:color w:val="000000"/>
                <w:sz w:val="18"/>
                <w:szCs w:val="18"/>
              </w:rPr>
              <w:t>-</w:t>
            </w:r>
            <w:r w:rsidRPr="004D453A">
              <w:rPr>
                <w:rFonts w:ascii="Arial" w:hAnsi="Arial" w:cs="Arial"/>
                <w:color w:val="000000"/>
                <w:sz w:val="18"/>
                <w:szCs w:val="18"/>
              </w:rPr>
              <w:t>4.24)</w:t>
            </w:r>
          </w:p>
        </w:tc>
        <w:tc>
          <w:tcPr>
            <w:tcW w:w="310" w:type="pct"/>
            <w:gridSpan w:val="2"/>
            <w:tcBorders>
              <w:top w:val="nil"/>
              <w:left w:val="nil"/>
              <w:bottom w:val="nil"/>
              <w:right w:val="nil"/>
            </w:tcBorders>
            <w:shd w:val="clear" w:color="auto" w:fill="auto"/>
            <w:noWrap/>
            <w:vAlign w:val="bottom"/>
          </w:tcPr>
          <w:p w14:paraId="3C40B41F"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0.07</w:t>
            </w:r>
          </w:p>
        </w:tc>
        <w:tc>
          <w:tcPr>
            <w:tcW w:w="403" w:type="pct"/>
            <w:gridSpan w:val="2"/>
            <w:tcBorders>
              <w:top w:val="nil"/>
              <w:left w:val="nil"/>
              <w:bottom w:val="nil"/>
              <w:right w:val="nil"/>
            </w:tcBorders>
            <w:shd w:val="clear" w:color="000000" w:fill="FFFFFF"/>
            <w:noWrap/>
            <w:vAlign w:val="bottom"/>
          </w:tcPr>
          <w:p w14:paraId="194ADD8F"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0.99</w:t>
            </w:r>
          </w:p>
        </w:tc>
      </w:tr>
      <w:tr w:rsidR="00B810D0" w:rsidRPr="004D453A" w14:paraId="73FEF2A1"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0D567262" w14:textId="77777777" w:rsidR="00AF09AE" w:rsidRPr="004D453A" w:rsidRDefault="00AF09AE" w:rsidP="002934D9">
            <w:pPr>
              <w:rPr>
                <w:rFonts w:ascii="Arial" w:hAnsi="Arial" w:cs="Arial"/>
                <w:color w:val="000000" w:themeColor="text1"/>
                <w:sz w:val="18"/>
                <w:szCs w:val="18"/>
              </w:rPr>
            </w:pPr>
            <w:r w:rsidRPr="004D453A">
              <w:rPr>
                <w:rFonts w:ascii="Arial" w:hAnsi="Arial" w:cs="Arial"/>
                <w:color w:val="000000" w:themeColor="text1"/>
                <w:sz w:val="18"/>
                <w:szCs w:val="18"/>
              </w:rPr>
              <w:t>Study</w:t>
            </w:r>
          </w:p>
        </w:tc>
        <w:tc>
          <w:tcPr>
            <w:tcW w:w="277" w:type="pct"/>
            <w:gridSpan w:val="2"/>
            <w:tcBorders>
              <w:top w:val="nil"/>
              <w:left w:val="nil"/>
              <w:bottom w:val="nil"/>
              <w:right w:val="nil"/>
            </w:tcBorders>
            <w:shd w:val="clear" w:color="000000" w:fill="FFFFFF"/>
            <w:vAlign w:val="bottom"/>
          </w:tcPr>
          <w:p w14:paraId="486ECC1A" w14:textId="77777777" w:rsidR="00AF09AE" w:rsidRPr="004D453A" w:rsidRDefault="00AF09AE" w:rsidP="00AF09AE">
            <w:pPr>
              <w:jc w:val="center"/>
              <w:rPr>
                <w:rFonts w:ascii="Arial" w:hAnsi="Arial" w:cs="Arial"/>
                <w:color w:val="000000"/>
                <w:sz w:val="18"/>
                <w:szCs w:val="18"/>
              </w:rPr>
            </w:pPr>
          </w:p>
        </w:tc>
        <w:tc>
          <w:tcPr>
            <w:tcW w:w="292" w:type="pct"/>
            <w:tcBorders>
              <w:top w:val="nil"/>
              <w:left w:val="nil"/>
              <w:bottom w:val="nil"/>
              <w:right w:val="nil"/>
            </w:tcBorders>
            <w:shd w:val="clear" w:color="000000" w:fill="FFFFFF"/>
            <w:vAlign w:val="center"/>
          </w:tcPr>
          <w:p w14:paraId="5D98EB9E" w14:textId="77777777" w:rsidR="00AF09AE" w:rsidRPr="004D453A" w:rsidRDefault="00AF09AE" w:rsidP="00AF09AE">
            <w:pPr>
              <w:jc w:val="center"/>
              <w:rPr>
                <w:rFonts w:ascii="Arial" w:hAnsi="Arial" w:cs="Arial"/>
                <w:color w:val="000000"/>
                <w:sz w:val="18"/>
                <w:szCs w:val="18"/>
              </w:rPr>
            </w:pPr>
          </w:p>
        </w:tc>
        <w:tc>
          <w:tcPr>
            <w:tcW w:w="564" w:type="pct"/>
            <w:tcBorders>
              <w:top w:val="nil"/>
              <w:left w:val="nil"/>
              <w:bottom w:val="nil"/>
              <w:right w:val="nil"/>
            </w:tcBorders>
            <w:shd w:val="clear" w:color="000000" w:fill="FFFFFF"/>
            <w:vAlign w:val="bottom"/>
          </w:tcPr>
          <w:p w14:paraId="4E93F4FF" w14:textId="77777777" w:rsidR="00AF09AE" w:rsidRPr="004D453A" w:rsidRDefault="00AF09AE" w:rsidP="00AF09AE">
            <w:pPr>
              <w:jc w:val="center"/>
              <w:rPr>
                <w:rFonts w:ascii="Arial" w:hAnsi="Arial" w:cs="Arial"/>
                <w:color w:val="000000"/>
                <w:sz w:val="18"/>
                <w:szCs w:val="18"/>
              </w:rPr>
            </w:pPr>
          </w:p>
        </w:tc>
        <w:tc>
          <w:tcPr>
            <w:tcW w:w="565" w:type="pct"/>
            <w:tcBorders>
              <w:top w:val="nil"/>
              <w:left w:val="nil"/>
              <w:bottom w:val="nil"/>
              <w:right w:val="nil"/>
            </w:tcBorders>
            <w:shd w:val="clear" w:color="000000" w:fill="FFFFFF"/>
            <w:vAlign w:val="bottom"/>
          </w:tcPr>
          <w:p w14:paraId="1D2ACA5B" w14:textId="77777777" w:rsidR="00AF09AE" w:rsidRPr="004D453A" w:rsidRDefault="00AF09AE" w:rsidP="00AF09AE">
            <w:pPr>
              <w:rPr>
                <w:rFonts w:ascii="Arial" w:hAnsi="Arial" w:cs="Arial"/>
                <w:sz w:val="18"/>
                <w:szCs w:val="18"/>
              </w:rPr>
            </w:pPr>
          </w:p>
        </w:tc>
        <w:tc>
          <w:tcPr>
            <w:tcW w:w="580" w:type="pct"/>
            <w:tcBorders>
              <w:top w:val="nil"/>
              <w:left w:val="nil"/>
              <w:bottom w:val="nil"/>
              <w:right w:val="nil"/>
            </w:tcBorders>
            <w:shd w:val="clear" w:color="000000" w:fill="FFFFFF"/>
            <w:vAlign w:val="bottom"/>
          </w:tcPr>
          <w:p w14:paraId="0DA1D83B" w14:textId="77777777" w:rsidR="00AF09AE" w:rsidRPr="004D453A" w:rsidRDefault="00AF09AE" w:rsidP="00AF09AE">
            <w:pPr>
              <w:rPr>
                <w:rFonts w:ascii="Arial" w:hAnsi="Arial" w:cs="Arial"/>
                <w:sz w:val="18"/>
                <w:szCs w:val="18"/>
              </w:rPr>
            </w:pPr>
          </w:p>
        </w:tc>
        <w:tc>
          <w:tcPr>
            <w:tcW w:w="574" w:type="pct"/>
            <w:gridSpan w:val="2"/>
            <w:tcBorders>
              <w:top w:val="nil"/>
              <w:left w:val="nil"/>
              <w:bottom w:val="nil"/>
              <w:right w:val="nil"/>
            </w:tcBorders>
            <w:shd w:val="clear" w:color="auto" w:fill="auto"/>
            <w:noWrap/>
            <w:vAlign w:val="bottom"/>
          </w:tcPr>
          <w:p w14:paraId="14F11ABD" w14:textId="77777777" w:rsidR="00AF09AE" w:rsidRPr="004D453A" w:rsidRDefault="00AF09AE" w:rsidP="00AF09AE">
            <w:pPr>
              <w:rPr>
                <w:rFonts w:ascii="Arial" w:hAnsi="Arial" w:cs="Arial"/>
                <w:sz w:val="18"/>
                <w:szCs w:val="18"/>
              </w:rPr>
            </w:pPr>
          </w:p>
        </w:tc>
        <w:tc>
          <w:tcPr>
            <w:tcW w:w="310" w:type="pct"/>
            <w:gridSpan w:val="2"/>
            <w:tcBorders>
              <w:top w:val="nil"/>
              <w:left w:val="nil"/>
              <w:bottom w:val="nil"/>
              <w:right w:val="nil"/>
            </w:tcBorders>
            <w:shd w:val="clear" w:color="000000" w:fill="FFFFFF"/>
            <w:vAlign w:val="bottom"/>
          </w:tcPr>
          <w:p w14:paraId="009B8D32" w14:textId="77777777" w:rsidR="00AF09AE" w:rsidRPr="004D453A" w:rsidRDefault="00AF09AE" w:rsidP="00AF09AE">
            <w:pPr>
              <w:rPr>
                <w:rFonts w:ascii="Arial" w:hAnsi="Arial" w:cs="Arial"/>
                <w:sz w:val="18"/>
                <w:szCs w:val="18"/>
              </w:rPr>
            </w:pPr>
          </w:p>
        </w:tc>
        <w:tc>
          <w:tcPr>
            <w:tcW w:w="403" w:type="pct"/>
            <w:gridSpan w:val="2"/>
            <w:tcBorders>
              <w:top w:val="nil"/>
              <w:left w:val="nil"/>
              <w:bottom w:val="nil"/>
              <w:right w:val="nil"/>
            </w:tcBorders>
            <w:shd w:val="clear" w:color="000000" w:fill="FFFFFF"/>
            <w:vAlign w:val="bottom"/>
          </w:tcPr>
          <w:p w14:paraId="6A84640B" w14:textId="77777777" w:rsidR="00AF09AE" w:rsidRPr="004D453A" w:rsidRDefault="00AF09AE" w:rsidP="00AF09AE">
            <w:pPr>
              <w:jc w:val="center"/>
              <w:rPr>
                <w:rFonts w:ascii="Arial" w:hAnsi="Arial" w:cs="Arial"/>
                <w:sz w:val="18"/>
                <w:szCs w:val="18"/>
              </w:rPr>
            </w:pPr>
          </w:p>
        </w:tc>
      </w:tr>
      <w:tr w:rsidR="00B810D0" w:rsidRPr="004D453A" w14:paraId="261F85AC" w14:textId="77777777" w:rsidTr="00FF5112">
        <w:trPr>
          <w:trHeight w:val="20"/>
        </w:trPr>
        <w:tc>
          <w:tcPr>
            <w:tcW w:w="1435" w:type="pct"/>
            <w:gridSpan w:val="2"/>
            <w:tcBorders>
              <w:top w:val="nil"/>
              <w:left w:val="nil"/>
              <w:bottom w:val="nil"/>
              <w:right w:val="nil"/>
            </w:tcBorders>
            <w:shd w:val="clear" w:color="000000" w:fill="FFFFFF"/>
            <w:noWrap/>
            <w:vAlign w:val="center"/>
            <w:hideMark/>
          </w:tcPr>
          <w:p w14:paraId="16AF00BA"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MAP I</w:t>
            </w:r>
          </w:p>
        </w:tc>
        <w:tc>
          <w:tcPr>
            <w:tcW w:w="277" w:type="pct"/>
            <w:gridSpan w:val="2"/>
            <w:tcBorders>
              <w:top w:val="nil"/>
              <w:left w:val="nil"/>
              <w:bottom w:val="nil"/>
              <w:right w:val="nil"/>
            </w:tcBorders>
            <w:shd w:val="clear" w:color="000000" w:fill="FFFFFF"/>
            <w:noWrap/>
            <w:vAlign w:val="bottom"/>
          </w:tcPr>
          <w:p w14:paraId="52BBAB52"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550</w:t>
            </w:r>
          </w:p>
        </w:tc>
        <w:tc>
          <w:tcPr>
            <w:tcW w:w="292" w:type="pct"/>
            <w:tcBorders>
              <w:top w:val="nil"/>
              <w:left w:val="nil"/>
              <w:bottom w:val="nil"/>
              <w:right w:val="nil"/>
            </w:tcBorders>
            <w:shd w:val="clear" w:color="000000" w:fill="FFFFFF"/>
            <w:noWrap/>
            <w:vAlign w:val="center"/>
          </w:tcPr>
          <w:p w14:paraId="04A85B22"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nil"/>
              <w:right w:val="nil"/>
            </w:tcBorders>
            <w:shd w:val="clear" w:color="000000" w:fill="FFFFFF"/>
            <w:vAlign w:val="bottom"/>
          </w:tcPr>
          <w:p w14:paraId="49BCE1DF" w14:textId="61AA12BE"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1.22 (0.85</w:t>
            </w:r>
            <w:r w:rsidR="00F17781" w:rsidRPr="004D453A">
              <w:rPr>
                <w:rFonts w:ascii="Arial" w:hAnsi="Arial" w:cs="Arial"/>
                <w:color w:val="000000"/>
                <w:sz w:val="18"/>
                <w:szCs w:val="18"/>
              </w:rPr>
              <w:t>-</w:t>
            </w:r>
            <w:r w:rsidRPr="004D453A">
              <w:rPr>
                <w:rFonts w:ascii="Arial" w:hAnsi="Arial" w:cs="Arial"/>
                <w:color w:val="000000"/>
                <w:sz w:val="18"/>
                <w:szCs w:val="18"/>
              </w:rPr>
              <w:t>1.75)</w:t>
            </w:r>
          </w:p>
        </w:tc>
        <w:tc>
          <w:tcPr>
            <w:tcW w:w="565" w:type="pct"/>
            <w:tcBorders>
              <w:top w:val="nil"/>
              <w:left w:val="nil"/>
              <w:bottom w:val="nil"/>
              <w:right w:val="nil"/>
            </w:tcBorders>
            <w:shd w:val="clear" w:color="000000" w:fill="FFFFFF"/>
            <w:vAlign w:val="bottom"/>
          </w:tcPr>
          <w:p w14:paraId="6E31FC87" w14:textId="549DEA46"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1.47 (1.04</w:t>
            </w:r>
            <w:r w:rsidR="00F17781" w:rsidRPr="004D453A">
              <w:rPr>
                <w:rFonts w:ascii="Arial" w:hAnsi="Arial" w:cs="Arial"/>
                <w:color w:val="000000"/>
                <w:sz w:val="18"/>
                <w:szCs w:val="18"/>
              </w:rPr>
              <w:t>-</w:t>
            </w:r>
            <w:r w:rsidRPr="004D453A">
              <w:rPr>
                <w:rFonts w:ascii="Arial" w:hAnsi="Arial" w:cs="Arial"/>
                <w:color w:val="000000"/>
                <w:sz w:val="18"/>
                <w:szCs w:val="18"/>
              </w:rPr>
              <w:t>2.07)</w:t>
            </w:r>
          </w:p>
        </w:tc>
        <w:tc>
          <w:tcPr>
            <w:tcW w:w="580" w:type="pct"/>
            <w:tcBorders>
              <w:top w:val="nil"/>
              <w:left w:val="nil"/>
              <w:bottom w:val="nil"/>
              <w:right w:val="nil"/>
            </w:tcBorders>
            <w:shd w:val="clear" w:color="000000" w:fill="FFFFFF"/>
            <w:vAlign w:val="bottom"/>
          </w:tcPr>
          <w:p w14:paraId="0EB1C30D" w14:textId="493164CF"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1.69 (1.22</w:t>
            </w:r>
            <w:r w:rsidR="00F17781" w:rsidRPr="004D453A">
              <w:rPr>
                <w:rFonts w:ascii="Arial" w:hAnsi="Arial" w:cs="Arial"/>
                <w:color w:val="000000"/>
                <w:sz w:val="18"/>
                <w:szCs w:val="18"/>
              </w:rPr>
              <w:t>-</w:t>
            </w:r>
            <w:r w:rsidRPr="004D453A">
              <w:rPr>
                <w:rFonts w:ascii="Arial" w:hAnsi="Arial" w:cs="Arial"/>
                <w:color w:val="000000"/>
                <w:sz w:val="18"/>
                <w:szCs w:val="18"/>
              </w:rPr>
              <w:t>2.36)</w:t>
            </w:r>
          </w:p>
        </w:tc>
        <w:tc>
          <w:tcPr>
            <w:tcW w:w="574" w:type="pct"/>
            <w:gridSpan w:val="2"/>
            <w:tcBorders>
              <w:top w:val="nil"/>
              <w:left w:val="nil"/>
              <w:bottom w:val="nil"/>
              <w:right w:val="nil"/>
            </w:tcBorders>
            <w:shd w:val="clear" w:color="auto" w:fill="auto"/>
            <w:noWrap/>
            <w:vAlign w:val="bottom"/>
          </w:tcPr>
          <w:p w14:paraId="549494E0" w14:textId="06F529D3"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2.01 (1.45</w:t>
            </w:r>
            <w:r w:rsidR="00F17781" w:rsidRPr="004D453A">
              <w:rPr>
                <w:rFonts w:ascii="Arial" w:hAnsi="Arial" w:cs="Arial"/>
                <w:color w:val="000000"/>
                <w:sz w:val="18"/>
                <w:szCs w:val="18"/>
              </w:rPr>
              <w:t>-</w:t>
            </w:r>
            <w:r w:rsidRPr="004D453A">
              <w:rPr>
                <w:rFonts w:ascii="Arial" w:hAnsi="Arial" w:cs="Arial"/>
                <w:color w:val="000000"/>
                <w:sz w:val="18"/>
                <w:szCs w:val="18"/>
              </w:rPr>
              <w:t>2.82)</w:t>
            </w:r>
          </w:p>
        </w:tc>
        <w:tc>
          <w:tcPr>
            <w:tcW w:w="310" w:type="pct"/>
            <w:gridSpan w:val="2"/>
            <w:tcBorders>
              <w:top w:val="nil"/>
              <w:left w:val="nil"/>
              <w:bottom w:val="nil"/>
              <w:right w:val="nil"/>
            </w:tcBorders>
            <w:shd w:val="clear" w:color="auto" w:fill="auto"/>
            <w:noWrap/>
            <w:vAlign w:val="bottom"/>
          </w:tcPr>
          <w:p w14:paraId="63203655"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&lt;0.0001</w:t>
            </w:r>
          </w:p>
        </w:tc>
        <w:tc>
          <w:tcPr>
            <w:tcW w:w="403" w:type="pct"/>
            <w:gridSpan w:val="2"/>
            <w:tcBorders>
              <w:top w:val="nil"/>
              <w:left w:val="nil"/>
              <w:bottom w:val="nil"/>
              <w:right w:val="nil"/>
            </w:tcBorders>
            <w:shd w:val="clear" w:color="000000" w:fill="FFFFFF"/>
            <w:vAlign w:val="bottom"/>
          </w:tcPr>
          <w:p w14:paraId="65D1365D"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1D501700" w14:textId="77777777" w:rsidTr="00FF5112">
        <w:trPr>
          <w:trHeight w:val="94"/>
        </w:trPr>
        <w:tc>
          <w:tcPr>
            <w:tcW w:w="1435" w:type="pct"/>
            <w:gridSpan w:val="2"/>
            <w:tcBorders>
              <w:top w:val="nil"/>
              <w:left w:val="nil"/>
              <w:right w:val="nil"/>
            </w:tcBorders>
            <w:shd w:val="clear" w:color="000000" w:fill="FFFFFF"/>
            <w:noWrap/>
            <w:vAlign w:val="center"/>
            <w:hideMark/>
          </w:tcPr>
          <w:p w14:paraId="2257E2F0"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MAP II</w:t>
            </w:r>
          </w:p>
        </w:tc>
        <w:tc>
          <w:tcPr>
            <w:tcW w:w="277" w:type="pct"/>
            <w:gridSpan w:val="2"/>
            <w:tcBorders>
              <w:top w:val="nil"/>
              <w:left w:val="nil"/>
              <w:right w:val="nil"/>
            </w:tcBorders>
            <w:shd w:val="clear" w:color="000000" w:fill="FFFFFF"/>
            <w:noWrap/>
            <w:vAlign w:val="bottom"/>
          </w:tcPr>
          <w:p w14:paraId="20A9E7A8"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168</w:t>
            </w:r>
          </w:p>
        </w:tc>
        <w:tc>
          <w:tcPr>
            <w:tcW w:w="292" w:type="pct"/>
            <w:tcBorders>
              <w:top w:val="nil"/>
              <w:left w:val="nil"/>
              <w:right w:val="nil"/>
            </w:tcBorders>
            <w:shd w:val="clear" w:color="000000" w:fill="FFFFFF"/>
            <w:noWrap/>
            <w:vAlign w:val="center"/>
          </w:tcPr>
          <w:p w14:paraId="3128E309"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right w:val="nil"/>
            </w:tcBorders>
            <w:shd w:val="clear" w:color="000000" w:fill="FFFFFF"/>
            <w:vAlign w:val="bottom"/>
          </w:tcPr>
          <w:p w14:paraId="089AA34B" w14:textId="06524837"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0.95 (0.42</w:t>
            </w:r>
            <w:r w:rsidR="00F17781" w:rsidRPr="004D453A">
              <w:rPr>
                <w:rFonts w:ascii="Arial" w:hAnsi="Arial" w:cs="Arial"/>
                <w:color w:val="000000"/>
                <w:sz w:val="18"/>
                <w:szCs w:val="18"/>
              </w:rPr>
              <w:t>-</w:t>
            </w:r>
            <w:r w:rsidRPr="004D453A">
              <w:rPr>
                <w:rFonts w:ascii="Arial" w:hAnsi="Arial" w:cs="Arial"/>
                <w:color w:val="000000"/>
                <w:sz w:val="18"/>
                <w:szCs w:val="18"/>
              </w:rPr>
              <w:t>2.13)</w:t>
            </w:r>
          </w:p>
        </w:tc>
        <w:tc>
          <w:tcPr>
            <w:tcW w:w="565" w:type="pct"/>
            <w:tcBorders>
              <w:top w:val="nil"/>
              <w:left w:val="nil"/>
              <w:right w:val="nil"/>
            </w:tcBorders>
            <w:shd w:val="clear" w:color="000000" w:fill="FFFFFF"/>
            <w:vAlign w:val="bottom"/>
          </w:tcPr>
          <w:p w14:paraId="2F77319D" w14:textId="1DA9212D"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1.69 (0.79</w:t>
            </w:r>
            <w:r w:rsidR="00F17781" w:rsidRPr="004D453A">
              <w:rPr>
                <w:rFonts w:ascii="Arial" w:hAnsi="Arial" w:cs="Arial"/>
                <w:color w:val="000000"/>
                <w:sz w:val="18"/>
                <w:szCs w:val="18"/>
              </w:rPr>
              <w:t>-</w:t>
            </w:r>
            <w:r w:rsidRPr="004D453A">
              <w:rPr>
                <w:rFonts w:ascii="Arial" w:hAnsi="Arial" w:cs="Arial"/>
                <w:color w:val="000000"/>
                <w:sz w:val="18"/>
                <w:szCs w:val="18"/>
              </w:rPr>
              <w:t>3.64)</w:t>
            </w:r>
          </w:p>
        </w:tc>
        <w:tc>
          <w:tcPr>
            <w:tcW w:w="580" w:type="pct"/>
            <w:tcBorders>
              <w:top w:val="nil"/>
              <w:left w:val="nil"/>
              <w:right w:val="nil"/>
            </w:tcBorders>
            <w:shd w:val="clear" w:color="000000" w:fill="FFFFFF"/>
            <w:vAlign w:val="bottom"/>
          </w:tcPr>
          <w:p w14:paraId="0AB724D0" w14:textId="7C6A81DA"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1.35 (0.61</w:t>
            </w:r>
            <w:r w:rsidR="00351106" w:rsidRPr="004D453A">
              <w:rPr>
                <w:rFonts w:ascii="Arial" w:hAnsi="Arial" w:cs="Arial"/>
                <w:color w:val="000000"/>
                <w:sz w:val="18"/>
                <w:szCs w:val="18"/>
              </w:rPr>
              <w:t>-</w:t>
            </w:r>
            <w:r w:rsidRPr="004D453A">
              <w:rPr>
                <w:rFonts w:ascii="Arial" w:hAnsi="Arial" w:cs="Arial"/>
                <w:color w:val="000000"/>
                <w:sz w:val="18"/>
                <w:szCs w:val="18"/>
              </w:rPr>
              <w:t>3.04)</w:t>
            </w:r>
          </w:p>
        </w:tc>
        <w:tc>
          <w:tcPr>
            <w:tcW w:w="574" w:type="pct"/>
            <w:gridSpan w:val="2"/>
            <w:tcBorders>
              <w:top w:val="nil"/>
              <w:left w:val="nil"/>
              <w:right w:val="nil"/>
            </w:tcBorders>
            <w:shd w:val="clear" w:color="auto" w:fill="auto"/>
            <w:noWrap/>
            <w:vAlign w:val="bottom"/>
          </w:tcPr>
          <w:p w14:paraId="2F0BEBB2" w14:textId="1D04857A"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2.11 (0.97</w:t>
            </w:r>
            <w:r w:rsidR="00351106" w:rsidRPr="004D453A">
              <w:rPr>
                <w:rFonts w:ascii="Arial" w:hAnsi="Arial" w:cs="Arial"/>
                <w:color w:val="000000"/>
                <w:sz w:val="18"/>
                <w:szCs w:val="18"/>
              </w:rPr>
              <w:t>-</w:t>
            </w:r>
            <w:r w:rsidRPr="004D453A">
              <w:rPr>
                <w:rFonts w:ascii="Arial" w:hAnsi="Arial" w:cs="Arial"/>
                <w:color w:val="000000"/>
                <w:sz w:val="18"/>
                <w:szCs w:val="18"/>
              </w:rPr>
              <w:t>4.68)</w:t>
            </w:r>
          </w:p>
        </w:tc>
        <w:tc>
          <w:tcPr>
            <w:tcW w:w="310" w:type="pct"/>
            <w:gridSpan w:val="2"/>
            <w:tcBorders>
              <w:top w:val="nil"/>
              <w:left w:val="nil"/>
              <w:right w:val="nil"/>
            </w:tcBorders>
            <w:shd w:val="clear" w:color="auto" w:fill="auto"/>
            <w:noWrap/>
            <w:vAlign w:val="bottom"/>
          </w:tcPr>
          <w:p w14:paraId="775DE4FA"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0.03</w:t>
            </w:r>
          </w:p>
        </w:tc>
        <w:tc>
          <w:tcPr>
            <w:tcW w:w="403" w:type="pct"/>
            <w:gridSpan w:val="2"/>
            <w:tcBorders>
              <w:top w:val="nil"/>
              <w:left w:val="nil"/>
              <w:right w:val="nil"/>
            </w:tcBorders>
            <w:shd w:val="clear" w:color="000000" w:fill="FFFFFF"/>
            <w:vAlign w:val="bottom"/>
          </w:tcPr>
          <w:p w14:paraId="68263870"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 </w:t>
            </w:r>
          </w:p>
        </w:tc>
      </w:tr>
      <w:tr w:rsidR="00B810D0" w:rsidRPr="004D453A" w14:paraId="3E9F4FB1" w14:textId="77777777" w:rsidTr="00FF5112">
        <w:trPr>
          <w:trHeight w:val="20"/>
        </w:trPr>
        <w:tc>
          <w:tcPr>
            <w:tcW w:w="1435" w:type="pct"/>
            <w:gridSpan w:val="2"/>
            <w:tcBorders>
              <w:top w:val="nil"/>
              <w:left w:val="nil"/>
              <w:bottom w:val="single" w:sz="2" w:space="0" w:color="auto"/>
              <w:right w:val="nil"/>
            </w:tcBorders>
            <w:shd w:val="clear" w:color="000000" w:fill="FFFFFF"/>
            <w:noWrap/>
            <w:vAlign w:val="center"/>
            <w:hideMark/>
          </w:tcPr>
          <w:p w14:paraId="248F2D93" w14:textId="77777777" w:rsidR="00AF09AE" w:rsidRPr="004D453A" w:rsidRDefault="00AF09AE" w:rsidP="007F6826">
            <w:pPr>
              <w:ind w:firstLine="163"/>
              <w:rPr>
                <w:rFonts w:ascii="Arial" w:hAnsi="Arial" w:cs="Arial"/>
                <w:color w:val="000000" w:themeColor="text1"/>
                <w:sz w:val="18"/>
                <w:szCs w:val="18"/>
              </w:rPr>
            </w:pPr>
            <w:r w:rsidRPr="004D453A">
              <w:rPr>
                <w:rFonts w:ascii="Arial" w:hAnsi="Arial" w:cs="Arial"/>
                <w:color w:val="000000" w:themeColor="text1"/>
                <w:sz w:val="18"/>
                <w:szCs w:val="18"/>
              </w:rPr>
              <w:t>CPRU</w:t>
            </w:r>
          </w:p>
        </w:tc>
        <w:tc>
          <w:tcPr>
            <w:tcW w:w="277" w:type="pct"/>
            <w:gridSpan w:val="2"/>
            <w:tcBorders>
              <w:top w:val="nil"/>
              <w:left w:val="nil"/>
              <w:bottom w:val="single" w:sz="2" w:space="0" w:color="auto"/>
              <w:right w:val="nil"/>
            </w:tcBorders>
            <w:shd w:val="clear" w:color="000000" w:fill="FFFFFF"/>
            <w:noWrap/>
            <w:vAlign w:val="bottom"/>
          </w:tcPr>
          <w:p w14:paraId="23D41A53"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47</w:t>
            </w:r>
          </w:p>
        </w:tc>
        <w:tc>
          <w:tcPr>
            <w:tcW w:w="292" w:type="pct"/>
            <w:tcBorders>
              <w:top w:val="nil"/>
              <w:left w:val="nil"/>
              <w:bottom w:val="single" w:sz="2" w:space="0" w:color="auto"/>
              <w:right w:val="nil"/>
            </w:tcBorders>
            <w:shd w:val="clear" w:color="000000" w:fill="FFFFFF"/>
            <w:noWrap/>
            <w:vAlign w:val="center"/>
          </w:tcPr>
          <w:p w14:paraId="1B02A54A"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c>
          <w:tcPr>
            <w:tcW w:w="564" w:type="pct"/>
            <w:tcBorders>
              <w:top w:val="nil"/>
              <w:left w:val="nil"/>
              <w:bottom w:val="single" w:sz="2" w:space="0" w:color="auto"/>
              <w:right w:val="nil"/>
            </w:tcBorders>
            <w:shd w:val="clear" w:color="000000" w:fill="FFFFFF"/>
            <w:noWrap/>
            <w:vAlign w:val="bottom"/>
          </w:tcPr>
          <w:p w14:paraId="4F8BD821" w14:textId="518167C5"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0.86 (0.21</w:t>
            </w:r>
            <w:r w:rsidR="00351106" w:rsidRPr="004D453A">
              <w:rPr>
                <w:rFonts w:ascii="Arial" w:hAnsi="Arial" w:cs="Arial"/>
                <w:color w:val="000000"/>
                <w:sz w:val="18"/>
                <w:szCs w:val="18"/>
              </w:rPr>
              <w:t>-</w:t>
            </w:r>
            <w:r w:rsidRPr="004D453A">
              <w:rPr>
                <w:rFonts w:ascii="Arial" w:hAnsi="Arial" w:cs="Arial"/>
                <w:color w:val="000000"/>
                <w:sz w:val="18"/>
                <w:szCs w:val="18"/>
              </w:rPr>
              <w:t>3.3</w:t>
            </w:r>
            <w:r w:rsidR="00D92A23" w:rsidRPr="004D453A">
              <w:rPr>
                <w:rFonts w:ascii="Arial" w:hAnsi="Arial" w:cs="Arial"/>
                <w:color w:val="000000"/>
                <w:sz w:val="18"/>
                <w:szCs w:val="18"/>
              </w:rPr>
              <w:t>0</w:t>
            </w:r>
            <w:r w:rsidRPr="004D453A">
              <w:rPr>
                <w:rFonts w:ascii="Arial" w:hAnsi="Arial" w:cs="Arial"/>
                <w:color w:val="000000"/>
                <w:sz w:val="18"/>
                <w:szCs w:val="18"/>
              </w:rPr>
              <w:t>)</w:t>
            </w:r>
          </w:p>
        </w:tc>
        <w:tc>
          <w:tcPr>
            <w:tcW w:w="565" w:type="pct"/>
            <w:tcBorders>
              <w:top w:val="nil"/>
              <w:left w:val="nil"/>
              <w:bottom w:val="single" w:sz="2" w:space="0" w:color="auto"/>
              <w:right w:val="nil"/>
            </w:tcBorders>
            <w:shd w:val="clear" w:color="000000" w:fill="FFFFFF"/>
            <w:noWrap/>
            <w:vAlign w:val="bottom"/>
          </w:tcPr>
          <w:p w14:paraId="42EF586F" w14:textId="6C76D139"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1.5</w:t>
            </w:r>
            <w:r w:rsidR="00D92A23" w:rsidRPr="004D453A">
              <w:rPr>
                <w:rFonts w:ascii="Arial" w:hAnsi="Arial" w:cs="Arial"/>
                <w:color w:val="000000"/>
                <w:sz w:val="18"/>
                <w:szCs w:val="18"/>
              </w:rPr>
              <w:t>0</w:t>
            </w:r>
            <w:r w:rsidRPr="004D453A">
              <w:rPr>
                <w:rFonts w:ascii="Arial" w:hAnsi="Arial" w:cs="Arial"/>
                <w:color w:val="000000"/>
                <w:sz w:val="18"/>
                <w:szCs w:val="18"/>
              </w:rPr>
              <w:t xml:space="preserve"> (0.5</w:t>
            </w:r>
            <w:r w:rsidR="00D92A23" w:rsidRPr="004D453A">
              <w:rPr>
                <w:rFonts w:ascii="Arial" w:hAnsi="Arial" w:cs="Arial"/>
                <w:color w:val="000000"/>
                <w:sz w:val="18"/>
                <w:szCs w:val="18"/>
              </w:rPr>
              <w:t>0</w:t>
            </w:r>
            <w:r w:rsidR="00351106" w:rsidRPr="004D453A">
              <w:rPr>
                <w:rFonts w:ascii="Arial" w:hAnsi="Arial" w:cs="Arial"/>
                <w:color w:val="000000"/>
                <w:sz w:val="18"/>
                <w:szCs w:val="18"/>
              </w:rPr>
              <w:t>-</w:t>
            </w:r>
            <w:r w:rsidRPr="004D453A">
              <w:rPr>
                <w:rFonts w:ascii="Arial" w:hAnsi="Arial" w:cs="Arial"/>
                <w:color w:val="000000"/>
                <w:sz w:val="18"/>
                <w:szCs w:val="18"/>
              </w:rPr>
              <w:t>4.7</w:t>
            </w:r>
            <w:r w:rsidR="00D92A23" w:rsidRPr="004D453A">
              <w:rPr>
                <w:rFonts w:ascii="Arial" w:hAnsi="Arial" w:cs="Arial"/>
                <w:color w:val="000000"/>
                <w:sz w:val="18"/>
                <w:szCs w:val="18"/>
              </w:rPr>
              <w:t>0</w:t>
            </w:r>
            <w:r w:rsidRPr="004D453A">
              <w:rPr>
                <w:rFonts w:ascii="Arial" w:hAnsi="Arial" w:cs="Arial"/>
                <w:color w:val="000000"/>
                <w:sz w:val="18"/>
                <w:szCs w:val="18"/>
              </w:rPr>
              <w:t>)</w:t>
            </w:r>
          </w:p>
        </w:tc>
        <w:tc>
          <w:tcPr>
            <w:tcW w:w="580" w:type="pct"/>
            <w:tcBorders>
              <w:top w:val="nil"/>
              <w:left w:val="nil"/>
              <w:bottom w:val="single" w:sz="2" w:space="0" w:color="auto"/>
              <w:right w:val="nil"/>
            </w:tcBorders>
            <w:shd w:val="clear" w:color="000000" w:fill="FFFFFF"/>
            <w:noWrap/>
            <w:vAlign w:val="bottom"/>
          </w:tcPr>
          <w:p w14:paraId="73206A1F" w14:textId="25455DB0"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1.66 (0.53</w:t>
            </w:r>
            <w:r w:rsidR="00351106" w:rsidRPr="004D453A">
              <w:rPr>
                <w:rFonts w:ascii="Arial" w:hAnsi="Arial" w:cs="Arial"/>
                <w:color w:val="000000"/>
                <w:sz w:val="18"/>
                <w:szCs w:val="18"/>
              </w:rPr>
              <w:t>-</w:t>
            </w:r>
            <w:r w:rsidRPr="004D453A">
              <w:rPr>
                <w:rFonts w:ascii="Arial" w:hAnsi="Arial" w:cs="Arial"/>
                <w:color w:val="000000"/>
                <w:sz w:val="18"/>
                <w:szCs w:val="18"/>
              </w:rPr>
              <w:t>5.41)</w:t>
            </w:r>
          </w:p>
        </w:tc>
        <w:tc>
          <w:tcPr>
            <w:tcW w:w="574" w:type="pct"/>
            <w:gridSpan w:val="2"/>
            <w:tcBorders>
              <w:top w:val="nil"/>
              <w:left w:val="nil"/>
              <w:bottom w:val="single" w:sz="2" w:space="0" w:color="auto"/>
              <w:right w:val="nil"/>
            </w:tcBorders>
            <w:shd w:val="clear" w:color="auto" w:fill="auto"/>
            <w:noWrap/>
            <w:vAlign w:val="bottom"/>
          </w:tcPr>
          <w:p w14:paraId="3D941243" w14:textId="7127E4A7" w:rsidR="00AF09AE" w:rsidRPr="004D453A" w:rsidRDefault="00AF09AE" w:rsidP="00AF09AE">
            <w:pPr>
              <w:rPr>
                <w:rFonts w:ascii="Arial" w:hAnsi="Arial" w:cs="Arial"/>
                <w:color w:val="000000"/>
                <w:sz w:val="18"/>
                <w:szCs w:val="18"/>
              </w:rPr>
            </w:pPr>
            <w:r w:rsidRPr="004D453A">
              <w:rPr>
                <w:rFonts w:ascii="Arial" w:hAnsi="Arial" w:cs="Arial"/>
                <w:color w:val="000000"/>
                <w:sz w:val="18"/>
                <w:szCs w:val="18"/>
              </w:rPr>
              <w:t>1.64 (0.45</w:t>
            </w:r>
            <w:r w:rsidR="00351106" w:rsidRPr="004D453A">
              <w:rPr>
                <w:rFonts w:ascii="Arial" w:hAnsi="Arial" w:cs="Arial"/>
                <w:color w:val="000000"/>
                <w:sz w:val="18"/>
                <w:szCs w:val="18"/>
              </w:rPr>
              <w:t>-</w:t>
            </w:r>
            <w:r w:rsidRPr="004D453A">
              <w:rPr>
                <w:rFonts w:ascii="Arial" w:hAnsi="Arial" w:cs="Arial"/>
                <w:color w:val="000000"/>
                <w:sz w:val="18"/>
                <w:szCs w:val="18"/>
              </w:rPr>
              <w:t>6.09)</w:t>
            </w:r>
          </w:p>
        </w:tc>
        <w:tc>
          <w:tcPr>
            <w:tcW w:w="310" w:type="pct"/>
            <w:gridSpan w:val="2"/>
            <w:tcBorders>
              <w:top w:val="nil"/>
              <w:left w:val="nil"/>
              <w:bottom w:val="single" w:sz="2" w:space="0" w:color="auto"/>
              <w:right w:val="nil"/>
            </w:tcBorders>
            <w:shd w:val="clear" w:color="auto" w:fill="auto"/>
            <w:noWrap/>
            <w:vAlign w:val="bottom"/>
          </w:tcPr>
          <w:p w14:paraId="748D5680"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0.24</w:t>
            </w:r>
          </w:p>
        </w:tc>
        <w:tc>
          <w:tcPr>
            <w:tcW w:w="403" w:type="pct"/>
            <w:gridSpan w:val="2"/>
            <w:tcBorders>
              <w:top w:val="nil"/>
              <w:left w:val="nil"/>
              <w:bottom w:val="single" w:sz="2" w:space="0" w:color="auto"/>
              <w:right w:val="nil"/>
            </w:tcBorders>
            <w:shd w:val="clear" w:color="000000" w:fill="FFFFFF"/>
            <w:noWrap/>
            <w:vAlign w:val="bottom"/>
          </w:tcPr>
          <w:p w14:paraId="6D3C553F" w14:textId="77777777" w:rsidR="00AF09AE" w:rsidRPr="004D453A" w:rsidRDefault="00AF09AE" w:rsidP="00AF09AE">
            <w:pPr>
              <w:jc w:val="center"/>
              <w:rPr>
                <w:rFonts w:ascii="Arial" w:hAnsi="Arial" w:cs="Arial"/>
                <w:color w:val="000000"/>
                <w:sz w:val="18"/>
                <w:szCs w:val="18"/>
              </w:rPr>
            </w:pPr>
            <w:r w:rsidRPr="004D453A">
              <w:rPr>
                <w:rFonts w:ascii="Arial" w:hAnsi="Arial" w:cs="Arial"/>
                <w:color w:val="000000"/>
                <w:sz w:val="18"/>
                <w:szCs w:val="18"/>
              </w:rPr>
              <w:t>1.00</w:t>
            </w:r>
          </w:p>
        </w:tc>
      </w:tr>
    </w:tbl>
    <w:p w14:paraId="43D5D717" w14:textId="77777777" w:rsidR="00766734" w:rsidRPr="004D453A" w:rsidRDefault="00766734" w:rsidP="00766734">
      <w:pPr>
        <w:rPr>
          <w:rFonts w:ascii="Arial" w:hAnsi="Arial" w:cs="Arial"/>
          <w:color w:val="000000" w:themeColor="text1"/>
          <w:sz w:val="20"/>
          <w:szCs w:val="20"/>
        </w:rPr>
      </w:pPr>
      <w:r w:rsidRPr="004D453A">
        <w:rPr>
          <w:rFonts w:ascii="Arial" w:hAnsi="Arial" w:cs="Arial"/>
          <w:color w:val="000000" w:themeColor="text1"/>
          <w:sz w:val="20"/>
          <w:szCs w:val="20"/>
        </w:rPr>
        <w:t>Abbreviations:  BMI, body mass index; CI, confidence interval; CPRU, Cancer Prevention Research Unit; CRC, colorectal cancer; DIS, dietary inflammation score; LIS, lifestyle inflammation score; MAP, Markers of Adenomatous Polyps; MET, metabolic equivalent of task; NSAID, non-steroidal anti-inflammatory drug; OR, odds ratio; ref, referent</w:t>
      </w:r>
    </w:p>
    <w:p w14:paraId="7DA963D2" w14:textId="77777777" w:rsidR="00766734" w:rsidRPr="004D453A" w:rsidRDefault="00766734" w:rsidP="00766734">
      <w:pPr>
        <w:ind w:left="144" w:hanging="144"/>
        <w:rPr>
          <w:rFonts w:ascii="Arial" w:hAnsi="Arial" w:cs="Arial"/>
          <w:color w:val="000000" w:themeColor="text1"/>
          <w:sz w:val="20"/>
          <w:szCs w:val="20"/>
        </w:rPr>
      </w:pPr>
      <w:r w:rsidRPr="004D453A">
        <w:rPr>
          <w:rFonts w:ascii="Arial" w:hAnsi="Arial" w:cs="Arial"/>
          <w:color w:val="000000" w:themeColor="text1"/>
          <w:sz w:val="20"/>
          <w:szCs w:val="20"/>
          <w:vertAlign w:val="superscript"/>
        </w:rPr>
        <w:t>a</w:t>
      </w:r>
      <w:r w:rsidRPr="004D453A">
        <w:rPr>
          <w:rFonts w:ascii="Arial" w:hAnsi="Arial" w:cs="Arial"/>
          <w:color w:val="000000" w:themeColor="text1"/>
          <w:sz w:val="20"/>
          <w:szCs w:val="20"/>
        </w:rPr>
        <w:t xml:space="preserve"> </w:t>
      </w:r>
      <w:r w:rsidRPr="004D453A">
        <w:rPr>
          <w:rFonts w:ascii="Calibri" w:hAnsi="Calibri" w:cs="Calibri"/>
          <w:color w:val="000000" w:themeColor="text1"/>
          <w:sz w:val="20"/>
          <w:szCs w:val="20"/>
        </w:rPr>
        <w:t>﻿</w:t>
      </w:r>
      <w:r w:rsidRPr="004D453A">
        <w:rPr>
          <w:rFonts w:ascii="Arial" w:hAnsi="Arial" w:cs="Arial"/>
          <w:color w:val="000000" w:themeColor="text1"/>
          <w:sz w:val="20"/>
          <w:szCs w:val="20"/>
        </w:rPr>
        <w:t>For inflammation score construction, see text and Table 1; higher scores indicate a higher balance of pro- versus anti-inflammatory exposures</w:t>
      </w:r>
    </w:p>
    <w:p w14:paraId="666760A7" w14:textId="77777777" w:rsidR="00766734" w:rsidRPr="004D453A" w:rsidRDefault="00766734" w:rsidP="00766734">
      <w:pPr>
        <w:ind w:left="144" w:hanging="144"/>
        <w:rPr>
          <w:rFonts w:ascii="Arial" w:hAnsi="Arial" w:cs="Arial"/>
          <w:color w:val="000000" w:themeColor="text1"/>
          <w:sz w:val="20"/>
          <w:szCs w:val="20"/>
        </w:rPr>
      </w:pPr>
      <w:r w:rsidRPr="004D453A">
        <w:rPr>
          <w:rFonts w:ascii="Arial" w:hAnsi="Arial" w:cs="Arial"/>
          <w:color w:val="000000" w:themeColor="text1"/>
          <w:sz w:val="20"/>
          <w:szCs w:val="20"/>
          <w:vertAlign w:val="superscript"/>
        </w:rPr>
        <w:t>b</w:t>
      </w:r>
      <w:r w:rsidRPr="004D453A">
        <w:rPr>
          <w:rFonts w:ascii="Arial" w:hAnsi="Arial" w:cs="Arial"/>
          <w:color w:val="000000" w:themeColor="text1"/>
          <w:sz w:val="20"/>
          <w:szCs w:val="20"/>
        </w:rPr>
        <w:t xml:space="preserve"> Covariates in the DIS unconditional logistic regression models were:  age, sex, education (less than college graduate or college graduate or higher), NSAID/aspirin use (&lt;/≥ once/week), hormone therapy use (among women), family history of colorectal cancer in a first degree relative (yes/no), smoking status (never, former, or current smoker), BMI (kg/m</w:t>
      </w:r>
      <w:r w:rsidRPr="004D453A">
        <w:rPr>
          <w:rFonts w:ascii="Arial" w:hAnsi="Arial" w:cs="Arial"/>
          <w:color w:val="000000" w:themeColor="text1"/>
          <w:sz w:val="20"/>
          <w:szCs w:val="20"/>
          <w:vertAlign w:val="superscript"/>
        </w:rPr>
        <w:t>2</w:t>
      </w:r>
      <w:r w:rsidRPr="004D453A">
        <w:rPr>
          <w:rFonts w:ascii="Arial" w:hAnsi="Arial" w:cs="Arial"/>
          <w:color w:val="000000" w:themeColor="text1"/>
          <w:sz w:val="20"/>
          <w:szCs w:val="20"/>
        </w:rPr>
        <w:t>), alcohol intake (non-drinker, moderate drinker, or heavy drinker), physical activity (categorized into tertiles of MET-hours/wk), total energy intake (kcal/day), and study (MAP I, MAP II, or CPRU)</w:t>
      </w:r>
    </w:p>
    <w:p w14:paraId="26F3E021" w14:textId="77777777" w:rsidR="00766734" w:rsidRPr="004D453A" w:rsidRDefault="00766734" w:rsidP="00766734">
      <w:pPr>
        <w:ind w:left="144" w:hanging="144"/>
        <w:rPr>
          <w:rFonts w:ascii="Arial" w:hAnsi="Arial" w:cs="Arial"/>
          <w:color w:val="000000" w:themeColor="text1"/>
          <w:sz w:val="20"/>
          <w:szCs w:val="20"/>
          <w:vertAlign w:val="superscript"/>
        </w:rPr>
      </w:pPr>
      <w:r w:rsidRPr="004D453A">
        <w:rPr>
          <w:rFonts w:ascii="Arial" w:hAnsi="Arial" w:cs="Arial"/>
          <w:color w:val="000000" w:themeColor="text1"/>
          <w:sz w:val="20"/>
          <w:szCs w:val="20"/>
          <w:vertAlign w:val="superscript"/>
        </w:rPr>
        <w:t>c</w:t>
      </w:r>
      <w:r w:rsidRPr="004D453A">
        <w:rPr>
          <w:rFonts w:ascii="Arial" w:hAnsi="Arial" w:cs="Arial"/>
          <w:color w:val="000000" w:themeColor="text1"/>
          <w:sz w:val="20"/>
          <w:szCs w:val="20"/>
        </w:rPr>
        <w:t xml:space="preserve"> In a first degree relative</w:t>
      </w:r>
    </w:p>
    <w:p w14:paraId="74EA1652" w14:textId="77777777" w:rsidR="00766734" w:rsidRPr="004D453A" w:rsidRDefault="00766734" w:rsidP="00766734">
      <w:pPr>
        <w:ind w:left="144" w:hanging="144"/>
        <w:rPr>
          <w:rFonts w:ascii="Arial" w:hAnsi="Arial" w:cs="Arial"/>
          <w:color w:val="000000" w:themeColor="text1"/>
          <w:sz w:val="20"/>
          <w:szCs w:val="20"/>
        </w:rPr>
      </w:pPr>
      <w:r w:rsidRPr="004D453A">
        <w:rPr>
          <w:rFonts w:ascii="Arial" w:hAnsi="Arial" w:cs="Arial"/>
          <w:color w:val="000000" w:themeColor="text1"/>
          <w:sz w:val="20"/>
          <w:szCs w:val="20"/>
          <w:vertAlign w:val="superscript"/>
        </w:rPr>
        <w:t>d</w:t>
      </w:r>
      <w:r w:rsidRPr="004D453A">
        <w:rPr>
          <w:rFonts w:ascii="Arial" w:hAnsi="Arial" w:cs="Arial"/>
          <w:color w:val="000000" w:themeColor="text1"/>
          <w:sz w:val="20"/>
          <w:szCs w:val="20"/>
        </w:rPr>
        <w:t xml:space="preserve"> Covariates in the LIS unconditional logistic regression models were:  age, sex, NSAID/aspirin use (&lt;/≥ once/week), hormone therapy use (among women), family history of colorectal cancer in a first degree relative (yes/no), former smoking status (non-former smoker or former smoker), total energy intake (kcal/day), study (MAP I, MAP II, or CPRU), and the equally-weighted DIS</w:t>
      </w:r>
    </w:p>
    <w:p w14:paraId="644D6EF9" w14:textId="77777777" w:rsidR="004433F3" w:rsidRPr="004D453A" w:rsidRDefault="004433F3" w:rsidP="004433F3">
      <w:pPr>
        <w:tabs>
          <w:tab w:val="left" w:pos="10019"/>
        </w:tabs>
        <w:rPr>
          <w:rFonts w:ascii="Arial" w:hAnsi="Arial" w:cs="Arial"/>
          <w:b/>
          <w:color w:val="000000" w:themeColor="text1"/>
        </w:rPr>
      </w:pPr>
    </w:p>
    <w:p w14:paraId="09A72565" w14:textId="77777777" w:rsidR="004433F3" w:rsidRPr="004D453A" w:rsidRDefault="004433F3" w:rsidP="004433F3">
      <w:pPr>
        <w:rPr>
          <w:rFonts w:ascii="Arial" w:hAnsi="Arial" w:cs="Arial"/>
          <w:color w:val="000000" w:themeColor="text1"/>
        </w:rPr>
      </w:pPr>
    </w:p>
    <w:p w14:paraId="6C524C7C" w14:textId="77777777" w:rsidR="004433F3" w:rsidRPr="004D453A" w:rsidRDefault="004433F3" w:rsidP="004433F3">
      <w:pPr>
        <w:rPr>
          <w:rFonts w:ascii="Arial" w:hAnsi="Arial" w:cs="Arial"/>
          <w:color w:val="000000" w:themeColor="text1"/>
        </w:rPr>
      </w:pPr>
    </w:p>
    <w:p w14:paraId="2C4D251D" w14:textId="77777777" w:rsidR="004433F3" w:rsidRPr="004D453A" w:rsidRDefault="004433F3" w:rsidP="004433F3">
      <w:pPr>
        <w:rPr>
          <w:rFonts w:ascii="Arial" w:hAnsi="Arial" w:cs="Arial"/>
          <w:color w:val="000000" w:themeColor="text1"/>
        </w:rPr>
      </w:pPr>
    </w:p>
    <w:p w14:paraId="26958AF3" w14:textId="77777777" w:rsidR="004433F3" w:rsidRPr="004D453A" w:rsidRDefault="004433F3" w:rsidP="004433F3">
      <w:pPr>
        <w:rPr>
          <w:rFonts w:ascii="Arial" w:hAnsi="Arial" w:cs="Arial"/>
          <w:color w:val="000000" w:themeColor="text1"/>
        </w:rPr>
      </w:pPr>
    </w:p>
    <w:p w14:paraId="520055B5" w14:textId="77777777" w:rsidR="004433F3" w:rsidRPr="004D453A" w:rsidRDefault="004433F3" w:rsidP="004433F3">
      <w:pPr>
        <w:rPr>
          <w:rFonts w:ascii="Arial" w:hAnsi="Arial" w:cs="Arial"/>
          <w:color w:val="000000" w:themeColor="text1"/>
        </w:rPr>
      </w:pPr>
    </w:p>
    <w:p w14:paraId="71E4DAE4" w14:textId="77777777" w:rsidR="004433F3" w:rsidRPr="004D453A" w:rsidRDefault="004433F3" w:rsidP="004433F3">
      <w:pPr>
        <w:rPr>
          <w:rFonts w:ascii="Arial" w:hAnsi="Arial" w:cs="Arial"/>
          <w:color w:val="000000" w:themeColor="text1"/>
        </w:rPr>
      </w:pPr>
    </w:p>
    <w:p w14:paraId="73AE4A5F" w14:textId="77777777" w:rsidR="004433F3" w:rsidRPr="004D453A" w:rsidRDefault="004433F3" w:rsidP="004433F3">
      <w:pPr>
        <w:rPr>
          <w:rFonts w:ascii="Arial" w:hAnsi="Arial" w:cs="Arial"/>
          <w:color w:val="000000" w:themeColor="text1"/>
        </w:rPr>
      </w:pPr>
    </w:p>
    <w:p w14:paraId="00680DEF" w14:textId="77777777" w:rsidR="004433F3" w:rsidRPr="004D453A" w:rsidRDefault="004433F3" w:rsidP="004433F3">
      <w:pPr>
        <w:rPr>
          <w:rFonts w:ascii="Arial" w:hAnsi="Arial" w:cs="Arial"/>
          <w:color w:val="000000" w:themeColor="text1"/>
        </w:rPr>
      </w:pPr>
    </w:p>
    <w:p w14:paraId="32EB4133" w14:textId="77777777" w:rsidR="004433F3" w:rsidRPr="004D453A" w:rsidRDefault="004433F3" w:rsidP="004433F3">
      <w:pPr>
        <w:rPr>
          <w:rFonts w:ascii="Arial" w:hAnsi="Arial" w:cs="Arial"/>
          <w:color w:val="000000" w:themeColor="text1"/>
        </w:rPr>
      </w:pPr>
    </w:p>
    <w:p w14:paraId="0630FDED" w14:textId="77777777" w:rsidR="004433F3" w:rsidRPr="004D453A" w:rsidRDefault="004433F3" w:rsidP="004433F3">
      <w:pPr>
        <w:rPr>
          <w:rFonts w:ascii="Arial" w:hAnsi="Arial" w:cs="Arial"/>
          <w:color w:val="000000" w:themeColor="text1"/>
        </w:rPr>
      </w:pPr>
    </w:p>
    <w:p w14:paraId="208A1809" w14:textId="77777777" w:rsidR="004433F3" w:rsidRPr="004D453A" w:rsidRDefault="004433F3" w:rsidP="004433F3">
      <w:pPr>
        <w:rPr>
          <w:rFonts w:ascii="Arial" w:hAnsi="Arial" w:cs="Arial"/>
          <w:color w:val="000000" w:themeColor="text1"/>
        </w:rPr>
      </w:pPr>
    </w:p>
    <w:p w14:paraId="6CC8C7D1" w14:textId="77777777" w:rsidR="004433F3" w:rsidRPr="004D453A" w:rsidRDefault="004433F3" w:rsidP="004433F3">
      <w:pPr>
        <w:rPr>
          <w:rFonts w:ascii="Arial" w:hAnsi="Arial" w:cs="Arial"/>
          <w:color w:val="000000" w:themeColor="text1"/>
        </w:rPr>
      </w:pPr>
    </w:p>
    <w:p w14:paraId="6DA67FC1" w14:textId="77777777" w:rsidR="004433F3" w:rsidRPr="004D453A" w:rsidRDefault="004433F3" w:rsidP="004433F3">
      <w:pPr>
        <w:rPr>
          <w:rFonts w:ascii="Arial" w:hAnsi="Arial" w:cs="Arial"/>
          <w:color w:val="000000" w:themeColor="text1"/>
        </w:rPr>
      </w:pPr>
    </w:p>
    <w:p w14:paraId="42605E9B" w14:textId="77777777" w:rsidR="00297419" w:rsidRPr="004D453A" w:rsidRDefault="00297419" w:rsidP="004433F3">
      <w:pPr>
        <w:pStyle w:val="TableofFigures"/>
        <w:rPr>
          <w:rFonts w:ascii="Arial" w:hAnsi="Arial" w:cs="Arial"/>
          <w:b/>
          <w:sz w:val="20"/>
          <w:szCs w:val="20"/>
        </w:rPr>
      </w:pPr>
      <w:bookmarkStart w:id="3" w:name="_Toc532469743"/>
    </w:p>
    <w:p w14:paraId="4FD1D02B" w14:textId="77777777" w:rsidR="00297419" w:rsidRPr="004D453A" w:rsidRDefault="00297419" w:rsidP="004433F3">
      <w:pPr>
        <w:pStyle w:val="TableofFigures"/>
        <w:rPr>
          <w:rFonts w:ascii="Arial" w:hAnsi="Arial" w:cs="Arial"/>
          <w:b/>
          <w:sz w:val="20"/>
          <w:szCs w:val="20"/>
        </w:rPr>
      </w:pPr>
    </w:p>
    <w:bookmarkEnd w:id="3"/>
    <w:p w14:paraId="700214DE" w14:textId="77777777" w:rsidR="004433F3" w:rsidRPr="004D453A" w:rsidRDefault="004433F3" w:rsidP="004433F3">
      <w:pPr>
        <w:rPr>
          <w:rFonts w:ascii="Arial" w:hAnsi="Arial" w:cs="Arial"/>
          <w:color w:val="000000" w:themeColor="text1"/>
        </w:rPr>
      </w:pPr>
    </w:p>
    <w:p w14:paraId="0157849E" w14:textId="77777777" w:rsidR="00B810D0" w:rsidRPr="004D453A" w:rsidRDefault="00B810D0" w:rsidP="00692A77">
      <w:pPr>
        <w:rPr>
          <w:rFonts w:ascii="Arial" w:hAnsi="Arial" w:cs="Arial"/>
          <w:b/>
          <w:sz w:val="20"/>
          <w:szCs w:val="20"/>
        </w:rPr>
        <w:sectPr w:rsidR="00B810D0" w:rsidRPr="004D453A" w:rsidSect="00B810D0">
          <w:pgSz w:w="15840" w:h="12240" w:orient="landscape"/>
          <w:pgMar w:top="1440" w:right="720" w:bottom="1440" w:left="720" w:header="720" w:footer="720" w:gutter="0"/>
          <w:cols w:space="720"/>
          <w:docGrid w:linePitch="360"/>
        </w:sectPr>
      </w:pPr>
      <w:bookmarkStart w:id="4" w:name="_Toc532469745"/>
    </w:p>
    <w:p w14:paraId="52AB87B9" w14:textId="2079F277" w:rsidR="004433F3" w:rsidRPr="004D453A" w:rsidRDefault="00695191" w:rsidP="00692A77">
      <w:pPr>
        <w:rPr>
          <w:rFonts w:ascii="Arial" w:hAnsi="Arial" w:cs="Arial"/>
        </w:rPr>
      </w:pPr>
      <w:r w:rsidRPr="004D453A">
        <w:rPr>
          <w:rFonts w:ascii="Arial" w:hAnsi="Arial" w:cs="Arial"/>
          <w:b/>
          <w:sz w:val="20"/>
          <w:szCs w:val="20"/>
        </w:rPr>
        <w:lastRenderedPageBreak/>
        <w:t>Supplemental Table</w:t>
      </w:r>
      <w:r w:rsidR="004433F3" w:rsidRPr="004D453A">
        <w:rPr>
          <w:rFonts w:ascii="Arial" w:hAnsi="Arial" w:cs="Arial"/>
          <w:b/>
          <w:sz w:val="20"/>
          <w:szCs w:val="20"/>
        </w:rPr>
        <w:t xml:space="preserve"> </w:t>
      </w:r>
      <w:r w:rsidR="00297419" w:rsidRPr="004D453A">
        <w:rPr>
          <w:rFonts w:ascii="Arial" w:hAnsi="Arial" w:cs="Arial"/>
          <w:b/>
          <w:sz w:val="20"/>
          <w:szCs w:val="20"/>
        </w:rPr>
        <w:t>4</w:t>
      </w:r>
      <w:r w:rsidR="004433F3" w:rsidRPr="004D453A">
        <w:rPr>
          <w:rFonts w:ascii="Arial" w:hAnsi="Arial" w:cs="Arial"/>
          <w:b/>
          <w:sz w:val="20"/>
          <w:szCs w:val="20"/>
        </w:rPr>
        <w:t>.</w:t>
      </w:r>
      <w:r w:rsidR="004433F3" w:rsidRPr="004D453A">
        <w:rPr>
          <w:rFonts w:ascii="Arial" w:hAnsi="Arial" w:cs="Arial"/>
          <w:sz w:val="20"/>
          <w:szCs w:val="20"/>
        </w:rPr>
        <w:t xml:space="preserve">  </w:t>
      </w:r>
      <w:r w:rsidR="000573A5" w:rsidRPr="004D453A">
        <w:rPr>
          <w:rFonts w:ascii="Arial" w:hAnsi="Arial" w:cs="Arial"/>
          <w:sz w:val="20"/>
          <w:szCs w:val="20"/>
        </w:rPr>
        <w:t>A</w:t>
      </w:r>
      <w:r w:rsidR="004710CE" w:rsidRPr="004D453A">
        <w:rPr>
          <w:rFonts w:ascii="Arial" w:hAnsi="Arial" w:cs="Arial"/>
          <w:sz w:val="20"/>
          <w:szCs w:val="20"/>
        </w:rPr>
        <w:t xml:space="preserve">djusted </w:t>
      </w:r>
      <w:proofErr w:type="spellStart"/>
      <w:r w:rsidR="004710CE" w:rsidRPr="004D453A">
        <w:rPr>
          <w:rFonts w:ascii="Arial" w:hAnsi="Arial" w:cs="Arial"/>
          <w:sz w:val="20"/>
          <w:szCs w:val="20"/>
        </w:rPr>
        <w:t>a</w:t>
      </w:r>
      <w:r w:rsidR="000573A5" w:rsidRPr="004D453A">
        <w:rPr>
          <w:rFonts w:ascii="Arial" w:hAnsi="Arial" w:cs="Arial"/>
          <w:sz w:val="20"/>
          <w:szCs w:val="20"/>
        </w:rPr>
        <w:t>ssociations</w:t>
      </w:r>
      <w:r w:rsidR="00407285" w:rsidRPr="004D453A">
        <w:rPr>
          <w:rFonts w:ascii="Arial" w:eastAsia="Times New Roman" w:hAnsi="Arial" w:cs="Arial"/>
          <w:color w:val="000000"/>
          <w:sz w:val="20"/>
          <w:szCs w:val="20"/>
          <w:vertAlign w:val="superscript"/>
        </w:rPr>
        <w:t>a</w:t>
      </w:r>
      <w:proofErr w:type="spellEnd"/>
      <w:r w:rsidR="000573A5" w:rsidRPr="004D453A">
        <w:rPr>
          <w:rFonts w:ascii="Arial" w:hAnsi="Arial" w:cs="Arial"/>
          <w:sz w:val="20"/>
          <w:szCs w:val="20"/>
        </w:rPr>
        <w:t xml:space="preserve"> of the </w:t>
      </w:r>
      <w:r w:rsidR="004710CE" w:rsidRPr="004D453A">
        <w:rPr>
          <w:rFonts w:ascii="Arial" w:hAnsi="Arial" w:cs="Arial"/>
          <w:sz w:val="20"/>
          <w:szCs w:val="20"/>
        </w:rPr>
        <w:t xml:space="preserve">Dietary Inflammation </w:t>
      </w:r>
      <w:r w:rsidR="00F31BFA" w:rsidRPr="004D453A">
        <w:rPr>
          <w:rFonts w:ascii="Arial" w:hAnsi="Arial" w:cs="Arial"/>
          <w:sz w:val="20"/>
          <w:szCs w:val="20"/>
        </w:rPr>
        <w:t>S</w:t>
      </w:r>
      <w:r w:rsidR="004710CE" w:rsidRPr="004D453A">
        <w:rPr>
          <w:rFonts w:ascii="Arial" w:hAnsi="Arial" w:cs="Arial"/>
          <w:sz w:val="20"/>
          <w:szCs w:val="20"/>
        </w:rPr>
        <w:t>core (</w:t>
      </w:r>
      <w:r w:rsidR="004433F3" w:rsidRPr="004D453A">
        <w:rPr>
          <w:rFonts w:ascii="Arial" w:hAnsi="Arial" w:cs="Arial"/>
          <w:sz w:val="20"/>
          <w:szCs w:val="20"/>
        </w:rPr>
        <w:t>DIS</w:t>
      </w:r>
      <w:r w:rsidR="004710CE" w:rsidRPr="004D453A">
        <w:rPr>
          <w:rFonts w:ascii="Arial" w:hAnsi="Arial" w:cs="Arial"/>
          <w:sz w:val="20"/>
          <w:szCs w:val="20"/>
        </w:rPr>
        <w:t>)</w:t>
      </w:r>
      <w:r w:rsidR="00407285" w:rsidRPr="004D453A">
        <w:rPr>
          <w:rFonts w:ascii="Arial" w:hAnsi="Arial" w:cs="Arial"/>
          <w:sz w:val="20"/>
          <w:szCs w:val="20"/>
          <w:vertAlign w:val="superscript"/>
        </w:rPr>
        <w:t>b</w:t>
      </w:r>
      <w:r w:rsidR="004433F3" w:rsidRPr="004D453A">
        <w:rPr>
          <w:rFonts w:ascii="Arial" w:hAnsi="Arial" w:cs="Arial"/>
          <w:sz w:val="20"/>
          <w:szCs w:val="20"/>
        </w:rPr>
        <w:t xml:space="preserve"> with incident, sporadic colorectal adenomas in three pooled case-control studies (CPRU Study, 1991</w:t>
      </w:r>
      <w:r w:rsidR="004710CE" w:rsidRPr="004D453A">
        <w:rPr>
          <w:rFonts w:ascii="Arial" w:hAnsi="Arial" w:cs="Arial"/>
          <w:sz w:val="20"/>
          <w:szCs w:val="20"/>
        </w:rPr>
        <w:t xml:space="preserve"> </w:t>
      </w:r>
      <w:r w:rsidR="004433F3" w:rsidRPr="004D453A">
        <w:rPr>
          <w:rFonts w:ascii="Arial" w:hAnsi="Arial" w:cs="Arial"/>
          <w:sz w:val="20"/>
          <w:szCs w:val="20"/>
        </w:rPr>
        <w:t>–</w:t>
      </w:r>
      <w:r w:rsidR="004710CE" w:rsidRPr="004D453A">
        <w:rPr>
          <w:rFonts w:ascii="Arial" w:hAnsi="Arial" w:cs="Arial"/>
          <w:sz w:val="20"/>
          <w:szCs w:val="20"/>
        </w:rPr>
        <w:t xml:space="preserve"> </w:t>
      </w:r>
      <w:r w:rsidR="004433F3" w:rsidRPr="004D453A">
        <w:rPr>
          <w:rFonts w:ascii="Arial" w:hAnsi="Arial" w:cs="Arial"/>
          <w:sz w:val="20"/>
          <w:szCs w:val="20"/>
        </w:rPr>
        <w:t>1994; MAP I Study, 1994</w:t>
      </w:r>
      <w:r w:rsidR="004710CE" w:rsidRPr="004D453A">
        <w:rPr>
          <w:rFonts w:ascii="Arial" w:hAnsi="Arial" w:cs="Arial"/>
          <w:sz w:val="20"/>
          <w:szCs w:val="20"/>
        </w:rPr>
        <w:t xml:space="preserve"> </w:t>
      </w:r>
      <w:r w:rsidR="004433F3" w:rsidRPr="004D453A">
        <w:rPr>
          <w:rFonts w:ascii="Arial" w:hAnsi="Arial" w:cs="Arial"/>
          <w:sz w:val="20"/>
          <w:szCs w:val="20"/>
        </w:rPr>
        <w:t>–</w:t>
      </w:r>
      <w:r w:rsidR="004710CE" w:rsidRPr="004D453A">
        <w:rPr>
          <w:rFonts w:ascii="Arial" w:hAnsi="Arial" w:cs="Arial"/>
          <w:sz w:val="20"/>
          <w:szCs w:val="20"/>
        </w:rPr>
        <w:t xml:space="preserve"> </w:t>
      </w:r>
      <w:r w:rsidR="004433F3" w:rsidRPr="004D453A">
        <w:rPr>
          <w:rFonts w:ascii="Arial" w:hAnsi="Arial" w:cs="Arial"/>
          <w:sz w:val="20"/>
          <w:szCs w:val="20"/>
        </w:rPr>
        <w:t>1997; and MAP II Study, 2002)</w:t>
      </w:r>
      <w:bookmarkEnd w:id="4"/>
      <w:r w:rsidR="000573A5" w:rsidRPr="004D453A">
        <w:rPr>
          <w:rFonts w:ascii="Arial" w:hAnsi="Arial" w:cs="Arial"/>
          <w:sz w:val="20"/>
          <w:szCs w:val="20"/>
        </w:rPr>
        <w:t xml:space="preserve">, with each </w:t>
      </w:r>
      <w:r w:rsidR="00FF6313" w:rsidRPr="004D453A">
        <w:rPr>
          <w:rFonts w:ascii="Arial" w:hAnsi="Arial" w:cs="Arial"/>
          <w:sz w:val="20"/>
          <w:szCs w:val="20"/>
        </w:rPr>
        <w:t xml:space="preserve">DIS </w:t>
      </w:r>
      <w:r w:rsidR="000573A5" w:rsidRPr="004D453A">
        <w:rPr>
          <w:rFonts w:ascii="Arial" w:hAnsi="Arial" w:cs="Arial"/>
          <w:sz w:val="20"/>
          <w:szCs w:val="20"/>
        </w:rPr>
        <w:t xml:space="preserve">component removed </w:t>
      </w:r>
      <w:r w:rsidR="00773BAB" w:rsidRPr="004D453A">
        <w:rPr>
          <w:rFonts w:ascii="Arial" w:hAnsi="Arial" w:cs="Arial"/>
          <w:sz w:val="20"/>
          <w:szCs w:val="20"/>
        </w:rPr>
        <w:t xml:space="preserve">one at a time </w:t>
      </w:r>
      <w:r w:rsidR="00FF6313" w:rsidRPr="004D453A">
        <w:rPr>
          <w:rFonts w:ascii="Arial" w:hAnsi="Arial" w:cs="Arial"/>
          <w:sz w:val="20"/>
          <w:szCs w:val="20"/>
        </w:rPr>
        <w:t>and</w:t>
      </w:r>
      <w:r w:rsidR="00773BAB" w:rsidRPr="004D453A">
        <w:rPr>
          <w:rFonts w:ascii="Arial" w:hAnsi="Arial" w:cs="Arial"/>
          <w:sz w:val="20"/>
          <w:szCs w:val="20"/>
        </w:rPr>
        <w:t xml:space="preserve"> added as a covariate</w:t>
      </w:r>
      <w:r w:rsidR="00FF6313" w:rsidRPr="004D453A">
        <w:rPr>
          <w:rFonts w:ascii="Arial" w:hAnsi="Arial" w:cs="Arial"/>
        </w:rPr>
        <w:t xml:space="preserve"> </w:t>
      </w:r>
    </w:p>
    <w:tbl>
      <w:tblPr>
        <w:tblW w:w="7470" w:type="dxa"/>
        <w:jc w:val="center"/>
        <w:tblLook w:val="04A0" w:firstRow="1" w:lastRow="0" w:firstColumn="1" w:lastColumn="0" w:noHBand="0" w:noVBand="1"/>
      </w:tblPr>
      <w:tblGrid>
        <w:gridCol w:w="3440"/>
        <w:gridCol w:w="1300"/>
        <w:gridCol w:w="2730"/>
      </w:tblGrid>
      <w:tr w:rsidR="00BA3039" w:rsidRPr="004D453A" w14:paraId="71B5C54C" w14:textId="77777777" w:rsidTr="00BA3039">
        <w:trPr>
          <w:trHeight w:val="20"/>
          <w:jc w:val="center"/>
        </w:trPr>
        <w:tc>
          <w:tcPr>
            <w:tcW w:w="3440" w:type="dxa"/>
            <w:tcBorders>
              <w:top w:val="single" w:sz="8" w:space="0" w:color="auto"/>
              <w:left w:val="nil"/>
              <w:bottom w:val="single" w:sz="4" w:space="0" w:color="auto"/>
              <w:right w:val="nil"/>
            </w:tcBorders>
            <w:shd w:val="clear" w:color="auto" w:fill="auto"/>
            <w:noWrap/>
            <w:vAlign w:val="center"/>
            <w:hideMark/>
          </w:tcPr>
          <w:p w14:paraId="1982A53E" w14:textId="6ECABF7B" w:rsidR="00BA3039" w:rsidRPr="004D453A" w:rsidRDefault="00BA3039" w:rsidP="00BA3039">
            <w:pP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DIS component removed</w:t>
            </w:r>
            <w:r w:rsidR="00FB45BC" w:rsidRPr="004D453A">
              <w:rPr>
                <w:rFonts w:ascii="Arial" w:eastAsia="Times New Roman" w:hAnsi="Arial" w:cs="Arial"/>
                <w:b/>
                <w:bCs/>
                <w:color w:val="000000"/>
                <w:sz w:val="20"/>
                <w:szCs w:val="20"/>
              </w:rPr>
              <w:t>/reduced DIS quintiles</w:t>
            </w:r>
          </w:p>
        </w:tc>
        <w:tc>
          <w:tcPr>
            <w:tcW w:w="1300" w:type="dxa"/>
            <w:tcBorders>
              <w:top w:val="single" w:sz="8" w:space="0" w:color="auto"/>
              <w:left w:val="nil"/>
              <w:bottom w:val="single" w:sz="8" w:space="0" w:color="auto"/>
              <w:right w:val="nil"/>
            </w:tcBorders>
            <w:shd w:val="clear" w:color="auto" w:fill="auto"/>
            <w:noWrap/>
            <w:vAlign w:val="center"/>
            <w:hideMark/>
          </w:tcPr>
          <w:p w14:paraId="4409F79E" w14:textId="27C05FE9" w:rsidR="00BA3039" w:rsidRPr="004D453A" w:rsidRDefault="00BA3039" w:rsidP="00BA3039">
            <w:pPr>
              <w:jc w:val="cente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N cases</w:t>
            </w:r>
          </w:p>
        </w:tc>
        <w:tc>
          <w:tcPr>
            <w:tcW w:w="2730" w:type="dxa"/>
            <w:tcBorders>
              <w:top w:val="single" w:sz="8" w:space="0" w:color="auto"/>
              <w:left w:val="nil"/>
              <w:bottom w:val="single" w:sz="8" w:space="0" w:color="auto"/>
              <w:right w:val="nil"/>
            </w:tcBorders>
            <w:shd w:val="clear" w:color="000000" w:fill="FFFFFF"/>
            <w:vAlign w:val="center"/>
            <w:hideMark/>
          </w:tcPr>
          <w:p w14:paraId="4D6D35CD" w14:textId="2FB41AF1" w:rsidR="00BA3039" w:rsidRPr="004D453A" w:rsidRDefault="00BA3039" w:rsidP="00BA3039">
            <w:pPr>
              <w:jc w:val="cente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Adjusted OR (95% CI)</w:t>
            </w:r>
          </w:p>
        </w:tc>
      </w:tr>
      <w:tr w:rsidR="00BA3039" w:rsidRPr="004D453A" w14:paraId="46941AE6" w14:textId="77777777" w:rsidTr="00BA3039">
        <w:trPr>
          <w:trHeight w:val="20"/>
          <w:jc w:val="center"/>
        </w:trPr>
        <w:tc>
          <w:tcPr>
            <w:tcW w:w="3440" w:type="dxa"/>
            <w:tcBorders>
              <w:top w:val="single" w:sz="4" w:space="0" w:color="auto"/>
              <w:left w:val="nil"/>
              <w:bottom w:val="nil"/>
              <w:right w:val="nil"/>
            </w:tcBorders>
            <w:shd w:val="clear" w:color="auto" w:fill="auto"/>
            <w:noWrap/>
            <w:vAlign w:val="center"/>
            <w:hideMark/>
          </w:tcPr>
          <w:p w14:paraId="655EEDEB" w14:textId="77777777" w:rsidR="00BA3039" w:rsidRPr="004D453A" w:rsidRDefault="00BA3039" w:rsidP="00BA3039">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Leafy greens</w:t>
            </w:r>
          </w:p>
        </w:tc>
        <w:tc>
          <w:tcPr>
            <w:tcW w:w="1300" w:type="dxa"/>
            <w:tcBorders>
              <w:top w:val="nil"/>
              <w:left w:val="nil"/>
              <w:bottom w:val="nil"/>
              <w:right w:val="nil"/>
            </w:tcBorders>
            <w:shd w:val="clear" w:color="auto" w:fill="auto"/>
            <w:noWrap/>
            <w:vAlign w:val="bottom"/>
            <w:hideMark/>
          </w:tcPr>
          <w:p w14:paraId="05DA2D36" w14:textId="77777777" w:rsidR="00BA3039" w:rsidRPr="004D453A" w:rsidRDefault="00BA3039" w:rsidP="00BA3039">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1E05261E" w14:textId="77777777" w:rsidR="00BA3039" w:rsidRPr="004D453A" w:rsidRDefault="00BA3039" w:rsidP="00BA3039">
            <w:pPr>
              <w:rPr>
                <w:rFonts w:ascii="Times New Roman" w:eastAsia="Times New Roman" w:hAnsi="Times New Roman" w:cs="Times New Roman"/>
                <w:sz w:val="20"/>
                <w:szCs w:val="20"/>
              </w:rPr>
            </w:pPr>
          </w:p>
        </w:tc>
      </w:tr>
      <w:tr w:rsidR="007C20A0" w:rsidRPr="004D453A" w14:paraId="31B90DB3" w14:textId="77777777" w:rsidTr="007C20A0">
        <w:trPr>
          <w:trHeight w:val="20"/>
          <w:jc w:val="center"/>
        </w:trPr>
        <w:tc>
          <w:tcPr>
            <w:tcW w:w="3440" w:type="dxa"/>
            <w:tcBorders>
              <w:top w:val="nil"/>
              <w:left w:val="nil"/>
              <w:bottom w:val="nil"/>
              <w:right w:val="nil"/>
            </w:tcBorders>
            <w:shd w:val="clear" w:color="auto" w:fill="auto"/>
            <w:noWrap/>
            <w:vAlign w:val="center"/>
            <w:hideMark/>
          </w:tcPr>
          <w:p w14:paraId="3AD8C6C4" w14:textId="77777777" w:rsidR="007C20A0" w:rsidRPr="004D453A" w:rsidRDefault="007C20A0" w:rsidP="007C20A0">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294E258C" w14:textId="5EE7C275" w:rsidR="007C20A0" w:rsidRPr="004D453A" w:rsidRDefault="007C20A0" w:rsidP="007C20A0">
            <w:pPr>
              <w:jc w:val="center"/>
              <w:rPr>
                <w:rFonts w:ascii="Arial" w:eastAsia="Times New Roman" w:hAnsi="Arial" w:cs="Arial"/>
                <w:color w:val="000000"/>
                <w:sz w:val="20"/>
                <w:szCs w:val="20"/>
              </w:rPr>
            </w:pPr>
            <w:r w:rsidRPr="004D453A">
              <w:rPr>
                <w:rFonts w:ascii="Arial" w:hAnsi="Arial" w:cs="Arial"/>
                <w:color w:val="000000"/>
                <w:sz w:val="20"/>
                <w:szCs w:val="20"/>
              </w:rPr>
              <w:t>126</w:t>
            </w:r>
          </w:p>
        </w:tc>
        <w:tc>
          <w:tcPr>
            <w:tcW w:w="2730" w:type="dxa"/>
            <w:tcBorders>
              <w:top w:val="nil"/>
              <w:left w:val="nil"/>
              <w:bottom w:val="nil"/>
              <w:right w:val="nil"/>
            </w:tcBorders>
            <w:shd w:val="clear" w:color="auto" w:fill="auto"/>
            <w:noWrap/>
            <w:vAlign w:val="bottom"/>
            <w:hideMark/>
          </w:tcPr>
          <w:p w14:paraId="36032541" w14:textId="5736A73B" w:rsidR="007C20A0" w:rsidRPr="004D453A" w:rsidRDefault="007C20A0" w:rsidP="007C20A0">
            <w:pPr>
              <w:jc w:val="center"/>
              <w:rPr>
                <w:rFonts w:ascii="Arial" w:hAnsi="Arial" w:cs="Arial"/>
                <w:color w:val="000000"/>
                <w:sz w:val="20"/>
                <w:szCs w:val="20"/>
              </w:rPr>
            </w:pPr>
            <w:r w:rsidRPr="004D453A">
              <w:rPr>
                <w:rFonts w:ascii="Arial" w:hAnsi="Arial" w:cs="Arial"/>
                <w:color w:val="000000"/>
                <w:sz w:val="20"/>
                <w:szCs w:val="20"/>
              </w:rPr>
              <w:t>1.00</w:t>
            </w:r>
          </w:p>
        </w:tc>
      </w:tr>
      <w:tr w:rsidR="007C20A0" w:rsidRPr="004D453A" w14:paraId="2345C53C" w14:textId="77777777" w:rsidTr="007C20A0">
        <w:trPr>
          <w:trHeight w:val="20"/>
          <w:jc w:val="center"/>
        </w:trPr>
        <w:tc>
          <w:tcPr>
            <w:tcW w:w="3440" w:type="dxa"/>
            <w:tcBorders>
              <w:top w:val="nil"/>
              <w:left w:val="nil"/>
              <w:bottom w:val="nil"/>
              <w:right w:val="nil"/>
            </w:tcBorders>
            <w:shd w:val="clear" w:color="auto" w:fill="auto"/>
            <w:noWrap/>
            <w:vAlign w:val="center"/>
            <w:hideMark/>
          </w:tcPr>
          <w:p w14:paraId="234F52C3" w14:textId="77777777" w:rsidR="007C20A0" w:rsidRPr="004D453A" w:rsidRDefault="007C20A0" w:rsidP="007C20A0">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3526C84D" w14:textId="66BA5F91" w:rsidR="007C20A0" w:rsidRPr="004D453A" w:rsidRDefault="007C20A0" w:rsidP="007C20A0">
            <w:pPr>
              <w:jc w:val="center"/>
              <w:rPr>
                <w:rFonts w:ascii="Arial" w:eastAsia="Times New Roman" w:hAnsi="Arial" w:cs="Arial"/>
                <w:color w:val="000000"/>
                <w:sz w:val="20"/>
                <w:szCs w:val="20"/>
              </w:rPr>
            </w:pPr>
            <w:r w:rsidRPr="004D453A">
              <w:rPr>
                <w:rFonts w:ascii="Arial" w:hAnsi="Arial" w:cs="Arial"/>
                <w:color w:val="000000"/>
                <w:sz w:val="20"/>
                <w:szCs w:val="20"/>
              </w:rPr>
              <w:t>161</w:t>
            </w:r>
          </w:p>
        </w:tc>
        <w:tc>
          <w:tcPr>
            <w:tcW w:w="2730" w:type="dxa"/>
            <w:tcBorders>
              <w:top w:val="nil"/>
              <w:left w:val="nil"/>
              <w:bottom w:val="nil"/>
              <w:right w:val="nil"/>
            </w:tcBorders>
            <w:shd w:val="clear" w:color="auto" w:fill="auto"/>
            <w:noWrap/>
            <w:vAlign w:val="bottom"/>
            <w:hideMark/>
          </w:tcPr>
          <w:p w14:paraId="2BDEF410" w14:textId="08D80C58" w:rsidR="007C20A0" w:rsidRPr="004D453A" w:rsidRDefault="007C20A0" w:rsidP="007C20A0">
            <w:pPr>
              <w:jc w:val="center"/>
              <w:rPr>
                <w:rFonts w:ascii="Arial" w:hAnsi="Arial" w:cs="Arial"/>
                <w:color w:val="000000"/>
                <w:sz w:val="20"/>
                <w:szCs w:val="20"/>
              </w:rPr>
            </w:pPr>
            <w:r w:rsidRPr="004D453A">
              <w:rPr>
                <w:rFonts w:ascii="Arial" w:hAnsi="Arial" w:cs="Arial"/>
                <w:color w:val="000000"/>
                <w:sz w:val="20"/>
                <w:szCs w:val="20"/>
              </w:rPr>
              <w:t>1.22 (0.91</w:t>
            </w:r>
            <w:r w:rsidR="005B0C26" w:rsidRPr="004D453A">
              <w:rPr>
                <w:rFonts w:ascii="Arial" w:hAnsi="Arial" w:cs="Arial"/>
                <w:color w:val="000000"/>
                <w:sz w:val="20"/>
                <w:szCs w:val="20"/>
              </w:rPr>
              <w:t>-</w:t>
            </w:r>
            <w:r w:rsidRPr="004D453A">
              <w:rPr>
                <w:rFonts w:ascii="Arial" w:hAnsi="Arial" w:cs="Arial"/>
                <w:color w:val="000000"/>
                <w:sz w:val="20"/>
                <w:szCs w:val="20"/>
              </w:rPr>
              <w:t>1.63)</w:t>
            </w:r>
          </w:p>
        </w:tc>
      </w:tr>
      <w:tr w:rsidR="007C20A0" w:rsidRPr="004D453A" w14:paraId="7845CB39" w14:textId="77777777" w:rsidTr="007C20A0">
        <w:trPr>
          <w:trHeight w:val="20"/>
          <w:jc w:val="center"/>
        </w:trPr>
        <w:tc>
          <w:tcPr>
            <w:tcW w:w="3440" w:type="dxa"/>
            <w:tcBorders>
              <w:top w:val="nil"/>
              <w:left w:val="nil"/>
              <w:bottom w:val="nil"/>
              <w:right w:val="nil"/>
            </w:tcBorders>
            <w:shd w:val="clear" w:color="auto" w:fill="auto"/>
            <w:noWrap/>
            <w:vAlign w:val="center"/>
            <w:hideMark/>
          </w:tcPr>
          <w:p w14:paraId="46AC43D9" w14:textId="77777777" w:rsidR="007C20A0" w:rsidRPr="004D453A" w:rsidRDefault="007C20A0" w:rsidP="007C20A0">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59B3A662" w14:textId="3E9AE106" w:rsidR="007C20A0" w:rsidRPr="004D453A" w:rsidRDefault="007C20A0" w:rsidP="007C20A0">
            <w:pPr>
              <w:jc w:val="center"/>
              <w:rPr>
                <w:rFonts w:ascii="Arial" w:eastAsia="Times New Roman" w:hAnsi="Arial" w:cs="Arial"/>
                <w:color w:val="000000"/>
                <w:sz w:val="20"/>
                <w:szCs w:val="20"/>
              </w:rPr>
            </w:pPr>
            <w:r w:rsidRPr="004D453A">
              <w:rPr>
                <w:rFonts w:ascii="Arial" w:hAnsi="Arial" w:cs="Arial"/>
                <w:color w:val="000000"/>
                <w:sz w:val="20"/>
                <w:szCs w:val="20"/>
              </w:rPr>
              <w:t>145</w:t>
            </w:r>
          </w:p>
        </w:tc>
        <w:tc>
          <w:tcPr>
            <w:tcW w:w="2730" w:type="dxa"/>
            <w:tcBorders>
              <w:top w:val="nil"/>
              <w:left w:val="nil"/>
              <w:bottom w:val="nil"/>
              <w:right w:val="nil"/>
            </w:tcBorders>
            <w:shd w:val="clear" w:color="auto" w:fill="auto"/>
            <w:noWrap/>
            <w:vAlign w:val="bottom"/>
            <w:hideMark/>
          </w:tcPr>
          <w:p w14:paraId="5C02F38A" w14:textId="635E4F8D" w:rsidR="007C20A0" w:rsidRPr="004D453A" w:rsidRDefault="007C20A0" w:rsidP="007C20A0">
            <w:pPr>
              <w:jc w:val="center"/>
              <w:rPr>
                <w:rFonts w:ascii="Arial" w:hAnsi="Arial" w:cs="Arial"/>
                <w:color w:val="000000"/>
                <w:sz w:val="20"/>
                <w:szCs w:val="20"/>
              </w:rPr>
            </w:pPr>
            <w:r w:rsidRPr="004D453A">
              <w:rPr>
                <w:rFonts w:ascii="Arial" w:hAnsi="Arial" w:cs="Arial"/>
                <w:color w:val="000000"/>
                <w:sz w:val="20"/>
                <w:szCs w:val="20"/>
              </w:rPr>
              <w:t>1.09 (0.8</w:t>
            </w:r>
            <w:r w:rsidR="00605CB2" w:rsidRPr="004D453A">
              <w:rPr>
                <w:rFonts w:ascii="Arial" w:hAnsi="Arial" w:cs="Arial"/>
                <w:color w:val="000000"/>
                <w:sz w:val="20"/>
                <w:szCs w:val="20"/>
              </w:rPr>
              <w:t>0</w:t>
            </w:r>
            <w:r w:rsidR="005B0C26" w:rsidRPr="004D453A">
              <w:rPr>
                <w:rFonts w:ascii="Arial" w:hAnsi="Arial" w:cs="Arial"/>
                <w:color w:val="000000"/>
                <w:sz w:val="20"/>
                <w:szCs w:val="20"/>
              </w:rPr>
              <w:t>-</w:t>
            </w:r>
            <w:r w:rsidRPr="004D453A">
              <w:rPr>
                <w:rFonts w:ascii="Arial" w:hAnsi="Arial" w:cs="Arial"/>
                <w:color w:val="000000"/>
                <w:sz w:val="20"/>
                <w:szCs w:val="20"/>
              </w:rPr>
              <w:t>1.48)</w:t>
            </w:r>
          </w:p>
        </w:tc>
      </w:tr>
      <w:tr w:rsidR="007C20A0" w:rsidRPr="004D453A" w14:paraId="4FCE6688" w14:textId="77777777" w:rsidTr="007C20A0">
        <w:trPr>
          <w:trHeight w:val="20"/>
          <w:jc w:val="center"/>
        </w:trPr>
        <w:tc>
          <w:tcPr>
            <w:tcW w:w="3440" w:type="dxa"/>
            <w:tcBorders>
              <w:top w:val="nil"/>
              <w:left w:val="nil"/>
              <w:bottom w:val="nil"/>
              <w:right w:val="nil"/>
            </w:tcBorders>
            <w:shd w:val="clear" w:color="auto" w:fill="auto"/>
            <w:noWrap/>
            <w:vAlign w:val="center"/>
            <w:hideMark/>
          </w:tcPr>
          <w:p w14:paraId="28923E99" w14:textId="77777777" w:rsidR="007C20A0" w:rsidRPr="004D453A" w:rsidRDefault="007C20A0" w:rsidP="007C20A0">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0D7834D9" w14:textId="42CE49B1" w:rsidR="007C20A0" w:rsidRPr="004D453A" w:rsidRDefault="007C20A0" w:rsidP="007C20A0">
            <w:pPr>
              <w:jc w:val="center"/>
              <w:rPr>
                <w:rFonts w:ascii="Arial" w:eastAsia="Times New Roman" w:hAnsi="Arial" w:cs="Arial"/>
                <w:color w:val="000000"/>
                <w:sz w:val="20"/>
                <w:szCs w:val="20"/>
              </w:rPr>
            </w:pPr>
            <w:r w:rsidRPr="004D453A">
              <w:rPr>
                <w:rFonts w:ascii="Arial" w:hAnsi="Arial" w:cs="Arial"/>
                <w:color w:val="000000"/>
                <w:sz w:val="20"/>
                <w:szCs w:val="20"/>
              </w:rPr>
              <w:t>150</w:t>
            </w:r>
          </w:p>
        </w:tc>
        <w:tc>
          <w:tcPr>
            <w:tcW w:w="2730" w:type="dxa"/>
            <w:tcBorders>
              <w:top w:val="nil"/>
              <w:left w:val="nil"/>
              <w:bottom w:val="nil"/>
              <w:right w:val="nil"/>
            </w:tcBorders>
            <w:shd w:val="clear" w:color="auto" w:fill="auto"/>
            <w:noWrap/>
            <w:vAlign w:val="bottom"/>
            <w:hideMark/>
          </w:tcPr>
          <w:p w14:paraId="57902453" w14:textId="341ECE48" w:rsidR="007C20A0" w:rsidRPr="004D453A" w:rsidRDefault="007C20A0" w:rsidP="007C20A0">
            <w:pPr>
              <w:jc w:val="center"/>
              <w:rPr>
                <w:rFonts w:ascii="Arial" w:hAnsi="Arial" w:cs="Arial"/>
                <w:color w:val="000000"/>
                <w:sz w:val="20"/>
                <w:szCs w:val="20"/>
              </w:rPr>
            </w:pPr>
            <w:r w:rsidRPr="004D453A">
              <w:rPr>
                <w:rFonts w:ascii="Arial" w:hAnsi="Arial" w:cs="Arial"/>
                <w:color w:val="000000"/>
                <w:sz w:val="20"/>
                <w:szCs w:val="20"/>
              </w:rPr>
              <w:t>1.16 (0.85</w:t>
            </w:r>
            <w:r w:rsidR="005B0C26" w:rsidRPr="004D453A">
              <w:rPr>
                <w:rFonts w:ascii="Arial" w:hAnsi="Arial" w:cs="Arial"/>
                <w:color w:val="000000"/>
                <w:sz w:val="20"/>
                <w:szCs w:val="20"/>
              </w:rPr>
              <w:t>-</w:t>
            </w:r>
            <w:r w:rsidRPr="004D453A">
              <w:rPr>
                <w:rFonts w:ascii="Arial" w:hAnsi="Arial" w:cs="Arial"/>
                <w:color w:val="000000"/>
                <w:sz w:val="20"/>
                <w:szCs w:val="20"/>
              </w:rPr>
              <w:t>1.58)</w:t>
            </w:r>
          </w:p>
        </w:tc>
      </w:tr>
      <w:tr w:rsidR="007C20A0" w:rsidRPr="004D453A" w14:paraId="52002521" w14:textId="77777777" w:rsidTr="007C20A0">
        <w:trPr>
          <w:trHeight w:val="20"/>
          <w:jc w:val="center"/>
        </w:trPr>
        <w:tc>
          <w:tcPr>
            <w:tcW w:w="3440" w:type="dxa"/>
            <w:tcBorders>
              <w:top w:val="nil"/>
              <w:left w:val="nil"/>
              <w:bottom w:val="nil"/>
              <w:right w:val="nil"/>
            </w:tcBorders>
            <w:shd w:val="clear" w:color="auto" w:fill="auto"/>
            <w:noWrap/>
            <w:vAlign w:val="center"/>
            <w:hideMark/>
          </w:tcPr>
          <w:p w14:paraId="3C405C34" w14:textId="77777777" w:rsidR="007C20A0" w:rsidRPr="004D453A" w:rsidRDefault="007C20A0" w:rsidP="007C20A0">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0C1E06D8" w14:textId="096511C5" w:rsidR="007C20A0" w:rsidRPr="004D453A" w:rsidRDefault="007C20A0" w:rsidP="007C20A0">
            <w:pPr>
              <w:jc w:val="center"/>
              <w:rPr>
                <w:rFonts w:ascii="Arial" w:eastAsia="Times New Roman" w:hAnsi="Arial" w:cs="Arial"/>
                <w:color w:val="000000"/>
                <w:sz w:val="20"/>
                <w:szCs w:val="20"/>
              </w:rPr>
            </w:pPr>
            <w:r w:rsidRPr="004D453A">
              <w:rPr>
                <w:rFonts w:ascii="Arial" w:hAnsi="Arial" w:cs="Arial"/>
                <w:color w:val="000000"/>
                <w:sz w:val="20"/>
                <w:szCs w:val="20"/>
              </w:rPr>
              <w:t>183</w:t>
            </w:r>
          </w:p>
        </w:tc>
        <w:tc>
          <w:tcPr>
            <w:tcW w:w="2730" w:type="dxa"/>
            <w:tcBorders>
              <w:top w:val="nil"/>
              <w:left w:val="nil"/>
              <w:bottom w:val="nil"/>
              <w:right w:val="nil"/>
            </w:tcBorders>
            <w:shd w:val="clear" w:color="auto" w:fill="auto"/>
            <w:noWrap/>
            <w:vAlign w:val="bottom"/>
            <w:hideMark/>
          </w:tcPr>
          <w:p w14:paraId="76F938AC" w14:textId="1CDC75E0" w:rsidR="007C20A0" w:rsidRPr="004D453A" w:rsidRDefault="007C20A0" w:rsidP="007C20A0">
            <w:pPr>
              <w:jc w:val="center"/>
              <w:rPr>
                <w:rFonts w:ascii="Arial" w:hAnsi="Arial" w:cs="Arial"/>
                <w:color w:val="000000"/>
                <w:sz w:val="20"/>
                <w:szCs w:val="20"/>
              </w:rPr>
            </w:pPr>
            <w:r w:rsidRPr="004D453A">
              <w:rPr>
                <w:rFonts w:ascii="Arial" w:hAnsi="Arial" w:cs="Arial"/>
                <w:color w:val="000000"/>
                <w:sz w:val="20"/>
                <w:szCs w:val="20"/>
              </w:rPr>
              <w:t>1.4</w:t>
            </w:r>
            <w:r w:rsidR="00605CB2" w:rsidRPr="004D453A">
              <w:rPr>
                <w:rFonts w:ascii="Arial" w:hAnsi="Arial" w:cs="Arial"/>
                <w:color w:val="000000"/>
                <w:sz w:val="20"/>
                <w:szCs w:val="20"/>
              </w:rPr>
              <w:t>0</w:t>
            </w:r>
            <w:r w:rsidRPr="004D453A">
              <w:rPr>
                <w:rFonts w:ascii="Arial" w:hAnsi="Arial" w:cs="Arial"/>
                <w:color w:val="000000"/>
                <w:sz w:val="20"/>
                <w:szCs w:val="20"/>
              </w:rPr>
              <w:t xml:space="preserve"> (1.03</w:t>
            </w:r>
            <w:r w:rsidR="00123418" w:rsidRPr="004D453A">
              <w:rPr>
                <w:rFonts w:ascii="Arial" w:hAnsi="Arial" w:cs="Arial"/>
                <w:color w:val="000000"/>
                <w:sz w:val="20"/>
                <w:szCs w:val="20"/>
              </w:rPr>
              <w:t>-</w:t>
            </w:r>
            <w:r w:rsidRPr="004D453A">
              <w:rPr>
                <w:rFonts w:ascii="Arial" w:hAnsi="Arial" w:cs="Arial"/>
                <w:color w:val="000000"/>
                <w:sz w:val="20"/>
                <w:szCs w:val="20"/>
              </w:rPr>
              <w:t>1.91)</w:t>
            </w:r>
          </w:p>
        </w:tc>
      </w:tr>
      <w:tr w:rsidR="007C20A0" w:rsidRPr="004D453A" w14:paraId="0A1AD653" w14:textId="77777777" w:rsidTr="007C20A0">
        <w:trPr>
          <w:trHeight w:val="20"/>
          <w:jc w:val="center"/>
        </w:trPr>
        <w:tc>
          <w:tcPr>
            <w:tcW w:w="3440" w:type="dxa"/>
            <w:tcBorders>
              <w:top w:val="nil"/>
              <w:left w:val="nil"/>
              <w:bottom w:val="nil"/>
              <w:right w:val="nil"/>
            </w:tcBorders>
            <w:shd w:val="clear" w:color="auto" w:fill="auto"/>
            <w:noWrap/>
            <w:vAlign w:val="bottom"/>
            <w:hideMark/>
          </w:tcPr>
          <w:p w14:paraId="6A9D4C8F" w14:textId="31EB35CD" w:rsidR="007C20A0" w:rsidRPr="004D453A" w:rsidRDefault="007C20A0" w:rsidP="007C20A0">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2F8F0788" w14:textId="1A2C4131" w:rsidR="007C20A0" w:rsidRPr="004D453A" w:rsidRDefault="00B65713" w:rsidP="007C20A0">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1D20B05E" w14:textId="750CE1D1" w:rsidR="007C20A0" w:rsidRPr="004D453A" w:rsidRDefault="007C20A0" w:rsidP="007C20A0">
            <w:pPr>
              <w:jc w:val="center"/>
              <w:rPr>
                <w:rFonts w:ascii="Arial" w:hAnsi="Arial" w:cs="Arial"/>
                <w:i/>
                <w:iCs/>
                <w:color w:val="000000"/>
                <w:sz w:val="20"/>
                <w:szCs w:val="20"/>
              </w:rPr>
            </w:pPr>
            <w:r w:rsidRPr="004D453A">
              <w:rPr>
                <w:rFonts w:ascii="Arial" w:hAnsi="Arial" w:cs="Arial"/>
                <w:i/>
                <w:iCs/>
                <w:color w:val="000000"/>
                <w:sz w:val="20"/>
                <w:szCs w:val="20"/>
              </w:rPr>
              <w:t>0.06</w:t>
            </w:r>
          </w:p>
        </w:tc>
      </w:tr>
      <w:tr w:rsidR="007C20A0" w:rsidRPr="004D453A" w14:paraId="0F7770A7" w14:textId="77777777" w:rsidTr="00BA3039">
        <w:trPr>
          <w:trHeight w:val="20"/>
          <w:jc w:val="center"/>
        </w:trPr>
        <w:tc>
          <w:tcPr>
            <w:tcW w:w="3440" w:type="dxa"/>
            <w:tcBorders>
              <w:top w:val="nil"/>
              <w:left w:val="nil"/>
              <w:bottom w:val="nil"/>
              <w:right w:val="nil"/>
            </w:tcBorders>
            <w:shd w:val="clear" w:color="auto" w:fill="auto"/>
            <w:noWrap/>
            <w:vAlign w:val="center"/>
            <w:hideMark/>
          </w:tcPr>
          <w:p w14:paraId="429CEF44" w14:textId="77777777" w:rsidR="007C20A0" w:rsidRPr="004D453A" w:rsidRDefault="007C20A0" w:rsidP="007C20A0">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Tomatoes</w:t>
            </w:r>
          </w:p>
        </w:tc>
        <w:tc>
          <w:tcPr>
            <w:tcW w:w="1300" w:type="dxa"/>
            <w:tcBorders>
              <w:top w:val="nil"/>
              <w:left w:val="nil"/>
              <w:bottom w:val="nil"/>
              <w:right w:val="nil"/>
            </w:tcBorders>
            <w:shd w:val="clear" w:color="auto" w:fill="auto"/>
            <w:noWrap/>
            <w:vAlign w:val="bottom"/>
            <w:hideMark/>
          </w:tcPr>
          <w:p w14:paraId="1993D7A0" w14:textId="77777777" w:rsidR="007C20A0" w:rsidRPr="004D453A" w:rsidRDefault="007C20A0" w:rsidP="007C20A0">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57C3D962" w14:textId="77777777" w:rsidR="007C20A0" w:rsidRPr="004D453A" w:rsidRDefault="007C20A0" w:rsidP="007C20A0">
            <w:pPr>
              <w:jc w:val="center"/>
              <w:rPr>
                <w:rFonts w:ascii="Arial" w:hAnsi="Arial" w:cs="Arial"/>
                <w:color w:val="000000"/>
                <w:sz w:val="20"/>
                <w:szCs w:val="20"/>
              </w:rPr>
            </w:pPr>
          </w:p>
        </w:tc>
      </w:tr>
      <w:tr w:rsidR="007C20A0" w:rsidRPr="004D453A" w14:paraId="31144EB2"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7429674B" w14:textId="77777777" w:rsidR="007C20A0" w:rsidRPr="004D453A" w:rsidRDefault="007C20A0" w:rsidP="007C20A0">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736CA406" w14:textId="0A3FF56E" w:rsidR="007C20A0" w:rsidRPr="004D453A" w:rsidRDefault="007C20A0" w:rsidP="007C20A0">
            <w:pPr>
              <w:jc w:val="center"/>
              <w:rPr>
                <w:rFonts w:ascii="Arial" w:eastAsia="Times New Roman" w:hAnsi="Arial" w:cs="Arial"/>
                <w:color w:val="000000"/>
                <w:sz w:val="20"/>
                <w:szCs w:val="20"/>
              </w:rPr>
            </w:pPr>
            <w:r w:rsidRPr="004D453A">
              <w:rPr>
                <w:rFonts w:ascii="Arial" w:hAnsi="Arial" w:cs="Arial"/>
                <w:color w:val="000000"/>
                <w:sz w:val="20"/>
                <w:szCs w:val="20"/>
              </w:rPr>
              <w:t>124</w:t>
            </w:r>
          </w:p>
        </w:tc>
        <w:tc>
          <w:tcPr>
            <w:tcW w:w="2730" w:type="dxa"/>
            <w:tcBorders>
              <w:top w:val="nil"/>
              <w:left w:val="nil"/>
              <w:bottom w:val="nil"/>
              <w:right w:val="nil"/>
            </w:tcBorders>
            <w:shd w:val="clear" w:color="auto" w:fill="auto"/>
            <w:noWrap/>
            <w:vAlign w:val="bottom"/>
            <w:hideMark/>
          </w:tcPr>
          <w:p w14:paraId="29DD7D15" w14:textId="5B92EA49" w:rsidR="007C20A0" w:rsidRPr="004D453A" w:rsidRDefault="007C20A0" w:rsidP="007C20A0">
            <w:pPr>
              <w:jc w:val="center"/>
              <w:rPr>
                <w:rFonts w:ascii="Arial" w:hAnsi="Arial" w:cs="Arial"/>
                <w:color w:val="000000"/>
                <w:sz w:val="20"/>
                <w:szCs w:val="20"/>
              </w:rPr>
            </w:pPr>
            <w:r w:rsidRPr="004D453A">
              <w:rPr>
                <w:rFonts w:ascii="Arial" w:hAnsi="Arial" w:cs="Arial"/>
                <w:color w:val="000000"/>
                <w:sz w:val="20"/>
                <w:szCs w:val="20"/>
              </w:rPr>
              <w:t>1.00</w:t>
            </w:r>
          </w:p>
        </w:tc>
      </w:tr>
      <w:tr w:rsidR="007C20A0" w:rsidRPr="004D453A" w14:paraId="0AE7599B"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731BC1C0" w14:textId="77777777" w:rsidR="007C20A0" w:rsidRPr="004D453A" w:rsidRDefault="007C20A0" w:rsidP="007C20A0">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0AE4E0B5" w14:textId="2E32D9B2" w:rsidR="007C20A0" w:rsidRPr="004D453A" w:rsidRDefault="007C20A0" w:rsidP="007C20A0">
            <w:pPr>
              <w:jc w:val="center"/>
              <w:rPr>
                <w:rFonts w:ascii="Arial" w:eastAsia="Times New Roman" w:hAnsi="Arial" w:cs="Arial"/>
                <w:color w:val="000000"/>
                <w:sz w:val="20"/>
                <w:szCs w:val="20"/>
              </w:rPr>
            </w:pPr>
            <w:r w:rsidRPr="004D453A">
              <w:rPr>
                <w:rFonts w:ascii="Arial" w:hAnsi="Arial" w:cs="Arial"/>
                <w:color w:val="000000"/>
                <w:sz w:val="20"/>
                <w:szCs w:val="20"/>
              </w:rPr>
              <w:t>148</w:t>
            </w:r>
          </w:p>
        </w:tc>
        <w:tc>
          <w:tcPr>
            <w:tcW w:w="2730" w:type="dxa"/>
            <w:tcBorders>
              <w:top w:val="nil"/>
              <w:left w:val="nil"/>
              <w:bottom w:val="nil"/>
              <w:right w:val="nil"/>
            </w:tcBorders>
            <w:shd w:val="clear" w:color="auto" w:fill="auto"/>
            <w:noWrap/>
            <w:vAlign w:val="bottom"/>
            <w:hideMark/>
          </w:tcPr>
          <w:p w14:paraId="098D4045" w14:textId="50A2E46C" w:rsidR="007C20A0" w:rsidRPr="004D453A" w:rsidRDefault="007C20A0" w:rsidP="007C20A0">
            <w:pPr>
              <w:jc w:val="center"/>
              <w:rPr>
                <w:rFonts w:ascii="Arial" w:hAnsi="Arial" w:cs="Arial"/>
                <w:color w:val="000000"/>
                <w:sz w:val="20"/>
                <w:szCs w:val="20"/>
              </w:rPr>
            </w:pPr>
            <w:r w:rsidRPr="004D453A">
              <w:rPr>
                <w:rFonts w:ascii="Arial" w:hAnsi="Arial" w:cs="Arial"/>
                <w:color w:val="000000"/>
                <w:sz w:val="20"/>
                <w:szCs w:val="20"/>
              </w:rPr>
              <w:t>1.1</w:t>
            </w:r>
            <w:r w:rsidR="00605CB2" w:rsidRPr="004D453A">
              <w:rPr>
                <w:rFonts w:ascii="Arial" w:hAnsi="Arial" w:cs="Arial"/>
                <w:color w:val="000000"/>
                <w:sz w:val="20"/>
                <w:szCs w:val="20"/>
              </w:rPr>
              <w:t>0</w:t>
            </w:r>
            <w:r w:rsidRPr="004D453A">
              <w:rPr>
                <w:rFonts w:ascii="Arial" w:hAnsi="Arial" w:cs="Arial"/>
                <w:color w:val="000000"/>
                <w:sz w:val="20"/>
                <w:szCs w:val="20"/>
              </w:rPr>
              <w:t xml:space="preserve"> (0.81</w:t>
            </w:r>
            <w:r w:rsidR="00123418" w:rsidRPr="004D453A">
              <w:rPr>
                <w:rFonts w:ascii="Arial" w:hAnsi="Arial" w:cs="Arial"/>
                <w:color w:val="000000"/>
                <w:sz w:val="20"/>
                <w:szCs w:val="20"/>
              </w:rPr>
              <w:t>-</w:t>
            </w:r>
            <w:r w:rsidRPr="004D453A">
              <w:rPr>
                <w:rFonts w:ascii="Arial" w:hAnsi="Arial" w:cs="Arial"/>
                <w:color w:val="000000"/>
                <w:sz w:val="20"/>
                <w:szCs w:val="20"/>
              </w:rPr>
              <w:t>1.48)</w:t>
            </w:r>
          </w:p>
        </w:tc>
      </w:tr>
      <w:tr w:rsidR="007C20A0" w:rsidRPr="004D453A" w14:paraId="694F3058"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8654E2C" w14:textId="77777777" w:rsidR="007C20A0" w:rsidRPr="004D453A" w:rsidRDefault="007C20A0" w:rsidP="007C20A0">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1174D709" w14:textId="0E308DA6" w:rsidR="007C20A0" w:rsidRPr="004D453A" w:rsidRDefault="007C20A0" w:rsidP="007C20A0">
            <w:pPr>
              <w:jc w:val="center"/>
              <w:rPr>
                <w:rFonts w:ascii="Arial" w:eastAsia="Times New Roman" w:hAnsi="Arial" w:cs="Arial"/>
                <w:color w:val="000000"/>
                <w:sz w:val="20"/>
                <w:szCs w:val="20"/>
              </w:rPr>
            </w:pPr>
            <w:r w:rsidRPr="004D453A">
              <w:rPr>
                <w:rFonts w:ascii="Arial" w:hAnsi="Arial" w:cs="Arial"/>
                <w:color w:val="000000"/>
                <w:sz w:val="20"/>
                <w:szCs w:val="20"/>
              </w:rPr>
              <w:t>142</w:t>
            </w:r>
          </w:p>
        </w:tc>
        <w:tc>
          <w:tcPr>
            <w:tcW w:w="2730" w:type="dxa"/>
            <w:tcBorders>
              <w:top w:val="nil"/>
              <w:left w:val="nil"/>
              <w:bottom w:val="nil"/>
              <w:right w:val="nil"/>
            </w:tcBorders>
            <w:shd w:val="clear" w:color="auto" w:fill="auto"/>
            <w:noWrap/>
            <w:vAlign w:val="bottom"/>
            <w:hideMark/>
          </w:tcPr>
          <w:p w14:paraId="4A6A4112" w14:textId="1421D91B" w:rsidR="007C20A0" w:rsidRPr="004D453A" w:rsidRDefault="007C20A0" w:rsidP="007C20A0">
            <w:pPr>
              <w:jc w:val="center"/>
              <w:rPr>
                <w:rFonts w:ascii="Arial" w:hAnsi="Arial" w:cs="Arial"/>
                <w:color w:val="000000"/>
                <w:sz w:val="20"/>
                <w:szCs w:val="20"/>
              </w:rPr>
            </w:pPr>
            <w:r w:rsidRPr="004D453A">
              <w:rPr>
                <w:rFonts w:ascii="Arial" w:hAnsi="Arial" w:cs="Arial"/>
                <w:color w:val="000000"/>
                <w:sz w:val="20"/>
                <w:szCs w:val="20"/>
              </w:rPr>
              <w:t>1.12 (0.83</w:t>
            </w:r>
            <w:r w:rsidR="00123418" w:rsidRPr="004D453A">
              <w:rPr>
                <w:rFonts w:ascii="Arial" w:hAnsi="Arial" w:cs="Arial"/>
                <w:color w:val="000000"/>
                <w:sz w:val="20"/>
                <w:szCs w:val="20"/>
              </w:rPr>
              <w:t>-</w:t>
            </w:r>
            <w:r w:rsidRPr="004D453A">
              <w:rPr>
                <w:rFonts w:ascii="Arial" w:hAnsi="Arial" w:cs="Arial"/>
                <w:color w:val="000000"/>
                <w:sz w:val="20"/>
                <w:szCs w:val="20"/>
              </w:rPr>
              <w:t>1.52)</w:t>
            </w:r>
          </w:p>
        </w:tc>
      </w:tr>
      <w:tr w:rsidR="007C20A0" w:rsidRPr="004D453A" w14:paraId="50A95B3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DFE93E3" w14:textId="77777777" w:rsidR="007C20A0" w:rsidRPr="004D453A" w:rsidRDefault="007C20A0" w:rsidP="007C20A0">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4A7C1EDE" w14:textId="3D5EC95C" w:rsidR="007C20A0" w:rsidRPr="004D453A" w:rsidRDefault="007C20A0" w:rsidP="007C20A0">
            <w:pPr>
              <w:jc w:val="center"/>
              <w:rPr>
                <w:rFonts w:ascii="Arial" w:eastAsia="Times New Roman" w:hAnsi="Arial" w:cs="Arial"/>
                <w:color w:val="000000"/>
                <w:sz w:val="20"/>
                <w:szCs w:val="20"/>
              </w:rPr>
            </w:pPr>
            <w:r w:rsidRPr="004D453A">
              <w:rPr>
                <w:rFonts w:ascii="Arial" w:hAnsi="Arial" w:cs="Arial"/>
                <w:color w:val="000000"/>
                <w:sz w:val="20"/>
                <w:szCs w:val="20"/>
              </w:rPr>
              <w:t>170</w:t>
            </w:r>
          </w:p>
        </w:tc>
        <w:tc>
          <w:tcPr>
            <w:tcW w:w="2730" w:type="dxa"/>
            <w:tcBorders>
              <w:top w:val="nil"/>
              <w:left w:val="nil"/>
              <w:bottom w:val="nil"/>
              <w:right w:val="nil"/>
            </w:tcBorders>
            <w:shd w:val="clear" w:color="auto" w:fill="auto"/>
            <w:noWrap/>
            <w:vAlign w:val="bottom"/>
            <w:hideMark/>
          </w:tcPr>
          <w:p w14:paraId="16B8F55B" w14:textId="71929A6D" w:rsidR="007C20A0" w:rsidRPr="004D453A" w:rsidRDefault="007C20A0" w:rsidP="007C20A0">
            <w:pPr>
              <w:jc w:val="center"/>
              <w:rPr>
                <w:rFonts w:ascii="Arial" w:hAnsi="Arial" w:cs="Arial"/>
                <w:color w:val="000000"/>
                <w:sz w:val="20"/>
                <w:szCs w:val="20"/>
              </w:rPr>
            </w:pPr>
            <w:r w:rsidRPr="004D453A">
              <w:rPr>
                <w:rFonts w:ascii="Arial" w:hAnsi="Arial" w:cs="Arial"/>
                <w:color w:val="000000"/>
                <w:sz w:val="20"/>
                <w:szCs w:val="20"/>
              </w:rPr>
              <w:t>1.28 (0.95</w:t>
            </w:r>
            <w:r w:rsidR="00123418" w:rsidRPr="004D453A">
              <w:rPr>
                <w:rFonts w:ascii="Arial" w:hAnsi="Arial" w:cs="Arial"/>
                <w:color w:val="000000"/>
                <w:sz w:val="20"/>
                <w:szCs w:val="20"/>
              </w:rPr>
              <w:t>-</w:t>
            </w:r>
            <w:r w:rsidRPr="004D453A">
              <w:rPr>
                <w:rFonts w:ascii="Arial" w:hAnsi="Arial" w:cs="Arial"/>
                <w:color w:val="000000"/>
                <w:sz w:val="20"/>
                <w:szCs w:val="20"/>
              </w:rPr>
              <w:t>1.72)</w:t>
            </w:r>
          </w:p>
        </w:tc>
      </w:tr>
      <w:tr w:rsidR="007C20A0" w:rsidRPr="004D453A" w14:paraId="6F361DA0"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C1CCE1C" w14:textId="77777777" w:rsidR="007C20A0" w:rsidRPr="004D453A" w:rsidRDefault="007C20A0" w:rsidP="007C20A0">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481BB115" w14:textId="085F68AC" w:rsidR="007C20A0" w:rsidRPr="004D453A" w:rsidRDefault="007C20A0" w:rsidP="007C20A0">
            <w:pPr>
              <w:jc w:val="center"/>
              <w:rPr>
                <w:rFonts w:ascii="Arial" w:eastAsia="Times New Roman" w:hAnsi="Arial" w:cs="Arial"/>
                <w:color w:val="000000"/>
                <w:sz w:val="20"/>
                <w:szCs w:val="20"/>
              </w:rPr>
            </w:pPr>
            <w:r w:rsidRPr="004D453A">
              <w:rPr>
                <w:rFonts w:ascii="Arial" w:hAnsi="Arial" w:cs="Arial"/>
                <w:color w:val="000000"/>
                <w:sz w:val="20"/>
                <w:szCs w:val="20"/>
              </w:rPr>
              <w:t>181</w:t>
            </w:r>
          </w:p>
        </w:tc>
        <w:tc>
          <w:tcPr>
            <w:tcW w:w="2730" w:type="dxa"/>
            <w:tcBorders>
              <w:top w:val="nil"/>
              <w:left w:val="nil"/>
              <w:bottom w:val="nil"/>
              <w:right w:val="nil"/>
            </w:tcBorders>
            <w:shd w:val="clear" w:color="auto" w:fill="auto"/>
            <w:noWrap/>
            <w:vAlign w:val="bottom"/>
            <w:hideMark/>
          </w:tcPr>
          <w:p w14:paraId="69655336" w14:textId="203B3B97" w:rsidR="007C20A0" w:rsidRPr="004D453A" w:rsidRDefault="007C20A0" w:rsidP="007C20A0">
            <w:pPr>
              <w:jc w:val="center"/>
              <w:rPr>
                <w:rFonts w:ascii="Arial" w:hAnsi="Arial" w:cs="Arial"/>
                <w:color w:val="000000"/>
                <w:sz w:val="20"/>
                <w:szCs w:val="20"/>
              </w:rPr>
            </w:pPr>
            <w:r w:rsidRPr="004D453A">
              <w:rPr>
                <w:rFonts w:ascii="Arial" w:hAnsi="Arial" w:cs="Arial"/>
                <w:color w:val="000000"/>
                <w:sz w:val="20"/>
                <w:szCs w:val="20"/>
              </w:rPr>
              <w:t>1.45 (1.07</w:t>
            </w:r>
            <w:r w:rsidR="00123418" w:rsidRPr="004D453A">
              <w:rPr>
                <w:rFonts w:ascii="Arial" w:hAnsi="Arial" w:cs="Arial"/>
                <w:color w:val="000000"/>
                <w:sz w:val="20"/>
                <w:szCs w:val="20"/>
              </w:rPr>
              <w:t>-</w:t>
            </w:r>
            <w:r w:rsidRPr="004D453A">
              <w:rPr>
                <w:rFonts w:ascii="Arial" w:hAnsi="Arial" w:cs="Arial"/>
                <w:color w:val="000000"/>
                <w:sz w:val="20"/>
                <w:szCs w:val="20"/>
              </w:rPr>
              <w:t>1.97)</w:t>
            </w:r>
          </w:p>
        </w:tc>
      </w:tr>
      <w:tr w:rsidR="00692A77" w:rsidRPr="004D453A" w14:paraId="2815CF92"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0A1B6942"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58A1AC44" w14:textId="2ECDBC95"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4D5A9BBF" w14:textId="42EE2CE5"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0.01</w:t>
            </w:r>
          </w:p>
        </w:tc>
      </w:tr>
      <w:tr w:rsidR="00692A77" w:rsidRPr="004D453A" w14:paraId="3B7E8E36" w14:textId="77777777" w:rsidTr="00BA3039">
        <w:trPr>
          <w:trHeight w:val="20"/>
          <w:jc w:val="center"/>
        </w:trPr>
        <w:tc>
          <w:tcPr>
            <w:tcW w:w="3440" w:type="dxa"/>
            <w:tcBorders>
              <w:top w:val="nil"/>
              <w:left w:val="nil"/>
              <w:bottom w:val="nil"/>
              <w:right w:val="nil"/>
            </w:tcBorders>
            <w:shd w:val="clear" w:color="000000" w:fill="FFFFFF"/>
            <w:vAlign w:val="center"/>
            <w:hideMark/>
          </w:tcPr>
          <w:p w14:paraId="67C8DE11"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Apples and berries</w:t>
            </w:r>
          </w:p>
        </w:tc>
        <w:tc>
          <w:tcPr>
            <w:tcW w:w="1300" w:type="dxa"/>
            <w:tcBorders>
              <w:top w:val="nil"/>
              <w:left w:val="nil"/>
              <w:bottom w:val="nil"/>
              <w:right w:val="nil"/>
            </w:tcBorders>
            <w:shd w:val="clear" w:color="auto" w:fill="auto"/>
            <w:noWrap/>
            <w:vAlign w:val="bottom"/>
            <w:hideMark/>
          </w:tcPr>
          <w:p w14:paraId="1FFC1DB3"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260C289B" w14:textId="77777777" w:rsidR="00692A77" w:rsidRPr="004D453A" w:rsidRDefault="00692A77" w:rsidP="00692A77">
            <w:pPr>
              <w:jc w:val="center"/>
              <w:rPr>
                <w:rFonts w:ascii="Arial" w:hAnsi="Arial" w:cs="Arial"/>
                <w:color w:val="000000"/>
                <w:sz w:val="20"/>
                <w:szCs w:val="20"/>
              </w:rPr>
            </w:pPr>
          </w:p>
        </w:tc>
      </w:tr>
      <w:tr w:rsidR="00692A77" w:rsidRPr="004D453A" w14:paraId="7A68A496"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1228789"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24B6450C" w14:textId="463D26CE"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134</w:t>
            </w:r>
          </w:p>
        </w:tc>
        <w:tc>
          <w:tcPr>
            <w:tcW w:w="2730" w:type="dxa"/>
            <w:tcBorders>
              <w:top w:val="nil"/>
              <w:left w:val="nil"/>
              <w:bottom w:val="nil"/>
              <w:right w:val="nil"/>
            </w:tcBorders>
            <w:shd w:val="clear" w:color="auto" w:fill="auto"/>
            <w:noWrap/>
            <w:vAlign w:val="bottom"/>
            <w:hideMark/>
          </w:tcPr>
          <w:p w14:paraId="7F83B2A0" w14:textId="1DCDDC7C"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08CC1744"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B7F0BDA"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73F65953" w14:textId="7D904E25"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153</w:t>
            </w:r>
          </w:p>
        </w:tc>
        <w:tc>
          <w:tcPr>
            <w:tcW w:w="2730" w:type="dxa"/>
            <w:tcBorders>
              <w:top w:val="nil"/>
              <w:left w:val="nil"/>
              <w:bottom w:val="nil"/>
              <w:right w:val="nil"/>
            </w:tcBorders>
            <w:shd w:val="clear" w:color="auto" w:fill="auto"/>
            <w:noWrap/>
            <w:vAlign w:val="bottom"/>
            <w:hideMark/>
          </w:tcPr>
          <w:p w14:paraId="4CCDA8A8" w14:textId="1B69CA3A"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1.03 (0.77</w:t>
            </w:r>
            <w:r w:rsidR="00123418" w:rsidRPr="004D453A">
              <w:rPr>
                <w:rFonts w:ascii="Arial" w:hAnsi="Arial" w:cs="Arial"/>
                <w:color w:val="000000"/>
                <w:sz w:val="20"/>
                <w:szCs w:val="20"/>
              </w:rPr>
              <w:t>-</w:t>
            </w:r>
            <w:r w:rsidRPr="004D453A">
              <w:rPr>
                <w:rFonts w:ascii="Arial" w:hAnsi="Arial" w:cs="Arial"/>
                <w:color w:val="000000"/>
                <w:sz w:val="20"/>
                <w:szCs w:val="20"/>
              </w:rPr>
              <w:t>1.38)</w:t>
            </w:r>
          </w:p>
        </w:tc>
      </w:tr>
      <w:tr w:rsidR="00692A77" w:rsidRPr="004D453A" w14:paraId="02A66517"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8A54434"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173630B9" w14:textId="02E02EB2"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140</w:t>
            </w:r>
          </w:p>
        </w:tc>
        <w:tc>
          <w:tcPr>
            <w:tcW w:w="2730" w:type="dxa"/>
            <w:tcBorders>
              <w:top w:val="nil"/>
              <w:left w:val="nil"/>
              <w:bottom w:val="nil"/>
              <w:right w:val="nil"/>
            </w:tcBorders>
            <w:shd w:val="clear" w:color="auto" w:fill="auto"/>
            <w:noWrap/>
            <w:vAlign w:val="bottom"/>
            <w:hideMark/>
          </w:tcPr>
          <w:p w14:paraId="14F7D4AB" w14:textId="447FD9A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0.96 (0.71</w:t>
            </w:r>
            <w:r w:rsidR="00123418" w:rsidRPr="004D453A">
              <w:rPr>
                <w:rFonts w:ascii="Arial" w:hAnsi="Arial" w:cs="Arial"/>
                <w:color w:val="000000"/>
                <w:sz w:val="20"/>
                <w:szCs w:val="20"/>
              </w:rPr>
              <w:t>-</w:t>
            </w:r>
            <w:r w:rsidRPr="004D453A">
              <w:rPr>
                <w:rFonts w:ascii="Arial" w:hAnsi="Arial" w:cs="Arial"/>
                <w:color w:val="000000"/>
                <w:sz w:val="20"/>
                <w:szCs w:val="20"/>
              </w:rPr>
              <w:t>1.29)</w:t>
            </w:r>
          </w:p>
        </w:tc>
      </w:tr>
      <w:tr w:rsidR="00692A77" w:rsidRPr="004D453A" w14:paraId="7B8A4852"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480C2FA"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1AC4BD54" w14:textId="66D0D24B"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165</w:t>
            </w:r>
          </w:p>
        </w:tc>
        <w:tc>
          <w:tcPr>
            <w:tcW w:w="2730" w:type="dxa"/>
            <w:tcBorders>
              <w:top w:val="nil"/>
              <w:left w:val="nil"/>
              <w:bottom w:val="nil"/>
              <w:right w:val="nil"/>
            </w:tcBorders>
            <w:shd w:val="clear" w:color="auto" w:fill="auto"/>
            <w:noWrap/>
            <w:vAlign w:val="bottom"/>
            <w:hideMark/>
          </w:tcPr>
          <w:p w14:paraId="089FF518" w14:textId="77CDB98D"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1.13 (0.84</w:t>
            </w:r>
            <w:r w:rsidR="00123418" w:rsidRPr="004D453A">
              <w:rPr>
                <w:rFonts w:ascii="Arial" w:hAnsi="Arial" w:cs="Arial"/>
                <w:color w:val="000000"/>
                <w:sz w:val="20"/>
                <w:szCs w:val="20"/>
              </w:rPr>
              <w:t>-</w:t>
            </w:r>
            <w:r w:rsidRPr="004D453A">
              <w:rPr>
                <w:rFonts w:ascii="Arial" w:hAnsi="Arial" w:cs="Arial"/>
                <w:color w:val="000000"/>
                <w:sz w:val="20"/>
                <w:szCs w:val="20"/>
              </w:rPr>
              <w:t>1.52)</w:t>
            </w:r>
          </w:p>
        </w:tc>
      </w:tr>
      <w:tr w:rsidR="00692A77" w:rsidRPr="004D453A" w14:paraId="4FFC446C"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305713F"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02D63051" w14:textId="1C5E3675"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173</w:t>
            </w:r>
          </w:p>
        </w:tc>
        <w:tc>
          <w:tcPr>
            <w:tcW w:w="2730" w:type="dxa"/>
            <w:tcBorders>
              <w:top w:val="nil"/>
              <w:left w:val="nil"/>
              <w:bottom w:val="nil"/>
              <w:right w:val="nil"/>
            </w:tcBorders>
            <w:shd w:val="clear" w:color="auto" w:fill="auto"/>
            <w:noWrap/>
            <w:vAlign w:val="bottom"/>
            <w:hideMark/>
          </w:tcPr>
          <w:p w14:paraId="6E085044" w14:textId="2A5446EB"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1.13 (0.84</w:t>
            </w:r>
            <w:r w:rsidR="00123418" w:rsidRPr="004D453A">
              <w:rPr>
                <w:rFonts w:ascii="Arial" w:hAnsi="Arial" w:cs="Arial"/>
                <w:color w:val="000000"/>
                <w:sz w:val="20"/>
                <w:szCs w:val="20"/>
              </w:rPr>
              <w:t>-</w:t>
            </w:r>
            <w:r w:rsidRPr="004D453A">
              <w:rPr>
                <w:rFonts w:ascii="Arial" w:hAnsi="Arial" w:cs="Arial"/>
                <w:color w:val="000000"/>
                <w:sz w:val="20"/>
                <w:szCs w:val="20"/>
              </w:rPr>
              <w:t>1.53)</w:t>
            </w:r>
          </w:p>
        </w:tc>
      </w:tr>
      <w:tr w:rsidR="00692A77" w:rsidRPr="004D453A" w14:paraId="117A725B"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1BD9C205"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0BF50B0B" w14:textId="25C87A6B"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52B55493" w14:textId="7007CC94"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0.30</w:t>
            </w:r>
          </w:p>
        </w:tc>
      </w:tr>
      <w:tr w:rsidR="00692A77" w:rsidRPr="004D453A" w14:paraId="42B021E4" w14:textId="77777777" w:rsidTr="00BA3039">
        <w:trPr>
          <w:trHeight w:val="20"/>
          <w:jc w:val="center"/>
        </w:trPr>
        <w:tc>
          <w:tcPr>
            <w:tcW w:w="3440" w:type="dxa"/>
            <w:tcBorders>
              <w:top w:val="nil"/>
              <w:left w:val="nil"/>
              <w:bottom w:val="nil"/>
              <w:right w:val="nil"/>
            </w:tcBorders>
            <w:shd w:val="clear" w:color="000000" w:fill="FFFFFF"/>
            <w:vAlign w:val="center"/>
            <w:hideMark/>
          </w:tcPr>
          <w:p w14:paraId="2181D691" w14:textId="77777777" w:rsidR="00692A77" w:rsidRPr="004D453A" w:rsidRDefault="00692A77" w:rsidP="00692A77">
            <w:pPr>
              <w:ind w:leftChars="83" w:left="251" w:hangingChars="26" w:hanging="52"/>
              <w:rPr>
                <w:rFonts w:ascii="Arial" w:eastAsia="Times New Roman" w:hAnsi="Arial" w:cs="Arial"/>
                <w:color w:val="000000"/>
                <w:sz w:val="20"/>
                <w:szCs w:val="20"/>
              </w:rPr>
            </w:pPr>
            <w:r w:rsidRPr="004D453A">
              <w:rPr>
                <w:rFonts w:ascii="Arial" w:eastAsia="Times New Roman" w:hAnsi="Arial" w:cs="Arial"/>
                <w:color w:val="000000"/>
                <w:sz w:val="20"/>
                <w:szCs w:val="20"/>
              </w:rPr>
              <w:t>Deep yellow or orange vegetables and fruit</w:t>
            </w:r>
          </w:p>
        </w:tc>
        <w:tc>
          <w:tcPr>
            <w:tcW w:w="1300" w:type="dxa"/>
            <w:tcBorders>
              <w:top w:val="nil"/>
              <w:left w:val="nil"/>
              <w:bottom w:val="nil"/>
              <w:right w:val="nil"/>
            </w:tcBorders>
            <w:shd w:val="clear" w:color="auto" w:fill="auto"/>
            <w:noWrap/>
            <w:vAlign w:val="bottom"/>
            <w:hideMark/>
          </w:tcPr>
          <w:p w14:paraId="0D11336C"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67EE794B" w14:textId="77777777" w:rsidR="00692A77" w:rsidRPr="004D453A" w:rsidRDefault="00692A77" w:rsidP="00692A77">
            <w:pPr>
              <w:jc w:val="center"/>
              <w:rPr>
                <w:rFonts w:ascii="Arial" w:hAnsi="Arial" w:cs="Arial"/>
                <w:color w:val="000000"/>
                <w:sz w:val="20"/>
                <w:szCs w:val="20"/>
              </w:rPr>
            </w:pPr>
          </w:p>
        </w:tc>
      </w:tr>
      <w:tr w:rsidR="00692A77" w:rsidRPr="004D453A" w14:paraId="0D7FD71D"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7A10F407"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776EA654" w14:textId="76403D61"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137</w:t>
            </w:r>
          </w:p>
        </w:tc>
        <w:tc>
          <w:tcPr>
            <w:tcW w:w="2730" w:type="dxa"/>
            <w:tcBorders>
              <w:top w:val="nil"/>
              <w:left w:val="nil"/>
              <w:bottom w:val="nil"/>
              <w:right w:val="nil"/>
            </w:tcBorders>
            <w:shd w:val="clear" w:color="auto" w:fill="auto"/>
            <w:noWrap/>
            <w:vAlign w:val="bottom"/>
            <w:hideMark/>
          </w:tcPr>
          <w:p w14:paraId="6AEFD308" w14:textId="4EC01AE8"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02270CBF"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7C6C3B17"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5F23CD1A" w14:textId="3AD51524"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147</w:t>
            </w:r>
          </w:p>
        </w:tc>
        <w:tc>
          <w:tcPr>
            <w:tcW w:w="2730" w:type="dxa"/>
            <w:tcBorders>
              <w:top w:val="nil"/>
              <w:left w:val="nil"/>
              <w:bottom w:val="nil"/>
              <w:right w:val="nil"/>
            </w:tcBorders>
            <w:shd w:val="clear" w:color="auto" w:fill="auto"/>
            <w:noWrap/>
            <w:vAlign w:val="bottom"/>
            <w:hideMark/>
          </w:tcPr>
          <w:p w14:paraId="7B804013" w14:textId="7E316009"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 (0.74</w:t>
            </w:r>
            <w:r w:rsidR="00123418" w:rsidRPr="004D453A">
              <w:rPr>
                <w:rFonts w:ascii="Arial" w:hAnsi="Arial" w:cs="Arial"/>
                <w:color w:val="000000"/>
                <w:sz w:val="20"/>
                <w:szCs w:val="20"/>
              </w:rPr>
              <w:t>-</w:t>
            </w:r>
            <w:r w:rsidRPr="004D453A">
              <w:rPr>
                <w:rFonts w:ascii="Arial" w:hAnsi="Arial" w:cs="Arial"/>
                <w:color w:val="000000"/>
                <w:sz w:val="20"/>
                <w:szCs w:val="20"/>
              </w:rPr>
              <w:t>1.34)</w:t>
            </w:r>
          </w:p>
        </w:tc>
      </w:tr>
      <w:tr w:rsidR="00692A77" w:rsidRPr="004D453A" w14:paraId="1A99F390"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2F20A7F8"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12D8B1DC" w14:textId="5293CEE3"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150</w:t>
            </w:r>
          </w:p>
        </w:tc>
        <w:tc>
          <w:tcPr>
            <w:tcW w:w="2730" w:type="dxa"/>
            <w:tcBorders>
              <w:top w:val="nil"/>
              <w:left w:val="nil"/>
              <w:bottom w:val="nil"/>
              <w:right w:val="nil"/>
            </w:tcBorders>
            <w:shd w:val="clear" w:color="auto" w:fill="auto"/>
            <w:noWrap/>
            <w:vAlign w:val="bottom"/>
            <w:hideMark/>
          </w:tcPr>
          <w:p w14:paraId="1E2C0A75" w14:textId="473E421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1.03 (0.77</w:t>
            </w:r>
            <w:r w:rsidR="00123418" w:rsidRPr="004D453A">
              <w:rPr>
                <w:rFonts w:ascii="Arial" w:hAnsi="Arial" w:cs="Arial"/>
                <w:color w:val="000000"/>
                <w:sz w:val="20"/>
                <w:szCs w:val="20"/>
              </w:rPr>
              <w:t>-</w:t>
            </w:r>
            <w:r w:rsidRPr="004D453A">
              <w:rPr>
                <w:rFonts w:ascii="Arial" w:hAnsi="Arial" w:cs="Arial"/>
                <w:color w:val="000000"/>
                <w:sz w:val="20"/>
                <w:szCs w:val="20"/>
              </w:rPr>
              <w:t>1.39)</w:t>
            </w:r>
          </w:p>
        </w:tc>
      </w:tr>
      <w:tr w:rsidR="00692A77" w:rsidRPr="004D453A" w14:paraId="7A14CFE2"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F21929D"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66024675" w14:textId="193B4EBB"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156</w:t>
            </w:r>
          </w:p>
        </w:tc>
        <w:tc>
          <w:tcPr>
            <w:tcW w:w="2730" w:type="dxa"/>
            <w:tcBorders>
              <w:top w:val="nil"/>
              <w:left w:val="nil"/>
              <w:bottom w:val="nil"/>
              <w:right w:val="nil"/>
            </w:tcBorders>
            <w:shd w:val="clear" w:color="auto" w:fill="auto"/>
            <w:noWrap/>
            <w:vAlign w:val="bottom"/>
            <w:hideMark/>
          </w:tcPr>
          <w:p w14:paraId="0055E3E7" w14:textId="3A7A39E8"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1.02 (0.76</w:t>
            </w:r>
            <w:r w:rsidR="00123418" w:rsidRPr="004D453A">
              <w:rPr>
                <w:rFonts w:ascii="Arial" w:hAnsi="Arial" w:cs="Arial"/>
                <w:color w:val="000000"/>
                <w:sz w:val="20"/>
                <w:szCs w:val="20"/>
              </w:rPr>
              <w:t>-</w:t>
            </w:r>
            <w:r w:rsidRPr="004D453A">
              <w:rPr>
                <w:rFonts w:ascii="Arial" w:hAnsi="Arial" w:cs="Arial"/>
                <w:color w:val="000000"/>
                <w:sz w:val="20"/>
                <w:szCs w:val="20"/>
              </w:rPr>
              <w:t>1.38)</w:t>
            </w:r>
          </w:p>
        </w:tc>
      </w:tr>
      <w:tr w:rsidR="00692A77" w:rsidRPr="004D453A" w14:paraId="2AB01810"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B780F70"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17F4E0A1" w14:textId="5244159F"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175</w:t>
            </w:r>
          </w:p>
        </w:tc>
        <w:tc>
          <w:tcPr>
            <w:tcW w:w="2730" w:type="dxa"/>
            <w:tcBorders>
              <w:top w:val="nil"/>
              <w:left w:val="nil"/>
              <w:bottom w:val="nil"/>
              <w:right w:val="nil"/>
            </w:tcBorders>
            <w:shd w:val="clear" w:color="auto" w:fill="auto"/>
            <w:noWrap/>
            <w:vAlign w:val="bottom"/>
            <w:hideMark/>
          </w:tcPr>
          <w:p w14:paraId="285A4905" w14:textId="7E0C530B"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1.18 (0.87</w:t>
            </w:r>
            <w:r w:rsidR="00123418" w:rsidRPr="004D453A">
              <w:rPr>
                <w:rFonts w:ascii="Arial" w:hAnsi="Arial" w:cs="Arial"/>
                <w:color w:val="000000"/>
                <w:sz w:val="20"/>
                <w:szCs w:val="20"/>
              </w:rPr>
              <w:t>-</w:t>
            </w:r>
            <w:r w:rsidRPr="004D453A">
              <w:rPr>
                <w:rFonts w:ascii="Arial" w:hAnsi="Arial" w:cs="Arial"/>
                <w:color w:val="000000"/>
                <w:sz w:val="20"/>
                <w:szCs w:val="20"/>
              </w:rPr>
              <w:t>1.59)</w:t>
            </w:r>
          </w:p>
        </w:tc>
      </w:tr>
      <w:tr w:rsidR="00692A77" w:rsidRPr="004D453A" w14:paraId="7828E561"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4097F016"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1FE24067" w14:textId="170D2FFE"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45CD830A" w14:textId="7BD51FA9"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0.30</w:t>
            </w:r>
          </w:p>
        </w:tc>
      </w:tr>
      <w:tr w:rsidR="00692A77" w:rsidRPr="004D453A" w14:paraId="5DB1A1CD" w14:textId="77777777" w:rsidTr="00BA3039">
        <w:trPr>
          <w:trHeight w:val="20"/>
          <w:jc w:val="center"/>
        </w:trPr>
        <w:tc>
          <w:tcPr>
            <w:tcW w:w="3440" w:type="dxa"/>
            <w:tcBorders>
              <w:top w:val="nil"/>
              <w:left w:val="nil"/>
              <w:bottom w:val="nil"/>
              <w:right w:val="nil"/>
            </w:tcBorders>
            <w:shd w:val="clear" w:color="000000" w:fill="FFFFFF"/>
            <w:vAlign w:val="center"/>
            <w:hideMark/>
          </w:tcPr>
          <w:p w14:paraId="53F4B6C5"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Other fruits and real fruit juices</w:t>
            </w:r>
          </w:p>
        </w:tc>
        <w:tc>
          <w:tcPr>
            <w:tcW w:w="1300" w:type="dxa"/>
            <w:tcBorders>
              <w:top w:val="nil"/>
              <w:left w:val="nil"/>
              <w:bottom w:val="nil"/>
              <w:right w:val="nil"/>
            </w:tcBorders>
            <w:shd w:val="clear" w:color="auto" w:fill="auto"/>
            <w:noWrap/>
            <w:vAlign w:val="bottom"/>
            <w:hideMark/>
          </w:tcPr>
          <w:p w14:paraId="6E147935"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227AD7B3" w14:textId="77777777" w:rsidR="00692A77" w:rsidRPr="004D453A" w:rsidRDefault="00692A77" w:rsidP="00692A77">
            <w:pPr>
              <w:jc w:val="center"/>
              <w:rPr>
                <w:rFonts w:ascii="Arial" w:hAnsi="Arial" w:cs="Arial"/>
                <w:color w:val="000000"/>
                <w:sz w:val="20"/>
                <w:szCs w:val="20"/>
              </w:rPr>
            </w:pPr>
          </w:p>
        </w:tc>
      </w:tr>
      <w:tr w:rsidR="00692A77" w:rsidRPr="004D453A" w14:paraId="3977847E"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2992306"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47E13FB9" w14:textId="3A2CA00A"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130</w:t>
            </w:r>
          </w:p>
        </w:tc>
        <w:tc>
          <w:tcPr>
            <w:tcW w:w="2730" w:type="dxa"/>
            <w:tcBorders>
              <w:top w:val="nil"/>
              <w:left w:val="nil"/>
              <w:bottom w:val="nil"/>
              <w:right w:val="nil"/>
            </w:tcBorders>
            <w:shd w:val="clear" w:color="auto" w:fill="auto"/>
            <w:noWrap/>
            <w:vAlign w:val="bottom"/>
            <w:hideMark/>
          </w:tcPr>
          <w:p w14:paraId="27566BEF" w14:textId="28A49808"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54350C06"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922B95B"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042D9AE6" w14:textId="4D69214E"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158</w:t>
            </w:r>
          </w:p>
        </w:tc>
        <w:tc>
          <w:tcPr>
            <w:tcW w:w="2730" w:type="dxa"/>
            <w:tcBorders>
              <w:top w:val="nil"/>
              <w:left w:val="nil"/>
              <w:bottom w:val="nil"/>
              <w:right w:val="nil"/>
            </w:tcBorders>
            <w:shd w:val="clear" w:color="auto" w:fill="auto"/>
            <w:noWrap/>
            <w:vAlign w:val="bottom"/>
            <w:hideMark/>
          </w:tcPr>
          <w:p w14:paraId="649C1DED" w14:textId="39DABE10"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1.06 (0.79</w:t>
            </w:r>
            <w:r w:rsidR="00123418" w:rsidRPr="004D453A">
              <w:rPr>
                <w:rFonts w:ascii="Arial" w:hAnsi="Arial" w:cs="Arial"/>
                <w:color w:val="000000"/>
                <w:sz w:val="20"/>
                <w:szCs w:val="20"/>
              </w:rPr>
              <w:t>-</w:t>
            </w:r>
            <w:r w:rsidRPr="004D453A">
              <w:rPr>
                <w:rFonts w:ascii="Arial" w:hAnsi="Arial" w:cs="Arial"/>
                <w:color w:val="000000"/>
                <w:sz w:val="20"/>
                <w:szCs w:val="20"/>
              </w:rPr>
              <w:t>1.42)</w:t>
            </w:r>
          </w:p>
        </w:tc>
      </w:tr>
      <w:tr w:rsidR="00692A77" w:rsidRPr="004D453A" w14:paraId="4F6FD84A"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21B36D9"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3913CF31" w14:textId="1AA3E38F"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145</w:t>
            </w:r>
          </w:p>
        </w:tc>
        <w:tc>
          <w:tcPr>
            <w:tcW w:w="2730" w:type="dxa"/>
            <w:tcBorders>
              <w:top w:val="nil"/>
              <w:left w:val="nil"/>
              <w:bottom w:val="nil"/>
              <w:right w:val="nil"/>
            </w:tcBorders>
            <w:shd w:val="clear" w:color="auto" w:fill="auto"/>
            <w:noWrap/>
            <w:vAlign w:val="bottom"/>
            <w:hideMark/>
          </w:tcPr>
          <w:p w14:paraId="480052A8" w14:textId="17BA496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0.97 (0.72</w:t>
            </w:r>
            <w:r w:rsidR="00123418" w:rsidRPr="004D453A">
              <w:rPr>
                <w:rFonts w:ascii="Arial" w:hAnsi="Arial" w:cs="Arial"/>
                <w:color w:val="000000"/>
                <w:sz w:val="20"/>
                <w:szCs w:val="20"/>
              </w:rPr>
              <w:t>-</w:t>
            </w:r>
            <w:r w:rsidRPr="004D453A">
              <w:rPr>
                <w:rFonts w:ascii="Arial" w:hAnsi="Arial" w:cs="Arial"/>
                <w:color w:val="000000"/>
                <w:sz w:val="20"/>
                <w:szCs w:val="20"/>
              </w:rPr>
              <w:t>1.32)</w:t>
            </w:r>
          </w:p>
        </w:tc>
      </w:tr>
      <w:tr w:rsidR="00692A77" w:rsidRPr="004D453A" w14:paraId="7B3AD749"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0C95FE2"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18702224" w14:textId="4E205A19"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153</w:t>
            </w:r>
          </w:p>
        </w:tc>
        <w:tc>
          <w:tcPr>
            <w:tcW w:w="2730" w:type="dxa"/>
            <w:tcBorders>
              <w:top w:val="nil"/>
              <w:left w:val="nil"/>
              <w:bottom w:val="nil"/>
              <w:right w:val="nil"/>
            </w:tcBorders>
            <w:shd w:val="clear" w:color="auto" w:fill="auto"/>
            <w:noWrap/>
            <w:vAlign w:val="bottom"/>
            <w:hideMark/>
          </w:tcPr>
          <w:p w14:paraId="20DA8C08" w14:textId="609EA2DF"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1.02 (0.75</w:t>
            </w:r>
            <w:r w:rsidR="00123418" w:rsidRPr="004D453A">
              <w:rPr>
                <w:rFonts w:ascii="Arial" w:hAnsi="Arial" w:cs="Arial"/>
                <w:color w:val="000000"/>
                <w:sz w:val="20"/>
                <w:szCs w:val="20"/>
              </w:rPr>
              <w:t>-</w:t>
            </w:r>
            <w:r w:rsidRPr="004D453A">
              <w:rPr>
                <w:rFonts w:ascii="Arial" w:hAnsi="Arial" w:cs="Arial"/>
                <w:color w:val="000000"/>
                <w:sz w:val="20"/>
                <w:szCs w:val="20"/>
              </w:rPr>
              <w:t>1.38)</w:t>
            </w:r>
          </w:p>
        </w:tc>
      </w:tr>
      <w:tr w:rsidR="00692A77" w:rsidRPr="004D453A" w14:paraId="3453908C"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B61F732"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1854ED64" w14:textId="44D9E5D7"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179</w:t>
            </w:r>
          </w:p>
        </w:tc>
        <w:tc>
          <w:tcPr>
            <w:tcW w:w="2730" w:type="dxa"/>
            <w:tcBorders>
              <w:top w:val="nil"/>
              <w:left w:val="nil"/>
              <w:bottom w:val="nil"/>
              <w:right w:val="nil"/>
            </w:tcBorders>
            <w:shd w:val="clear" w:color="auto" w:fill="auto"/>
            <w:noWrap/>
            <w:vAlign w:val="bottom"/>
            <w:hideMark/>
          </w:tcPr>
          <w:p w14:paraId="0D23DFF6" w14:textId="40DB368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1.14 (0.84</w:t>
            </w:r>
            <w:r w:rsidR="00123418" w:rsidRPr="004D453A">
              <w:rPr>
                <w:rFonts w:ascii="Arial" w:hAnsi="Arial" w:cs="Arial"/>
                <w:color w:val="000000"/>
                <w:sz w:val="20"/>
                <w:szCs w:val="20"/>
              </w:rPr>
              <w:t>-</w:t>
            </w:r>
            <w:r w:rsidRPr="004D453A">
              <w:rPr>
                <w:rFonts w:ascii="Arial" w:hAnsi="Arial" w:cs="Arial"/>
                <w:color w:val="000000"/>
                <w:sz w:val="20"/>
                <w:szCs w:val="20"/>
              </w:rPr>
              <w:t>1.56)</w:t>
            </w:r>
          </w:p>
        </w:tc>
      </w:tr>
      <w:tr w:rsidR="00692A77" w:rsidRPr="004D453A" w14:paraId="7C66E5CD"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04DD1CD6"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31A7E648" w14:textId="6FF6E3EF"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113A15E6" w14:textId="44AE8138"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0.44</w:t>
            </w:r>
          </w:p>
        </w:tc>
      </w:tr>
      <w:tr w:rsidR="00692A77" w:rsidRPr="004D453A" w14:paraId="16065419" w14:textId="77777777" w:rsidTr="00BA3039">
        <w:trPr>
          <w:trHeight w:val="20"/>
          <w:jc w:val="center"/>
        </w:trPr>
        <w:tc>
          <w:tcPr>
            <w:tcW w:w="3440" w:type="dxa"/>
            <w:tcBorders>
              <w:top w:val="nil"/>
              <w:left w:val="nil"/>
              <w:bottom w:val="nil"/>
              <w:right w:val="nil"/>
            </w:tcBorders>
            <w:shd w:val="clear" w:color="000000" w:fill="FFFFFF"/>
            <w:vAlign w:val="center"/>
            <w:hideMark/>
          </w:tcPr>
          <w:p w14:paraId="128AF418"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Other vegetables</w:t>
            </w:r>
          </w:p>
        </w:tc>
        <w:tc>
          <w:tcPr>
            <w:tcW w:w="1300" w:type="dxa"/>
            <w:tcBorders>
              <w:top w:val="nil"/>
              <w:left w:val="nil"/>
              <w:bottom w:val="nil"/>
              <w:right w:val="nil"/>
            </w:tcBorders>
            <w:shd w:val="clear" w:color="auto" w:fill="auto"/>
            <w:noWrap/>
            <w:vAlign w:val="bottom"/>
            <w:hideMark/>
          </w:tcPr>
          <w:p w14:paraId="77C2F1B1"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0CBEFD41" w14:textId="77777777" w:rsidR="00692A77" w:rsidRPr="004D453A" w:rsidRDefault="00692A77" w:rsidP="00692A77">
            <w:pPr>
              <w:jc w:val="center"/>
              <w:rPr>
                <w:rFonts w:ascii="Arial" w:hAnsi="Arial" w:cs="Arial"/>
                <w:color w:val="000000"/>
                <w:sz w:val="20"/>
                <w:szCs w:val="20"/>
              </w:rPr>
            </w:pPr>
          </w:p>
        </w:tc>
      </w:tr>
      <w:tr w:rsidR="00692A77" w:rsidRPr="004D453A" w14:paraId="0DDFCEF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BD50060"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057C2CAF" w14:textId="75A01616"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126</w:t>
            </w:r>
          </w:p>
        </w:tc>
        <w:tc>
          <w:tcPr>
            <w:tcW w:w="2730" w:type="dxa"/>
            <w:tcBorders>
              <w:top w:val="nil"/>
              <w:left w:val="nil"/>
              <w:bottom w:val="nil"/>
              <w:right w:val="nil"/>
            </w:tcBorders>
            <w:shd w:val="clear" w:color="auto" w:fill="auto"/>
            <w:noWrap/>
            <w:vAlign w:val="bottom"/>
            <w:hideMark/>
          </w:tcPr>
          <w:p w14:paraId="07CAE5D5" w14:textId="4CF8775C"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22040511"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5E1357C8"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271B7823" w14:textId="7307ED78"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159</w:t>
            </w:r>
          </w:p>
        </w:tc>
        <w:tc>
          <w:tcPr>
            <w:tcW w:w="2730" w:type="dxa"/>
            <w:tcBorders>
              <w:top w:val="nil"/>
              <w:left w:val="nil"/>
              <w:bottom w:val="nil"/>
              <w:right w:val="nil"/>
            </w:tcBorders>
            <w:shd w:val="clear" w:color="auto" w:fill="auto"/>
            <w:noWrap/>
            <w:vAlign w:val="bottom"/>
            <w:hideMark/>
          </w:tcPr>
          <w:p w14:paraId="63DCA071" w14:textId="34C7BA00"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1.19 (0.89</w:t>
            </w:r>
            <w:r w:rsidR="00123418" w:rsidRPr="004D453A">
              <w:rPr>
                <w:rFonts w:ascii="Arial" w:hAnsi="Arial" w:cs="Arial"/>
                <w:color w:val="000000"/>
                <w:sz w:val="20"/>
                <w:szCs w:val="20"/>
              </w:rPr>
              <w:t>-</w:t>
            </w:r>
            <w:r w:rsidRPr="004D453A">
              <w:rPr>
                <w:rFonts w:ascii="Arial" w:hAnsi="Arial" w:cs="Arial"/>
                <w:color w:val="000000"/>
                <w:sz w:val="20"/>
                <w:szCs w:val="20"/>
              </w:rPr>
              <w:t>1.60)</w:t>
            </w:r>
          </w:p>
        </w:tc>
      </w:tr>
      <w:tr w:rsidR="00692A77" w:rsidRPr="004D453A" w14:paraId="22F57F9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F4313E0"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1B5E42C8" w14:textId="0AEC7E5D"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140</w:t>
            </w:r>
          </w:p>
        </w:tc>
        <w:tc>
          <w:tcPr>
            <w:tcW w:w="2730" w:type="dxa"/>
            <w:tcBorders>
              <w:top w:val="nil"/>
              <w:left w:val="nil"/>
              <w:bottom w:val="nil"/>
              <w:right w:val="nil"/>
            </w:tcBorders>
            <w:shd w:val="clear" w:color="auto" w:fill="auto"/>
            <w:noWrap/>
            <w:vAlign w:val="bottom"/>
            <w:hideMark/>
          </w:tcPr>
          <w:p w14:paraId="0A34B44C" w14:textId="6D376D7C"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1.03 (0.76</w:t>
            </w:r>
            <w:r w:rsidR="00123418" w:rsidRPr="004D453A">
              <w:rPr>
                <w:rFonts w:ascii="Arial" w:hAnsi="Arial" w:cs="Arial"/>
                <w:color w:val="000000"/>
                <w:sz w:val="20"/>
                <w:szCs w:val="20"/>
              </w:rPr>
              <w:t>-</w:t>
            </w:r>
            <w:r w:rsidRPr="004D453A">
              <w:rPr>
                <w:rFonts w:ascii="Arial" w:hAnsi="Arial" w:cs="Arial"/>
                <w:color w:val="000000"/>
                <w:sz w:val="20"/>
                <w:szCs w:val="20"/>
              </w:rPr>
              <w:t>1.41)</w:t>
            </w:r>
          </w:p>
        </w:tc>
      </w:tr>
      <w:tr w:rsidR="00692A77" w:rsidRPr="004D453A" w14:paraId="7AB61FCC"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F2C44E8"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205C4097" w14:textId="15DEEA32"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156</w:t>
            </w:r>
          </w:p>
        </w:tc>
        <w:tc>
          <w:tcPr>
            <w:tcW w:w="2730" w:type="dxa"/>
            <w:tcBorders>
              <w:top w:val="nil"/>
              <w:left w:val="nil"/>
              <w:bottom w:val="nil"/>
              <w:right w:val="nil"/>
            </w:tcBorders>
            <w:shd w:val="clear" w:color="auto" w:fill="auto"/>
            <w:noWrap/>
            <w:vAlign w:val="bottom"/>
            <w:hideMark/>
          </w:tcPr>
          <w:p w14:paraId="0E269F33" w14:textId="027025F0"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1.17 (0.86</w:t>
            </w:r>
            <w:r w:rsidR="00123418" w:rsidRPr="004D453A">
              <w:rPr>
                <w:rFonts w:ascii="Arial" w:hAnsi="Arial" w:cs="Arial"/>
                <w:color w:val="000000"/>
                <w:sz w:val="20"/>
                <w:szCs w:val="20"/>
              </w:rPr>
              <w:t>-</w:t>
            </w:r>
            <w:r w:rsidRPr="004D453A">
              <w:rPr>
                <w:rFonts w:ascii="Arial" w:hAnsi="Arial" w:cs="Arial"/>
                <w:color w:val="000000"/>
                <w:sz w:val="20"/>
                <w:szCs w:val="20"/>
              </w:rPr>
              <w:t>1.59)</w:t>
            </w:r>
          </w:p>
        </w:tc>
      </w:tr>
      <w:tr w:rsidR="00692A77" w:rsidRPr="004D453A" w14:paraId="11406CEA"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7EEBEC2"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5D18F6CF" w14:textId="61807832"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184</w:t>
            </w:r>
          </w:p>
        </w:tc>
        <w:tc>
          <w:tcPr>
            <w:tcW w:w="2730" w:type="dxa"/>
            <w:tcBorders>
              <w:top w:val="nil"/>
              <w:left w:val="nil"/>
              <w:bottom w:val="nil"/>
              <w:right w:val="nil"/>
            </w:tcBorders>
            <w:shd w:val="clear" w:color="auto" w:fill="auto"/>
            <w:noWrap/>
            <w:vAlign w:val="bottom"/>
            <w:hideMark/>
          </w:tcPr>
          <w:p w14:paraId="21C15757" w14:textId="236C0D4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1.38 (1.02</w:t>
            </w:r>
            <w:r w:rsidR="00123418" w:rsidRPr="004D453A">
              <w:rPr>
                <w:rFonts w:ascii="Arial" w:hAnsi="Arial" w:cs="Arial"/>
                <w:color w:val="000000"/>
                <w:sz w:val="20"/>
                <w:szCs w:val="20"/>
              </w:rPr>
              <w:t>-</w:t>
            </w:r>
            <w:r w:rsidRPr="004D453A">
              <w:rPr>
                <w:rFonts w:ascii="Arial" w:hAnsi="Arial" w:cs="Arial"/>
                <w:color w:val="000000"/>
                <w:sz w:val="20"/>
                <w:szCs w:val="20"/>
              </w:rPr>
              <w:t>1.89)</w:t>
            </w:r>
          </w:p>
        </w:tc>
      </w:tr>
      <w:tr w:rsidR="00692A77" w:rsidRPr="004D453A" w14:paraId="51196B4B"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6F9F0B58"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438333F7" w14:textId="6D933EA8"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1B6D7475" w14:textId="3B5CC3EA"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0.05</w:t>
            </w:r>
          </w:p>
        </w:tc>
      </w:tr>
      <w:tr w:rsidR="00692A77" w:rsidRPr="004D453A" w14:paraId="7968B055" w14:textId="77777777" w:rsidTr="00BA3039">
        <w:trPr>
          <w:trHeight w:val="20"/>
          <w:jc w:val="center"/>
        </w:trPr>
        <w:tc>
          <w:tcPr>
            <w:tcW w:w="3440" w:type="dxa"/>
            <w:tcBorders>
              <w:top w:val="nil"/>
              <w:left w:val="nil"/>
              <w:bottom w:val="nil"/>
              <w:right w:val="nil"/>
            </w:tcBorders>
            <w:shd w:val="clear" w:color="000000" w:fill="FFFFFF"/>
            <w:vAlign w:val="center"/>
            <w:hideMark/>
          </w:tcPr>
          <w:p w14:paraId="5735FE53"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Legumes</w:t>
            </w:r>
          </w:p>
        </w:tc>
        <w:tc>
          <w:tcPr>
            <w:tcW w:w="1300" w:type="dxa"/>
            <w:tcBorders>
              <w:top w:val="nil"/>
              <w:left w:val="nil"/>
              <w:bottom w:val="nil"/>
              <w:right w:val="nil"/>
            </w:tcBorders>
            <w:shd w:val="clear" w:color="auto" w:fill="auto"/>
            <w:noWrap/>
            <w:vAlign w:val="bottom"/>
            <w:hideMark/>
          </w:tcPr>
          <w:p w14:paraId="4D6AAD70"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108C8220" w14:textId="77777777" w:rsidR="00692A77" w:rsidRPr="004D453A" w:rsidRDefault="00692A77" w:rsidP="00692A77">
            <w:pPr>
              <w:jc w:val="center"/>
              <w:rPr>
                <w:rFonts w:ascii="Arial" w:hAnsi="Arial" w:cs="Arial"/>
                <w:color w:val="000000"/>
                <w:sz w:val="20"/>
                <w:szCs w:val="20"/>
              </w:rPr>
            </w:pPr>
          </w:p>
        </w:tc>
      </w:tr>
      <w:tr w:rsidR="00692A77" w:rsidRPr="004D453A" w14:paraId="6850DEA4"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0419B40"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2FEDAF28" w14:textId="70D4CCA2"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128</w:t>
            </w:r>
          </w:p>
        </w:tc>
        <w:tc>
          <w:tcPr>
            <w:tcW w:w="2730" w:type="dxa"/>
            <w:tcBorders>
              <w:top w:val="nil"/>
              <w:left w:val="nil"/>
              <w:bottom w:val="nil"/>
              <w:right w:val="nil"/>
            </w:tcBorders>
            <w:shd w:val="clear" w:color="auto" w:fill="auto"/>
            <w:noWrap/>
            <w:vAlign w:val="bottom"/>
            <w:hideMark/>
          </w:tcPr>
          <w:p w14:paraId="4C656141" w14:textId="658085A8"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7DBEE30C"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17A263A"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46194115" w14:textId="0E9469C8"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153</w:t>
            </w:r>
          </w:p>
        </w:tc>
        <w:tc>
          <w:tcPr>
            <w:tcW w:w="2730" w:type="dxa"/>
            <w:tcBorders>
              <w:top w:val="nil"/>
              <w:left w:val="nil"/>
              <w:bottom w:val="nil"/>
              <w:right w:val="nil"/>
            </w:tcBorders>
            <w:shd w:val="clear" w:color="auto" w:fill="auto"/>
            <w:noWrap/>
            <w:vAlign w:val="bottom"/>
            <w:hideMark/>
          </w:tcPr>
          <w:p w14:paraId="51E29D71" w14:textId="03463344"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1.10 (0.82</w:t>
            </w:r>
            <w:r w:rsidR="00123418" w:rsidRPr="004D453A">
              <w:rPr>
                <w:rFonts w:ascii="Arial" w:hAnsi="Arial" w:cs="Arial"/>
                <w:color w:val="000000"/>
                <w:sz w:val="20"/>
                <w:szCs w:val="20"/>
              </w:rPr>
              <w:t>-</w:t>
            </w:r>
            <w:r w:rsidRPr="004D453A">
              <w:rPr>
                <w:rFonts w:ascii="Arial" w:hAnsi="Arial" w:cs="Arial"/>
                <w:color w:val="000000"/>
                <w:sz w:val="20"/>
                <w:szCs w:val="20"/>
              </w:rPr>
              <w:t>1.48)</w:t>
            </w:r>
          </w:p>
        </w:tc>
      </w:tr>
      <w:tr w:rsidR="00692A77" w:rsidRPr="004D453A" w14:paraId="7A37773A"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F192BE3"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23B565EE" w14:textId="2B4B09D5"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149</w:t>
            </w:r>
          </w:p>
        </w:tc>
        <w:tc>
          <w:tcPr>
            <w:tcW w:w="2730" w:type="dxa"/>
            <w:tcBorders>
              <w:top w:val="nil"/>
              <w:left w:val="nil"/>
              <w:bottom w:val="nil"/>
              <w:right w:val="nil"/>
            </w:tcBorders>
            <w:shd w:val="clear" w:color="auto" w:fill="auto"/>
            <w:noWrap/>
            <w:vAlign w:val="bottom"/>
            <w:hideMark/>
          </w:tcPr>
          <w:p w14:paraId="0114135D" w14:textId="37297359"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1.07 (0.80</w:t>
            </w:r>
            <w:r w:rsidR="00123418" w:rsidRPr="004D453A">
              <w:rPr>
                <w:rFonts w:ascii="Arial" w:hAnsi="Arial" w:cs="Arial"/>
                <w:color w:val="000000"/>
                <w:sz w:val="20"/>
                <w:szCs w:val="20"/>
              </w:rPr>
              <w:t>-</w:t>
            </w:r>
            <w:r w:rsidRPr="004D453A">
              <w:rPr>
                <w:rFonts w:ascii="Arial" w:hAnsi="Arial" w:cs="Arial"/>
                <w:color w:val="000000"/>
                <w:sz w:val="20"/>
                <w:szCs w:val="20"/>
              </w:rPr>
              <w:t>1.45)</w:t>
            </w:r>
          </w:p>
        </w:tc>
      </w:tr>
      <w:tr w:rsidR="00692A77" w:rsidRPr="004D453A" w14:paraId="34F327D6"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CE5DEDD"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59A38DCA" w14:textId="3A53D5F2"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157</w:t>
            </w:r>
          </w:p>
        </w:tc>
        <w:tc>
          <w:tcPr>
            <w:tcW w:w="2730" w:type="dxa"/>
            <w:tcBorders>
              <w:top w:val="nil"/>
              <w:left w:val="nil"/>
              <w:bottom w:val="nil"/>
              <w:right w:val="nil"/>
            </w:tcBorders>
            <w:shd w:val="clear" w:color="auto" w:fill="auto"/>
            <w:noWrap/>
            <w:vAlign w:val="bottom"/>
            <w:hideMark/>
          </w:tcPr>
          <w:p w14:paraId="72835F7D" w14:textId="4C3AE74A"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1.14 (0.84</w:t>
            </w:r>
            <w:r w:rsidR="00123418" w:rsidRPr="004D453A">
              <w:rPr>
                <w:rFonts w:ascii="Arial" w:hAnsi="Arial" w:cs="Arial"/>
                <w:color w:val="000000"/>
                <w:sz w:val="20"/>
                <w:szCs w:val="20"/>
              </w:rPr>
              <w:t>-</w:t>
            </w:r>
            <w:r w:rsidRPr="004D453A">
              <w:rPr>
                <w:rFonts w:ascii="Arial" w:hAnsi="Arial" w:cs="Arial"/>
                <w:color w:val="000000"/>
                <w:sz w:val="20"/>
                <w:szCs w:val="20"/>
              </w:rPr>
              <w:t>1.54)</w:t>
            </w:r>
          </w:p>
        </w:tc>
      </w:tr>
      <w:tr w:rsidR="00692A77" w:rsidRPr="004D453A" w14:paraId="378DE7A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F4C0618"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5292C040" w14:textId="62F4F1AD"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178</w:t>
            </w:r>
          </w:p>
        </w:tc>
        <w:tc>
          <w:tcPr>
            <w:tcW w:w="2730" w:type="dxa"/>
            <w:tcBorders>
              <w:top w:val="nil"/>
              <w:left w:val="nil"/>
              <w:bottom w:val="nil"/>
              <w:right w:val="nil"/>
            </w:tcBorders>
            <w:shd w:val="clear" w:color="auto" w:fill="auto"/>
            <w:noWrap/>
            <w:vAlign w:val="bottom"/>
            <w:hideMark/>
          </w:tcPr>
          <w:p w14:paraId="62E64910" w14:textId="0AC7D714"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1.26 (0.93</w:t>
            </w:r>
            <w:r w:rsidR="00123418" w:rsidRPr="004D453A">
              <w:rPr>
                <w:rFonts w:ascii="Arial" w:hAnsi="Arial" w:cs="Arial"/>
                <w:color w:val="000000"/>
                <w:sz w:val="20"/>
                <w:szCs w:val="20"/>
              </w:rPr>
              <w:t>-</w:t>
            </w:r>
            <w:r w:rsidRPr="004D453A">
              <w:rPr>
                <w:rFonts w:ascii="Arial" w:hAnsi="Arial" w:cs="Arial"/>
                <w:color w:val="000000"/>
                <w:sz w:val="20"/>
                <w:szCs w:val="20"/>
              </w:rPr>
              <w:t>1.71)</w:t>
            </w:r>
          </w:p>
        </w:tc>
      </w:tr>
      <w:tr w:rsidR="00692A77" w:rsidRPr="004D453A" w14:paraId="2CF9ED5C"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59FC6FF2"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445F69EF" w14:textId="44D7B688"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1B6FD98E" w14:textId="3D0438ED"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0.13</w:t>
            </w:r>
          </w:p>
        </w:tc>
      </w:tr>
      <w:tr w:rsidR="00692A77" w:rsidRPr="004D453A" w14:paraId="04A68D0B" w14:textId="77777777" w:rsidTr="00BA3039">
        <w:trPr>
          <w:trHeight w:val="20"/>
          <w:jc w:val="center"/>
        </w:trPr>
        <w:tc>
          <w:tcPr>
            <w:tcW w:w="3440" w:type="dxa"/>
            <w:tcBorders>
              <w:top w:val="nil"/>
              <w:left w:val="nil"/>
              <w:bottom w:val="nil"/>
              <w:right w:val="nil"/>
            </w:tcBorders>
            <w:shd w:val="clear" w:color="000000" w:fill="FFFFFF"/>
            <w:vAlign w:val="center"/>
            <w:hideMark/>
          </w:tcPr>
          <w:p w14:paraId="0B13B4EC"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lastRenderedPageBreak/>
              <w:t xml:space="preserve">Fish </w:t>
            </w:r>
          </w:p>
        </w:tc>
        <w:tc>
          <w:tcPr>
            <w:tcW w:w="1300" w:type="dxa"/>
            <w:tcBorders>
              <w:top w:val="nil"/>
              <w:left w:val="nil"/>
              <w:bottom w:val="nil"/>
              <w:right w:val="nil"/>
            </w:tcBorders>
            <w:shd w:val="clear" w:color="auto" w:fill="auto"/>
            <w:noWrap/>
            <w:vAlign w:val="bottom"/>
            <w:hideMark/>
          </w:tcPr>
          <w:p w14:paraId="0E1074B0"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28594B32" w14:textId="77777777" w:rsidR="00692A77" w:rsidRPr="004D453A" w:rsidRDefault="00692A77" w:rsidP="00692A77">
            <w:pPr>
              <w:jc w:val="center"/>
              <w:rPr>
                <w:rFonts w:ascii="Arial" w:hAnsi="Arial" w:cs="Arial"/>
                <w:color w:val="000000"/>
                <w:sz w:val="20"/>
                <w:szCs w:val="20"/>
              </w:rPr>
            </w:pPr>
          </w:p>
        </w:tc>
      </w:tr>
      <w:tr w:rsidR="00692A77" w:rsidRPr="004D453A" w14:paraId="7A27196F"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47D843D"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5E46D633" w14:textId="6608A095"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130</w:t>
            </w:r>
          </w:p>
        </w:tc>
        <w:tc>
          <w:tcPr>
            <w:tcW w:w="2730" w:type="dxa"/>
            <w:tcBorders>
              <w:top w:val="nil"/>
              <w:left w:val="nil"/>
              <w:bottom w:val="nil"/>
              <w:right w:val="nil"/>
            </w:tcBorders>
            <w:shd w:val="clear" w:color="auto" w:fill="auto"/>
            <w:noWrap/>
            <w:vAlign w:val="bottom"/>
            <w:hideMark/>
          </w:tcPr>
          <w:p w14:paraId="5E944BA6" w14:textId="0AA9B37A"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4E949AD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907BA60"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4885C2E0" w14:textId="2B56FF80"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154</w:t>
            </w:r>
          </w:p>
        </w:tc>
        <w:tc>
          <w:tcPr>
            <w:tcW w:w="2730" w:type="dxa"/>
            <w:tcBorders>
              <w:top w:val="nil"/>
              <w:left w:val="nil"/>
              <w:bottom w:val="nil"/>
              <w:right w:val="nil"/>
            </w:tcBorders>
            <w:shd w:val="clear" w:color="auto" w:fill="auto"/>
            <w:noWrap/>
            <w:vAlign w:val="bottom"/>
            <w:hideMark/>
          </w:tcPr>
          <w:p w14:paraId="4E91E896" w14:textId="2F92E1E6"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1.08 (0.81</w:t>
            </w:r>
            <w:r w:rsidR="00123418" w:rsidRPr="004D453A">
              <w:rPr>
                <w:rFonts w:ascii="Arial" w:hAnsi="Arial" w:cs="Arial"/>
                <w:color w:val="000000"/>
                <w:sz w:val="20"/>
                <w:szCs w:val="20"/>
              </w:rPr>
              <w:t>-</w:t>
            </w:r>
            <w:r w:rsidRPr="004D453A">
              <w:rPr>
                <w:rFonts w:ascii="Arial" w:hAnsi="Arial" w:cs="Arial"/>
                <w:color w:val="000000"/>
                <w:sz w:val="20"/>
                <w:szCs w:val="20"/>
              </w:rPr>
              <w:t>1.45)</w:t>
            </w:r>
          </w:p>
        </w:tc>
      </w:tr>
      <w:tr w:rsidR="00692A77" w:rsidRPr="004D453A" w14:paraId="3B1D4FB7"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604BD23"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6ED8C6CC" w14:textId="385027DB"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145</w:t>
            </w:r>
          </w:p>
        </w:tc>
        <w:tc>
          <w:tcPr>
            <w:tcW w:w="2730" w:type="dxa"/>
            <w:tcBorders>
              <w:top w:val="nil"/>
              <w:left w:val="nil"/>
              <w:bottom w:val="nil"/>
              <w:right w:val="nil"/>
            </w:tcBorders>
            <w:shd w:val="clear" w:color="auto" w:fill="auto"/>
            <w:noWrap/>
            <w:vAlign w:val="bottom"/>
            <w:hideMark/>
          </w:tcPr>
          <w:p w14:paraId="0D4F6D35" w14:textId="30F100E8"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1.05 (0.78</w:t>
            </w:r>
            <w:r w:rsidR="00123418" w:rsidRPr="004D453A">
              <w:rPr>
                <w:rFonts w:ascii="Arial" w:hAnsi="Arial" w:cs="Arial"/>
                <w:color w:val="000000"/>
                <w:sz w:val="20"/>
                <w:szCs w:val="20"/>
              </w:rPr>
              <w:t>-</w:t>
            </w:r>
            <w:r w:rsidRPr="004D453A">
              <w:rPr>
                <w:rFonts w:ascii="Arial" w:hAnsi="Arial" w:cs="Arial"/>
                <w:color w:val="000000"/>
                <w:sz w:val="20"/>
                <w:szCs w:val="20"/>
              </w:rPr>
              <w:t>1.41)</w:t>
            </w:r>
          </w:p>
        </w:tc>
      </w:tr>
      <w:tr w:rsidR="00692A77" w:rsidRPr="004D453A" w14:paraId="7AB6B9DE"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E87E191"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6DE55974" w14:textId="4058A702"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160</w:t>
            </w:r>
          </w:p>
        </w:tc>
        <w:tc>
          <w:tcPr>
            <w:tcW w:w="2730" w:type="dxa"/>
            <w:tcBorders>
              <w:top w:val="nil"/>
              <w:left w:val="nil"/>
              <w:bottom w:val="nil"/>
              <w:right w:val="nil"/>
            </w:tcBorders>
            <w:shd w:val="clear" w:color="auto" w:fill="auto"/>
            <w:noWrap/>
            <w:vAlign w:val="bottom"/>
            <w:hideMark/>
          </w:tcPr>
          <w:p w14:paraId="12A5B8FF" w14:textId="28BCA1A5"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1.16 (0.86</w:t>
            </w:r>
            <w:r w:rsidR="00123418" w:rsidRPr="004D453A">
              <w:rPr>
                <w:rFonts w:ascii="Arial" w:hAnsi="Arial" w:cs="Arial"/>
                <w:color w:val="000000"/>
                <w:sz w:val="20"/>
                <w:szCs w:val="20"/>
              </w:rPr>
              <w:t>-</w:t>
            </w:r>
            <w:r w:rsidRPr="004D453A">
              <w:rPr>
                <w:rFonts w:ascii="Arial" w:hAnsi="Arial" w:cs="Arial"/>
                <w:color w:val="000000"/>
                <w:sz w:val="20"/>
                <w:szCs w:val="20"/>
              </w:rPr>
              <w:t>1.56)</w:t>
            </w:r>
          </w:p>
        </w:tc>
      </w:tr>
      <w:tr w:rsidR="00692A77" w:rsidRPr="004D453A" w14:paraId="08A5E8CA"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F05726F"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1F03DEAC" w14:textId="5B850D6A"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176</w:t>
            </w:r>
          </w:p>
        </w:tc>
        <w:tc>
          <w:tcPr>
            <w:tcW w:w="2730" w:type="dxa"/>
            <w:tcBorders>
              <w:top w:val="nil"/>
              <w:left w:val="nil"/>
              <w:bottom w:val="nil"/>
              <w:right w:val="nil"/>
            </w:tcBorders>
            <w:shd w:val="clear" w:color="auto" w:fill="auto"/>
            <w:noWrap/>
            <w:vAlign w:val="bottom"/>
            <w:hideMark/>
          </w:tcPr>
          <w:p w14:paraId="728237DC" w14:textId="6791F6DA"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1.27 (0.94</w:t>
            </w:r>
            <w:r w:rsidR="00123418" w:rsidRPr="004D453A">
              <w:rPr>
                <w:rFonts w:ascii="Arial" w:hAnsi="Arial" w:cs="Arial"/>
                <w:color w:val="000000"/>
                <w:sz w:val="20"/>
                <w:szCs w:val="20"/>
              </w:rPr>
              <w:t>-</w:t>
            </w:r>
            <w:r w:rsidRPr="004D453A">
              <w:rPr>
                <w:rFonts w:ascii="Arial" w:hAnsi="Arial" w:cs="Arial"/>
                <w:color w:val="000000"/>
                <w:sz w:val="20"/>
                <w:szCs w:val="20"/>
              </w:rPr>
              <w:t>1.71)</w:t>
            </w:r>
          </w:p>
        </w:tc>
      </w:tr>
      <w:tr w:rsidR="00692A77" w:rsidRPr="004D453A" w14:paraId="5939E31A"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5FE03638"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378CDBF5" w14:textId="228250DB"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31DF2923" w14:textId="31F47509"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0.11</w:t>
            </w:r>
          </w:p>
        </w:tc>
      </w:tr>
      <w:tr w:rsidR="00692A77" w:rsidRPr="004D453A" w14:paraId="72A7785F" w14:textId="77777777" w:rsidTr="00BA3039">
        <w:trPr>
          <w:trHeight w:val="20"/>
          <w:jc w:val="center"/>
        </w:trPr>
        <w:tc>
          <w:tcPr>
            <w:tcW w:w="3440" w:type="dxa"/>
            <w:tcBorders>
              <w:top w:val="nil"/>
              <w:left w:val="nil"/>
              <w:bottom w:val="nil"/>
              <w:right w:val="nil"/>
            </w:tcBorders>
            <w:shd w:val="clear" w:color="000000" w:fill="FFFFFF"/>
            <w:vAlign w:val="center"/>
            <w:hideMark/>
          </w:tcPr>
          <w:p w14:paraId="1CCA4FEA"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Poultry</w:t>
            </w:r>
          </w:p>
        </w:tc>
        <w:tc>
          <w:tcPr>
            <w:tcW w:w="1300" w:type="dxa"/>
            <w:tcBorders>
              <w:top w:val="nil"/>
              <w:left w:val="nil"/>
              <w:bottom w:val="nil"/>
              <w:right w:val="nil"/>
            </w:tcBorders>
            <w:shd w:val="clear" w:color="auto" w:fill="auto"/>
            <w:noWrap/>
            <w:vAlign w:val="bottom"/>
            <w:hideMark/>
          </w:tcPr>
          <w:p w14:paraId="186873F7"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7A3587CB" w14:textId="77777777" w:rsidR="00692A77" w:rsidRPr="004D453A" w:rsidRDefault="00692A77" w:rsidP="00692A77">
            <w:pPr>
              <w:jc w:val="center"/>
              <w:rPr>
                <w:rFonts w:ascii="Arial" w:hAnsi="Arial" w:cs="Arial"/>
                <w:color w:val="000000"/>
                <w:sz w:val="20"/>
                <w:szCs w:val="20"/>
              </w:rPr>
            </w:pPr>
          </w:p>
        </w:tc>
      </w:tr>
      <w:tr w:rsidR="00692A77" w:rsidRPr="004D453A" w14:paraId="2E97366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DC1B7A5"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2BAEF468" w14:textId="0A3AB53D"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144</w:t>
            </w:r>
          </w:p>
        </w:tc>
        <w:tc>
          <w:tcPr>
            <w:tcW w:w="2730" w:type="dxa"/>
            <w:tcBorders>
              <w:top w:val="nil"/>
              <w:left w:val="nil"/>
              <w:bottom w:val="nil"/>
              <w:right w:val="nil"/>
            </w:tcBorders>
            <w:shd w:val="clear" w:color="auto" w:fill="auto"/>
            <w:noWrap/>
            <w:vAlign w:val="bottom"/>
            <w:hideMark/>
          </w:tcPr>
          <w:p w14:paraId="71E30DD9" w14:textId="1B5B4F85"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009A139D"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7A0E7E34"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190C95F7" w14:textId="19064FA0"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151</w:t>
            </w:r>
          </w:p>
        </w:tc>
        <w:tc>
          <w:tcPr>
            <w:tcW w:w="2730" w:type="dxa"/>
            <w:tcBorders>
              <w:top w:val="nil"/>
              <w:left w:val="nil"/>
              <w:bottom w:val="nil"/>
              <w:right w:val="nil"/>
            </w:tcBorders>
            <w:shd w:val="clear" w:color="auto" w:fill="auto"/>
            <w:noWrap/>
            <w:vAlign w:val="bottom"/>
            <w:hideMark/>
          </w:tcPr>
          <w:p w14:paraId="12E1EEFD" w14:textId="65B80713"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1.01 (0.76</w:t>
            </w:r>
            <w:r w:rsidR="00123418" w:rsidRPr="004D453A">
              <w:rPr>
                <w:rFonts w:ascii="Arial" w:hAnsi="Arial" w:cs="Arial"/>
                <w:color w:val="000000"/>
                <w:sz w:val="20"/>
                <w:szCs w:val="20"/>
              </w:rPr>
              <w:t>-</w:t>
            </w:r>
            <w:r w:rsidRPr="004D453A">
              <w:rPr>
                <w:rFonts w:ascii="Arial" w:hAnsi="Arial" w:cs="Arial"/>
                <w:color w:val="000000"/>
                <w:sz w:val="20"/>
                <w:szCs w:val="20"/>
              </w:rPr>
              <w:t>1.35)</w:t>
            </w:r>
          </w:p>
        </w:tc>
      </w:tr>
      <w:tr w:rsidR="00692A77" w:rsidRPr="004D453A" w14:paraId="1766B9D1"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1EF2E40"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3FCE1A47" w14:textId="29E174CE"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149</w:t>
            </w:r>
          </w:p>
        </w:tc>
        <w:tc>
          <w:tcPr>
            <w:tcW w:w="2730" w:type="dxa"/>
            <w:tcBorders>
              <w:top w:val="nil"/>
              <w:left w:val="nil"/>
              <w:bottom w:val="nil"/>
              <w:right w:val="nil"/>
            </w:tcBorders>
            <w:shd w:val="clear" w:color="auto" w:fill="auto"/>
            <w:noWrap/>
            <w:vAlign w:val="bottom"/>
            <w:hideMark/>
          </w:tcPr>
          <w:p w14:paraId="60D2F0A4" w14:textId="5FF443BC"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0.95 (0.71</w:t>
            </w:r>
            <w:r w:rsidR="00123418" w:rsidRPr="004D453A">
              <w:rPr>
                <w:rFonts w:ascii="Arial" w:hAnsi="Arial" w:cs="Arial"/>
                <w:color w:val="000000"/>
                <w:sz w:val="20"/>
                <w:szCs w:val="20"/>
              </w:rPr>
              <w:t>-</w:t>
            </w:r>
            <w:r w:rsidRPr="004D453A">
              <w:rPr>
                <w:rFonts w:ascii="Arial" w:hAnsi="Arial" w:cs="Arial"/>
                <w:color w:val="000000"/>
                <w:sz w:val="20"/>
                <w:szCs w:val="20"/>
              </w:rPr>
              <w:t>1.27)</w:t>
            </w:r>
          </w:p>
        </w:tc>
      </w:tr>
      <w:tr w:rsidR="00692A77" w:rsidRPr="004D453A" w14:paraId="3F6FB8E7"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5AF35287"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43B1E972" w14:textId="582328F7"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137</w:t>
            </w:r>
          </w:p>
        </w:tc>
        <w:tc>
          <w:tcPr>
            <w:tcW w:w="2730" w:type="dxa"/>
            <w:tcBorders>
              <w:top w:val="nil"/>
              <w:left w:val="nil"/>
              <w:bottom w:val="nil"/>
              <w:right w:val="nil"/>
            </w:tcBorders>
            <w:shd w:val="clear" w:color="auto" w:fill="auto"/>
            <w:noWrap/>
            <w:vAlign w:val="bottom"/>
            <w:hideMark/>
          </w:tcPr>
          <w:p w14:paraId="1B55A38B" w14:textId="38D7695A"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0.88 (0.66</w:t>
            </w:r>
            <w:r w:rsidR="00123418" w:rsidRPr="004D453A">
              <w:rPr>
                <w:rFonts w:ascii="Arial" w:hAnsi="Arial" w:cs="Arial"/>
                <w:color w:val="000000"/>
                <w:sz w:val="20"/>
                <w:szCs w:val="20"/>
              </w:rPr>
              <w:t>-</w:t>
            </w:r>
            <w:r w:rsidRPr="004D453A">
              <w:rPr>
                <w:rFonts w:ascii="Arial" w:hAnsi="Arial" w:cs="Arial"/>
                <w:color w:val="000000"/>
                <w:sz w:val="20"/>
                <w:szCs w:val="20"/>
              </w:rPr>
              <w:t>1.19)</w:t>
            </w:r>
          </w:p>
        </w:tc>
      </w:tr>
      <w:tr w:rsidR="00692A77" w:rsidRPr="004D453A" w14:paraId="7B214217"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C15529B"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190ED23D" w14:textId="67357569"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184</w:t>
            </w:r>
          </w:p>
        </w:tc>
        <w:tc>
          <w:tcPr>
            <w:tcW w:w="2730" w:type="dxa"/>
            <w:tcBorders>
              <w:top w:val="nil"/>
              <w:left w:val="nil"/>
              <w:bottom w:val="nil"/>
              <w:right w:val="nil"/>
            </w:tcBorders>
            <w:shd w:val="clear" w:color="auto" w:fill="auto"/>
            <w:noWrap/>
            <w:vAlign w:val="bottom"/>
            <w:hideMark/>
          </w:tcPr>
          <w:p w14:paraId="68A41E0A" w14:textId="3AF1644F"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1.21 (0.91</w:t>
            </w:r>
            <w:r w:rsidR="00123418" w:rsidRPr="004D453A">
              <w:rPr>
                <w:rFonts w:ascii="Arial" w:hAnsi="Arial" w:cs="Arial"/>
                <w:color w:val="000000"/>
                <w:sz w:val="20"/>
                <w:szCs w:val="20"/>
              </w:rPr>
              <w:t>-</w:t>
            </w:r>
            <w:r w:rsidRPr="004D453A">
              <w:rPr>
                <w:rFonts w:ascii="Arial" w:hAnsi="Arial" w:cs="Arial"/>
                <w:color w:val="000000"/>
                <w:sz w:val="20"/>
                <w:szCs w:val="20"/>
              </w:rPr>
              <w:t>1.62)</w:t>
            </w:r>
          </w:p>
        </w:tc>
      </w:tr>
      <w:tr w:rsidR="00692A77" w:rsidRPr="004D453A" w14:paraId="60E6AB49"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45F1721A"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5AB33220" w14:textId="7C64A60A"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2796D7EF" w14:textId="6E4926FE"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0.36</w:t>
            </w:r>
          </w:p>
        </w:tc>
      </w:tr>
      <w:tr w:rsidR="00692A77" w:rsidRPr="004D453A" w14:paraId="735AF299" w14:textId="77777777" w:rsidTr="00BA3039">
        <w:trPr>
          <w:trHeight w:val="20"/>
          <w:jc w:val="center"/>
        </w:trPr>
        <w:tc>
          <w:tcPr>
            <w:tcW w:w="3440" w:type="dxa"/>
            <w:tcBorders>
              <w:top w:val="nil"/>
              <w:left w:val="nil"/>
              <w:bottom w:val="nil"/>
              <w:right w:val="nil"/>
            </w:tcBorders>
            <w:shd w:val="clear" w:color="000000" w:fill="FFFFFF"/>
            <w:vAlign w:val="center"/>
            <w:hideMark/>
          </w:tcPr>
          <w:p w14:paraId="0C4609F5"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Red and organ meats</w:t>
            </w:r>
          </w:p>
        </w:tc>
        <w:tc>
          <w:tcPr>
            <w:tcW w:w="1300" w:type="dxa"/>
            <w:tcBorders>
              <w:top w:val="nil"/>
              <w:left w:val="nil"/>
              <w:bottom w:val="nil"/>
              <w:right w:val="nil"/>
            </w:tcBorders>
            <w:shd w:val="clear" w:color="auto" w:fill="auto"/>
            <w:noWrap/>
            <w:vAlign w:val="bottom"/>
            <w:hideMark/>
          </w:tcPr>
          <w:p w14:paraId="75F8A7D6"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5F4BA08C" w14:textId="77777777" w:rsidR="00692A77" w:rsidRPr="004D453A" w:rsidRDefault="00692A77" w:rsidP="00692A77">
            <w:pPr>
              <w:jc w:val="center"/>
              <w:rPr>
                <w:rFonts w:ascii="Arial" w:hAnsi="Arial" w:cs="Arial"/>
                <w:color w:val="000000"/>
                <w:sz w:val="20"/>
                <w:szCs w:val="20"/>
              </w:rPr>
            </w:pPr>
          </w:p>
        </w:tc>
      </w:tr>
      <w:tr w:rsidR="00692A77" w:rsidRPr="004D453A" w14:paraId="40DF764A"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319CC53"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0FC03FA2" w14:textId="0769C5AE"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129</w:t>
            </w:r>
          </w:p>
        </w:tc>
        <w:tc>
          <w:tcPr>
            <w:tcW w:w="2730" w:type="dxa"/>
            <w:tcBorders>
              <w:top w:val="nil"/>
              <w:left w:val="nil"/>
              <w:bottom w:val="nil"/>
              <w:right w:val="nil"/>
            </w:tcBorders>
            <w:shd w:val="clear" w:color="auto" w:fill="auto"/>
            <w:noWrap/>
            <w:vAlign w:val="bottom"/>
            <w:hideMark/>
          </w:tcPr>
          <w:p w14:paraId="5D55D529" w14:textId="1CEA0EF1"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36D35553"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57C9BA0A"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70F30492" w14:textId="5A4BE407"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154</w:t>
            </w:r>
          </w:p>
        </w:tc>
        <w:tc>
          <w:tcPr>
            <w:tcW w:w="2730" w:type="dxa"/>
            <w:tcBorders>
              <w:top w:val="nil"/>
              <w:left w:val="nil"/>
              <w:bottom w:val="nil"/>
              <w:right w:val="nil"/>
            </w:tcBorders>
            <w:shd w:val="clear" w:color="auto" w:fill="auto"/>
            <w:noWrap/>
            <w:vAlign w:val="bottom"/>
            <w:hideMark/>
          </w:tcPr>
          <w:p w14:paraId="3603474E" w14:textId="59A1F088"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1.11 (0.83</w:t>
            </w:r>
            <w:r w:rsidR="00123418" w:rsidRPr="004D453A">
              <w:rPr>
                <w:rFonts w:ascii="Arial" w:hAnsi="Arial" w:cs="Arial"/>
                <w:color w:val="000000"/>
                <w:sz w:val="20"/>
                <w:szCs w:val="20"/>
              </w:rPr>
              <w:t>-</w:t>
            </w:r>
            <w:r w:rsidRPr="004D453A">
              <w:rPr>
                <w:rFonts w:ascii="Arial" w:hAnsi="Arial" w:cs="Arial"/>
                <w:color w:val="000000"/>
                <w:sz w:val="20"/>
                <w:szCs w:val="20"/>
              </w:rPr>
              <w:t>1.48)</w:t>
            </w:r>
          </w:p>
        </w:tc>
      </w:tr>
      <w:tr w:rsidR="00692A77" w:rsidRPr="004D453A" w14:paraId="6B83A22C"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47D30C2"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31C479FD" w14:textId="20FEAEA1"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152</w:t>
            </w:r>
          </w:p>
        </w:tc>
        <w:tc>
          <w:tcPr>
            <w:tcW w:w="2730" w:type="dxa"/>
            <w:tcBorders>
              <w:top w:val="nil"/>
              <w:left w:val="nil"/>
              <w:bottom w:val="nil"/>
              <w:right w:val="nil"/>
            </w:tcBorders>
            <w:shd w:val="clear" w:color="auto" w:fill="auto"/>
            <w:noWrap/>
            <w:vAlign w:val="bottom"/>
            <w:hideMark/>
          </w:tcPr>
          <w:p w14:paraId="5988ADE2" w14:textId="34957656"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1.10 (0.82</w:t>
            </w:r>
            <w:r w:rsidR="00123418" w:rsidRPr="004D453A">
              <w:rPr>
                <w:rFonts w:ascii="Arial" w:hAnsi="Arial" w:cs="Arial"/>
                <w:color w:val="000000"/>
                <w:sz w:val="20"/>
                <w:szCs w:val="20"/>
              </w:rPr>
              <w:t>-</w:t>
            </w:r>
            <w:r w:rsidRPr="004D453A">
              <w:rPr>
                <w:rFonts w:ascii="Arial" w:hAnsi="Arial" w:cs="Arial"/>
                <w:color w:val="000000"/>
                <w:sz w:val="20"/>
                <w:szCs w:val="20"/>
              </w:rPr>
              <w:t>1.47)</w:t>
            </w:r>
          </w:p>
        </w:tc>
      </w:tr>
      <w:tr w:rsidR="00692A77" w:rsidRPr="004D453A" w14:paraId="79301951"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3F1617B"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4E3569F3" w14:textId="3111863B"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151</w:t>
            </w:r>
          </w:p>
        </w:tc>
        <w:tc>
          <w:tcPr>
            <w:tcW w:w="2730" w:type="dxa"/>
            <w:tcBorders>
              <w:top w:val="nil"/>
              <w:left w:val="nil"/>
              <w:bottom w:val="nil"/>
              <w:right w:val="nil"/>
            </w:tcBorders>
            <w:shd w:val="clear" w:color="auto" w:fill="auto"/>
            <w:noWrap/>
            <w:vAlign w:val="bottom"/>
            <w:hideMark/>
          </w:tcPr>
          <w:p w14:paraId="722E66F1" w14:textId="64E98E6B"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1.09 (0.81</w:t>
            </w:r>
            <w:r w:rsidR="00123418" w:rsidRPr="004D453A">
              <w:rPr>
                <w:rFonts w:ascii="Arial" w:hAnsi="Arial" w:cs="Arial"/>
                <w:color w:val="000000"/>
                <w:sz w:val="20"/>
                <w:szCs w:val="20"/>
              </w:rPr>
              <w:t>-</w:t>
            </w:r>
            <w:r w:rsidRPr="004D453A">
              <w:rPr>
                <w:rFonts w:ascii="Arial" w:hAnsi="Arial" w:cs="Arial"/>
                <w:color w:val="000000"/>
                <w:sz w:val="20"/>
                <w:szCs w:val="20"/>
              </w:rPr>
              <w:t>1.47)</w:t>
            </w:r>
          </w:p>
        </w:tc>
      </w:tr>
      <w:tr w:rsidR="00692A77" w:rsidRPr="004D453A" w14:paraId="75E6739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5483CAD"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7F4C833F" w14:textId="1682450F"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179</w:t>
            </w:r>
          </w:p>
        </w:tc>
        <w:tc>
          <w:tcPr>
            <w:tcW w:w="2730" w:type="dxa"/>
            <w:tcBorders>
              <w:top w:val="nil"/>
              <w:left w:val="nil"/>
              <w:bottom w:val="nil"/>
              <w:right w:val="nil"/>
            </w:tcBorders>
            <w:shd w:val="clear" w:color="auto" w:fill="auto"/>
            <w:noWrap/>
            <w:vAlign w:val="bottom"/>
            <w:hideMark/>
          </w:tcPr>
          <w:p w14:paraId="35541640" w14:textId="6F097C2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1.28 (0.96</w:t>
            </w:r>
            <w:r w:rsidR="00123418" w:rsidRPr="004D453A">
              <w:rPr>
                <w:rFonts w:ascii="Arial" w:hAnsi="Arial" w:cs="Arial"/>
                <w:color w:val="000000"/>
                <w:sz w:val="20"/>
                <w:szCs w:val="20"/>
              </w:rPr>
              <w:t>-</w:t>
            </w:r>
            <w:r w:rsidRPr="004D453A">
              <w:rPr>
                <w:rFonts w:ascii="Arial" w:hAnsi="Arial" w:cs="Arial"/>
                <w:color w:val="000000"/>
                <w:sz w:val="20"/>
                <w:szCs w:val="20"/>
              </w:rPr>
              <w:t>1.72)</w:t>
            </w:r>
          </w:p>
        </w:tc>
      </w:tr>
      <w:tr w:rsidR="00692A77" w:rsidRPr="004D453A" w14:paraId="18C68F66"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24ED0F45"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356F9286" w14:textId="3C42CE96"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1454EAF6" w14:textId="7F32C975"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0.12</w:t>
            </w:r>
          </w:p>
        </w:tc>
      </w:tr>
      <w:tr w:rsidR="00692A77" w:rsidRPr="004D453A" w14:paraId="15A06612" w14:textId="77777777" w:rsidTr="00BA3039">
        <w:trPr>
          <w:trHeight w:val="20"/>
          <w:jc w:val="center"/>
        </w:trPr>
        <w:tc>
          <w:tcPr>
            <w:tcW w:w="3440" w:type="dxa"/>
            <w:tcBorders>
              <w:top w:val="nil"/>
              <w:left w:val="nil"/>
              <w:bottom w:val="nil"/>
              <w:right w:val="nil"/>
            </w:tcBorders>
            <w:shd w:val="clear" w:color="000000" w:fill="FFFFFF"/>
            <w:vAlign w:val="center"/>
            <w:hideMark/>
          </w:tcPr>
          <w:p w14:paraId="14780018"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 xml:space="preserve">Processed meats </w:t>
            </w:r>
          </w:p>
        </w:tc>
        <w:tc>
          <w:tcPr>
            <w:tcW w:w="1300" w:type="dxa"/>
            <w:tcBorders>
              <w:top w:val="nil"/>
              <w:left w:val="nil"/>
              <w:bottom w:val="nil"/>
              <w:right w:val="nil"/>
            </w:tcBorders>
            <w:shd w:val="clear" w:color="auto" w:fill="auto"/>
            <w:noWrap/>
            <w:vAlign w:val="bottom"/>
            <w:hideMark/>
          </w:tcPr>
          <w:p w14:paraId="5AA8497F"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0518707F" w14:textId="77777777" w:rsidR="00692A77" w:rsidRPr="004D453A" w:rsidRDefault="00692A77" w:rsidP="00692A77">
            <w:pPr>
              <w:jc w:val="center"/>
              <w:rPr>
                <w:rFonts w:ascii="Arial" w:hAnsi="Arial" w:cs="Arial"/>
                <w:color w:val="000000"/>
                <w:sz w:val="20"/>
                <w:szCs w:val="20"/>
              </w:rPr>
            </w:pPr>
          </w:p>
        </w:tc>
      </w:tr>
      <w:tr w:rsidR="00692A77" w:rsidRPr="004D453A" w14:paraId="633A1391"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5788147"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3B04583C" w14:textId="5A6797BF"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133</w:t>
            </w:r>
          </w:p>
        </w:tc>
        <w:tc>
          <w:tcPr>
            <w:tcW w:w="2730" w:type="dxa"/>
            <w:tcBorders>
              <w:top w:val="nil"/>
              <w:left w:val="nil"/>
              <w:bottom w:val="nil"/>
              <w:right w:val="nil"/>
            </w:tcBorders>
            <w:shd w:val="clear" w:color="auto" w:fill="auto"/>
            <w:noWrap/>
            <w:vAlign w:val="bottom"/>
            <w:hideMark/>
          </w:tcPr>
          <w:p w14:paraId="30B9CEAA" w14:textId="40AABE35"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44757D20"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60D8A47"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107E8F27" w14:textId="714FCD32"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155</w:t>
            </w:r>
          </w:p>
        </w:tc>
        <w:tc>
          <w:tcPr>
            <w:tcW w:w="2730" w:type="dxa"/>
            <w:tcBorders>
              <w:top w:val="nil"/>
              <w:left w:val="nil"/>
              <w:bottom w:val="nil"/>
              <w:right w:val="nil"/>
            </w:tcBorders>
            <w:shd w:val="clear" w:color="auto" w:fill="auto"/>
            <w:noWrap/>
            <w:vAlign w:val="bottom"/>
            <w:hideMark/>
          </w:tcPr>
          <w:p w14:paraId="624677F9" w14:textId="59ECE9D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1.10 (0.83</w:t>
            </w:r>
            <w:r w:rsidR="00123418" w:rsidRPr="004D453A">
              <w:rPr>
                <w:rFonts w:ascii="Arial" w:hAnsi="Arial" w:cs="Arial"/>
                <w:color w:val="000000"/>
                <w:sz w:val="20"/>
                <w:szCs w:val="20"/>
              </w:rPr>
              <w:t>-</w:t>
            </w:r>
            <w:r w:rsidRPr="004D453A">
              <w:rPr>
                <w:rFonts w:ascii="Arial" w:hAnsi="Arial" w:cs="Arial"/>
                <w:color w:val="000000"/>
                <w:sz w:val="20"/>
                <w:szCs w:val="20"/>
              </w:rPr>
              <w:t>1.48)</w:t>
            </w:r>
          </w:p>
        </w:tc>
      </w:tr>
      <w:tr w:rsidR="00692A77" w:rsidRPr="004D453A" w14:paraId="6B391D1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A4DFD27"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4CF5BAC7" w14:textId="4D78EE8D"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163</w:t>
            </w:r>
          </w:p>
        </w:tc>
        <w:tc>
          <w:tcPr>
            <w:tcW w:w="2730" w:type="dxa"/>
            <w:tcBorders>
              <w:top w:val="nil"/>
              <w:left w:val="nil"/>
              <w:bottom w:val="nil"/>
              <w:right w:val="nil"/>
            </w:tcBorders>
            <w:shd w:val="clear" w:color="auto" w:fill="auto"/>
            <w:noWrap/>
            <w:vAlign w:val="bottom"/>
            <w:hideMark/>
          </w:tcPr>
          <w:p w14:paraId="0A0B3691" w14:textId="70D3B8BD"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1.15 (0.86</w:t>
            </w:r>
            <w:r w:rsidR="00123418" w:rsidRPr="004D453A">
              <w:rPr>
                <w:rFonts w:ascii="Arial" w:hAnsi="Arial" w:cs="Arial"/>
                <w:color w:val="000000"/>
                <w:sz w:val="20"/>
                <w:szCs w:val="20"/>
              </w:rPr>
              <w:t>-</w:t>
            </w:r>
            <w:r w:rsidRPr="004D453A">
              <w:rPr>
                <w:rFonts w:ascii="Arial" w:hAnsi="Arial" w:cs="Arial"/>
                <w:color w:val="000000"/>
                <w:sz w:val="20"/>
                <w:szCs w:val="20"/>
              </w:rPr>
              <w:t>1.54)</w:t>
            </w:r>
          </w:p>
        </w:tc>
      </w:tr>
      <w:tr w:rsidR="00692A77" w:rsidRPr="004D453A" w14:paraId="38290CEE"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91DA89E"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51DA5DC9" w14:textId="327FBFE3"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137</w:t>
            </w:r>
          </w:p>
        </w:tc>
        <w:tc>
          <w:tcPr>
            <w:tcW w:w="2730" w:type="dxa"/>
            <w:tcBorders>
              <w:top w:val="nil"/>
              <w:left w:val="nil"/>
              <w:bottom w:val="nil"/>
              <w:right w:val="nil"/>
            </w:tcBorders>
            <w:shd w:val="clear" w:color="auto" w:fill="auto"/>
            <w:noWrap/>
            <w:vAlign w:val="bottom"/>
            <w:hideMark/>
          </w:tcPr>
          <w:p w14:paraId="414CBE30" w14:textId="0563307C"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1.02 (0.76</w:t>
            </w:r>
            <w:r w:rsidR="00123418" w:rsidRPr="004D453A">
              <w:rPr>
                <w:rFonts w:ascii="Arial" w:hAnsi="Arial" w:cs="Arial"/>
                <w:color w:val="000000"/>
                <w:sz w:val="20"/>
                <w:szCs w:val="20"/>
              </w:rPr>
              <w:t>-</w:t>
            </w:r>
            <w:r w:rsidRPr="004D453A">
              <w:rPr>
                <w:rFonts w:ascii="Arial" w:hAnsi="Arial" w:cs="Arial"/>
                <w:color w:val="000000"/>
                <w:sz w:val="20"/>
                <w:szCs w:val="20"/>
              </w:rPr>
              <w:t>1.38)</w:t>
            </w:r>
          </w:p>
        </w:tc>
      </w:tr>
      <w:tr w:rsidR="00692A77" w:rsidRPr="004D453A" w14:paraId="73BE2F42"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9E1E9F8"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0AD98AF7" w14:textId="65049A4B"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177</w:t>
            </w:r>
          </w:p>
        </w:tc>
        <w:tc>
          <w:tcPr>
            <w:tcW w:w="2730" w:type="dxa"/>
            <w:tcBorders>
              <w:top w:val="nil"/>
              <w:left w:val="nil"/>
              <w:bottom w:val="nil"/>
              <w:right w:val="nil"/>
            </w:tcBorders>
            <w:shd w:val="clear" w:color="auto" w:fill="auto"/>
            <w:noWrap/>
            <w:vAlign w:val="bottom"/>
            <w:hideMark/>
          </w:tcPr>
          <w:p w14:paraId="56B4DE3A" w14:textId="4947C868"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1.25 (0.92</w:t>
            </w:r>
            <w:r w:rsidR="00123418" w:rsidRPr="004D453A">
              <w:rPr>
                <w:rFonts w:ascii="Arial" w:hAnsi="Arial" w:cs="Arial"/>
                <w:color w:val="000000"/>
                <w:sz w:val="20"/>
                <w:szCs w:val="20"/>
              </w:rPr>
              <w:t>-</w:t>
            </w:r>
            <w:r w:rsidRPr="004D453A">
              <w:rPr>
                <w:rFonts w:ascii="Arial" w:hAnsi="Arial" w:cs="Arial"/>
                <w:color w:val="000000"/>
                <w:sz w:val="20"/>
                <w:szCs w:val="20"/>
              </w:rPr>
              <w:t>1.70)</w:t>
            </w:r>
          </w:p>
        </w:tc>
      </w:tr>
      <w:tr w:rsidR="00692A77" w:rsidRPr="004D453A" w14:paraId="7C1579CD"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6227EF29"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310EDF39" w14:textId="69FC1B32"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229653B1" w14:textId="22686CD4"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0.25</w:t>
            </w:r>
          </w:p>
        </w:tc>
      </w:tr>
      <w:tr w:rsidR="00692A77" w:rsidRPr="004D453A" w14:paraId="51F15F69" w14:textId="77777777" w:rsidTr="00BA3039">
        <w:trPr>
          <w:trHeight w:val="20"/>
          <w:jc w:val="center"/>
        </w:trPr>
        <w:tc>
          <w:tcPr>
            <w:tcW w:w="3440" w:type="dxa"/>
            <w:tcBorders>
              <w:top w:val="nil"/>
              <w:left w:val="nil"/>
              <w:bottom w:val="nil"/>
              <w:right w:val="nil"/>
            </w:tcBorders>
            <w:shd w:val="clear" w:color="000000" w:fill="FFFFFF"/>
            <w:vAlign w:val="center"/>
            <w:hideMark/>
          </w:tcPr>
          <w:p w14:paraId="5EEE98C5"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 xml:space="preserve">Added sugars </w:t>
            </w:r>
          </w:p>
        </w:tc>
        <w:tc>
          <w:tcPr>
            <w:tcW w:w="1300" w:type="dxa"/>
            <w:tcBorders>
              <w:top w:val="nil"/>
              <w:left w:val="nil"/>
              <w:bottom w:val="nil"/>
              <w:right w:val="nil"/>
            </w:tcBorders>
            <w:shd w:val="clear" w:color="auto" w:fill="auto"/>
            <w:noWrap/>
            <w:vAlign w:val="bottom"/>
            <w:hideMark/>
          </w:tcPr>
          <w:p w14:paraId="02679B9B"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5BC93B36" w14:textId="77777777" w:rsidR="00692A77" w:rsidRPr="004D453A" w:rsidRDefault="00692A77" w:rsidP="00692A77">
            <w:pPr>
              <w:jc w:val="center"/>
              <w:rPr>
                <w:rFonts w:ascii="Arial" w:hAnsi="Arial" w:cs="Arial"/>
                <w:color w:val="000000"/>
                <w:sz w:val="20"/>
                <w:szCs w:val="20"/>
              </w:rPr>
            </w:pPr>
          </w:p>
        </w:tc>
      </w:tr>
      <w:tr w:rsidR="00692A77" w:rsidRPr="004D453A" w14:paraId="7D0B884C"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3E612FE"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1C735791" w14:textId="1B23D22A"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125</w:t>
            </w:r>
          </w:p>
        </w:tc>
        <w:tc>
          <w:tcPr>
            <w:tcW w:w="2730" w:type="dxa"/>
            <w:tcBorders>
              <w:top w:val="nil"/>
              <w:left w:val="nil"/>
              <w:bottom w:val="nil"/>
              <w:right w:val="nil"/>
            </w:tcBorders>
            <w:shd w:val="clear" w:color="auto" w:fill="auto"/>
            <w:noWrap/>
            <w:vAlign w:val="bottom"/>
            <w:hideMark/>
          </w:tcPr>
          <w:p w14:paraId="0FF31F7C" w14:textId="360C1682"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70E65E1E"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E78CAEA"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3B0D3DDD" w14:textId="08C8425C"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156</w:t>
            </w:r>
          </w:p>
        </w:tc>
        <w:tc>
          <w:tcPr>
            <w:tcW w:w="2730" w:type="dxa"/>
            <w:tcBorders>
              <w:top w:val="nil"/>
              <w:left w:val="nil"/>
              <w:bottom w:val="nil"/>
              <w:right w:val="nil"/>
            </w:tcBorders>
            <w:shd w:val="clear" w:color="auto" w:fill="auto"/>
            <w:noWrap/>
            <w:vAlign w:val="bottom"/>
            <w:hideMark/>
          </w:tcPr>
          <w:p w14:paraId="060B0C5F" w14:textId="61E022EF"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1.17 (0.88</w:t>
            </w:r>
            <w:r w:rsidR="00123418" w:rsidRPr="004D453A">
              <w:rPr>
                <w:rFonts w:ascii="Arial" w:hAnsi="Arial" w:cs="Arial"/>
                <w:color w:val="000000"/>
                <w:sz w:val="20"/>
                <w:szCs w:val="20"/>
              </w:rPr>
              <w:t>-</w:t>
            </w:r>
            <w:r w:rsidRPr="004D453A">
              <w:rPr>
                <w:rFonts w:ascii="Arial" w:hAnsi="Arial" w:cs="Arial"/>
                <w:color w:val="000000"/>
                <w:sz w:val="20"/>
                <w:szCs w:val="20"/>
              </w:rPr>
              <w:t>1.58)</w:t>
            </w:r>
          </w:p>
        </w:tc>
      </w:tr>
      <w:tr w:rsidR="00692A77" w:rsidRPr="004D453A" w14:paraId="6F16BA8B"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50B59B49"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6213190F" w14:textId="5FCA149A"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145</w:t>
            </w:r>
          </w:p>
        </w:tc>
        <w:tc>
          <w:tcPr>
            <w:tcW w:w="2730" w:type="dxa"/>
            <w:tcBorders>
              <w:top w:val="nil"/>
              <w:left w:val="nil"/>
              <w:bottom w:val="nil"/>
              <w:right w:val="nil"/>
            </w:tcBorders>
            <w:shd w:val="clear" w:color="auto" w:fill="auto"/>
            <w:noWrap/>
            <w:vAlign w:val="bottom"/>
            <w:hideMark/>
          </w:tcPr>
          <w:p w14:paraId="11B5309D" w14:textId="6EA90CE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1.08 (0.80</w:t>
            </w:r>
            <w:r w:rsidR="00123418" w:rsidRPr="004D453A">
              <w:rPr>
                <w:rFonts w:ascii="Arial" w:hAnsi="Arial" w:cs="Arial"/>
                <w:color w:val="000000"/>
                <w:sz w:val="20"/>
                <w:szCs w:val="20"/>
              </w:rPr>
              <w:t>-</w:t>
            </w:r>
            <w:r w:rsidRPr="004D453A">
              <w:rPr>
                <w:rFonts w:ascii="Arial" w:hAnsi="Arial" w:cs="Arial"/>
                <w:color w:val="000000"/>
                <w:sz w:val="20"/>
                <w:szCs w:val="20"/>
              </w:rPr>
              <w:t>1.46)</w:t>
            </w:r>
          </w:p>
        </w:tc>
      </w:tr>
      <w:tr w:rsidR="00692A77" w:rsidRPr="004D453A" w14:paraId="54C4419C"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55FF5996"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401CA955" w14:textId="21D05B4B"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165</w:t>
            </w:r>
          </w:p>
        </w:tc>
        <w:tc>
          <w:tcPr>
            <w:tcW w:w="2730" w:type="dxa"/>
            <w:tcBorders>
              <w:top w:val="nil"/>
              <w:left w:val="nil"/>
              <w:bottom w:val="nil"/>
              <w:right w:val="nil"/>
            </w:tcBorders>
            <w:shd w:val="clear" w:color="auto" w:fill="auto"/>
            <w:noWrap/>
            <w:vAlign w:val="bottom"/>
            <w:hideMark/>
          </w:tcPr>
          <w:p w14:paraId="2698F38D" w14:textId="6660F134"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1.25 (0.93</w:t>
            </w:r>
            <w:r w:rsidR="00123418" w:rsidRPr="004D453A">
              <w:rPr>
                <w:rFonts w:ascii="Arial" w:hAnsi="Arial" w:cs="Arial"/>
                <w:color w:val="000000"/>
                <w:sz w:val="20"/>
                <w:szCs w:val="20"/>
              </w:rPr>
              <w:t>-</w:t>
            </w:r>
            <w:r w:rsidRPr="004D453A">
              <w:rPr>
                <w:rFonts w:ascii="Arial" w:hAnsi="Arial" w:cs="Arial"/>
                <w:color w:val="000000"/>
                <w:sz w:val="20"/>
                <w:szCs w:val="20"/>
              </w:rPr>
              <w:t>1.68)</w:t>
            </w:r>
          </w:p>
        </w:tc>
      </w:tr>
      <w:tr w:rsidR="00692A77" w:rsidRPr="004D453A" w14:paraId="6D5DA18B"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815F244"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4CFBC018" w14:textId="47A29276"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174</w:t>
            </w:r>
          </w:p>
        </w:tc>
        <w:tc>
          <w:tcPr>
            <w:tcW w:w="2730" w:type="dxa"/>
            <w:tcBorders>
              <w:top w:val="nil"/>
              <w:left w:val="nil"/>
              <w:bottom w:val="nil"/>
              <w:right w:val="nil"/>
            </w:tcBorders>
            <w:shd w:val="clear" w:color="auto" w:fill="auto"/>
            <w:noWrap/>
            <w:vAlign w:val="bottom"/>
            <w:hideMark/>
          </w:tcPr>
          <w:p w14:paraId="710524B2" w14:textId="30123853"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1.21 (0.90</w:t>
            </w:r>
            <w:r w:rsidR="00123418" w:rsidRPr="004D453A">
              <w:rPr>
                <w:rFonts w:ascii="Arial" w:hAnsi="Arial" w:cs="Arial"/>
                <w:color w:val="000000"/>
                <w:sz w:val="20"/>
                <w:szCs w:val="20"/>
              </w:rPr>
              <w:t>-</w:t>
            </w:r>
            <w:r w:rsidRPr="004D453A">
              <w:rPr>
                <w:rFonts w:ascii="Arial" w:hAnsi="Arial" w:cs="Arial"/>
                <w:color w:val="000000"/>
                <w:sz w:val="20"/>
                <w:szCs w:val="20"/>
              </w:rPr>
              <w:t>1.64)</w:t>
            </w:r>
          </w:p>
        </w:tc>
      </w:tr>
      <w:tr w:rsidR="00692A77" w:rsidRPr="004D453A" w14:paraId="1C2B27CC"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3C0B4C74"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1880DAD4" w14:textId="07AC2AAE"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2257C4F1" w14:textId="5444DDF6"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0.17</w:t>
            </w:r>
          </w:p>
        </w:tc>
      </w:tr>
      <w:tr w:rsidR="00692A77" w:rsidRPr="004D453A" w14:paraId="3E5F95A1" w14:textId="77777777" w:rsidTr="00BA3039">
        <w:trPr>
          <w:trHeight w:val="20"/>
          <w:jc w:val="center"/>
        </w:trPr>
        <w:tc>
          <w:tcPr>
            <w:tcW w:w="3440" w:type="dxa"/>
            <w:tcBorders>
              <w:top w:val="nil"/>
              <w:left w:val="nil"/>
              <w:bottom w:val="nil"/>
              <w:right w:val="nil"/>
            </w:tcBorders>
            <w:shd w:val="clear" w:color="000000" w:fill="FFFFFF"/>
            <w:vAlign w:val="center"/>
            <w:hideMark/>
          </w:tcPr>
          <w:p w14:paraId="3EA27335"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 xml:space="preserve">High-fat dairy </w:t>
            </w:r>
          </w:p>
        </w:tc>
        <w:tc>
          <w:tcPr>
            <w:tcW w:w="1300" w:type="dxa"/>
            <w:tcBorders>
              <w:top w:val="nil"/>
              <w:left w:val="nil"/>
              <w:bottom w:val="nil"/>
              <w:right w:val="nil"/>
            </w:tcBorders>
            <w:shd w:val="clear" w:color="auto" w:fill="auto"/>
            <w:noWrap/>
            <w:vAlign w:val="bottom"/>
            <w:hideMark/>
          </w:tcPr>
          <w:p w14:paraId="792A97A2"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72082AD1" w14:textId="77777777" w:rsidR="00692A77" w:rsidRPr="004D453A" w:rsidRDefault="00692A77" w:rsidP="00692A77">
            <w:pPr>
              <w:jc w:val="center"/>
              <w:rPr>
                <w:rFonts w:ascii="Arial" w:hAnsi="Arial" w:cs="Arial"/>
                <w:color w:val="000000"/>
                <w:sz w:val="20"/>
                <w:szCs w:val="20"/>
              </w:rPr>
            </w:pPr>
          </w:p>
        </w:tc>
      </w:tr>
      <w:tr w:rsidR="00692A77" w:rsidRPr="004D453A" w14:paraId="357867F7"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73FC0525"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265E5D78" w14:textId="7103F770"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132</w:t>
            </w:r>
          </w:p>
        </w:tc>
        <w:tc>
          <w:tcPr>
            <w:tcW w:w="2730" w:type="dxa"/>
            <w:tcBorders>
              <w:top w:val="nil"/>
              <w:left w:val="nil"/>
              <w:bottom w:val="nil"/>
              <w:right w:val="nil"/>
            </w:tcBorders>
            <w:shd w:val="clear" w:color="auto" w:fill="auto"/>
            <w:noWrap/>
            <w:vAlign w:val="bottom"/>
            <w:hideMark/>
          </w:tcPr>
          <w:p w14:paraId="0D349658" w14:textId="507C725B"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0EB9EBE0"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73938D5"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194635DF" w14:textId="513BDCC8"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154</w:t>
            </w:r>
          </w:p>
        </w:tc>
        <w:tc>
          <w:tcPr>
            <w:tcW w:w="2730" w:type="dxa"/>
            <w:tcBorders>
              <w:top w:val="nil"/>
              <w:left w:val="nil"/>
              <w:bottom w:val="nil"/>
              <w:right w:val="nil"/>
            </w:tcBorders>
            <w:shd w:val="clear" w:color="auto" w:fill="auto"/>
            <w:noWrap/>
            <w:vAlign w:val="bottom"/>
            <w:hideMark/>
          </w:tcPr>
          <w:p w14:paraId="358D7478" w14:textId="4607993A"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1.06 (0.79</w:t>
            </w:r>
            <w:r w:rsidR="00123418" w:rsidRPr="004D453A">
              <w:rPr>
                <w:rFonts w:ascii="Arial" w:hAnsi="Arial" w:cs="Arial"/>
                <w:color w:val="000000"/>
                <w:sz w:val="20"/>
                <w:szCs w:val="20"/>
              </w:rPr>
              <w:t>-</w:t>
            </w:r>
            <w:r w:rsidRPr="004D453A">
              <w:rPr>
                <w:rFonts w:ascii="Arial" w:hAnsi="Arial" w:cs="Arial"/>
                <w:color w:val="000000"/>
                <w:sz w:val="20"/>
                <w:szCs w:val="20"/>
              </w:rPr>
              <w:t>1.42)</w:t>
            </w:r>
          </w:p>
        </w:tc>
      </w:tr>
      <w:tr w:rsidR="00692A77" w:rsidRPr="004D453A" w14:paraId="172C5589"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D9AA068"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000879D2" w14:textId="73CCCE38"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138</w:t>
            </w:r>
          </w:p>
        </w:tc>
        <w:tc>
          <w:tcPr>
            <w:tcW w:w="2730" w:type="dxa"/>
            <w:tcBorders>
              <w:top w:val="nil"/>
              <w:left w:val="nil"/>
              <w:bottom w:val="nil"/>
              <w:right w:val="nil"/>
            </w:tcBorders>
            <w:shd w:val="clear" w:color="auto" w:fill="auto"/>
            <w:noWrap/>
            <w:vAlign w:val="bottom"/>
            <w:hideMark/>
          </w:tcPr>
          <w:p w14:paraId="60361E11" w14:textId="2C8E0E14"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0.97 (0.72</w:t>
            </w:r>
            <w:r w:rsidR="00123418" w:rsidRPr="004D453A">
              <w:rPr>
                <w:rFonts w:ascii="Arial" w:hAnsi="Arial" w:cs="Arial"/>
                <w:color w:val="000000"/>
                <w:sz w:val="20"/>
                <w:szCs w:val="20"/>
              </w:rPr>
              <w:t>-</w:t>
            </w:r>
            <w:r w:rsidRPr="004D453A">
              <w:rPr>
                <w:rFonts w:ascii="Arial" w:hAnsi="Arial" w:cs="Arial"/>
                <w:color w:val="000000"/>
                <w:sz w:val="20"/>
                <w:szCs w:val="20"/>
              </w:rPr>
              <w:t>1.31)</w:t>
            </w:r>
          </w:p>
        </w:tc>
      </w:tr>
      <w:tr w:rsidR="00692A77" w:rsidRPr="004D453A" w14:paraId="629FD6BA"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ADA2457"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3DB0E098" w14:textId="3985E385"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158</w:t>
            </w:r>
          </w:p>
        </w:tc>
        <w:tc>
          <w:tcPr>
            <w:tcW w:w="2730" w:type="dxa"/>
            <w:tcBorders>
              <w:top w:val="nil"/>
              <w:left w:val="nil"/>
              <w:bottom w:val="nil"/>
              <w:right w:val="nil"/>
            </w:tcBorders>
            <w:shd w:val="clear" w:color="auto" w:fill="auto"/>
            <w:noWrap/>
            <w:vAlign w:val="bottom"/>
            <w:hideMark/>
          </w:tcPr>
          <w:p w14:paraId="45A4E988" w14:textId="60BEDE18"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1.12 (0.84</w:t>
            </w:r>
            <w:r w:rsidR="00123418" w:rsidRPr="004D453A">
              <w:rPr>
                <w:rFonts w:ascii="Arial" w:hAnsi="Arial" w:cs="Arial"/>
                <w:color w:val="000000"/>
                <w:sz w:val="20"/>
                <w:szCs w:val="20"/>
              </w:rPr>
              <w:t>-</w:t>
            </w:r>
            <w:r w:rsidRPr="004D453A">
              <w:rPr>
                <w:rFonts w:ascii="Arial" w:hAnsi="Arial" w:cs="Arial"/>
                <w:color w:val="000000"/>
                <w:sz w:val="20"/>
                <w:szCs w:val="20"/>
              </w:rPr>
              <w:t>1.50)</w:t>
            </w:r>
          </w:p>
        </w:tc>
      </w:tr>
      <w:tr w:rsidR="00692A77" w:rsidRPr="004D453A" w14:paraId="3DA8E34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28FD92FC"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22FC993A" w14:textId="331136D3"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183</w:t>
            </w:r>
          </w:p>
        </w:tc>
        <w:tc>
          <w:tcPr>
            <w:tcW w:w="2730" w:type="dxa"/>
            <w:tcBorders>
              <w:top w:val="nil"/>
              <w:left w:val="nil"/>
              <w:bottom w:val="nil"/>
              <w:right w:val="nil"/>
            </w:tcBorders>
            <w:shd w:val="clear" w:color="auto" w:fill="auto"/>
            <w:noWrap/>
            <w:vAlign w:val="bottom"/>
            <w:hideMark/>
          </w:tcPr>
          <w:p w14:paraId="4F8F0B14" w14:textId="155B2DD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1.29 (0.96</w:t>
            </w:r>
            <w:r w:rsidR="00123418" w:rsidRPr="004D453A">
              <w:rPr>
                <w:rFonts w:ascii="Arial" w:hAnsi="Arial" w:cs="Arial"/>
                <w:color w:val="000000"/>
                <w:sz w:val="20"/>
                <w:szCs w:val="20"/>
              </w:rPr>
              <w:t>-</w:t>
            </w:r>
            <w:r w:rsidRPr="004D453A">
              <w:rPr>
                <w:rFonts w:ascii="Arial" w:hAnsi="Arial" w:cs="Arial"/>
                <w:color w:val="000000"/>
                <w:sz w:val="20"/>
                <w:szCs w:val="20"/>
              </w:rPr>
              <w:t>1.72)</w:t>
            </w:r>
          </w:p>
        </w:tc>
      </w:tr>
      <w:tr w:rsidR="00692A77" w:rsidRPr="004D453A" w14:paraId="5A9CF3B8"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1323A237"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5912CAC8" w14:textId="72EDFCB2"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40FA3A57" w14:textId="2B367BA8"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0.08</w:t>
            </w:r>
          </w:p>
        </w:tc>
      </w:tr>
      <w:tr w:rsidR="00692A77" w:rsidRPr="004D453A" w14:paraId="40063548" w14:textId="77777777" w:rsidTr="00BA3039">
        <w:trPr>
          <w:trHeight w:val="20"/>
          <w:jc w:val="center"/>
        </w:trPr>
        <w:tc>
          <w:tcPr>
            <w:tcW w:w="3440" w:type="dxa"/>
            <w:tcBorders>
              <w:top w:val="nil"/>
              <w:left w:val="nil"/>
              <w:bottom w:val="nil"/>
              <w:right w:val="nil"/>
            </w:tcBorders>
            <w:shd w:val="clear" w:color="000000" w:fill="FFFFFF"/>
            <w:vAlign w:val="center"/>
            <w:hideMark/>
          </w:tcPr>
          <w:p w14:paraId="523ECB0F"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 xml:space="preserve">Low-fat dairy </w:t>
            </w:r>
          </w:p>
        </w:tc>
        <w:tc>
          <w:tcPr>
            <w:tcW w:w="1300" w:type="dxa"/>
            <w:tcBorders>
              <w:top w:val="nil"/>
              <w:left w:val="nil"/>
              <w:bottom w:val="nil"/>
              <w:right w:val="nil"/>
            </w:tcBorders>
            <w:shd w:val="clear" w:color="auto" w:fill="auto"/>
            <w:noWrap/>
            <w:vAlign w:val="bottom"/>
            <w:hideMark/>
          </w:tcPr>
          <w:p w14:paraId="4E00E9E5"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1419E22B" w14:textId="77777777" w:rsidR="00692A77" w:rsidRPr="004D453A" w:rsidRDefault="00692A77" w:rsidP="00692A77">
            <w:pPr>
              <w:jc w:val="center"/>
              <w:rPr>
                <w:rFonts w:ascii="Arial" w:hAnsi="Arial" w:cs="Arial"/>
                <w:color w:val="000000"/>
                <w:sz w:val="20"/>
                <w:szCs w:val="20"/>
              </w:rPr>
            </w:pPr>
          </w:p>
        </w:tc>
      </w:tr>
      <w:tr w:rsidR="00692A77" w:rsidRPr="004D453A" w14:paraId="4C22ABC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936E4B2"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59F05CD3" w14:textId="6432AEFA"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126</w:t>
            </w:r>
          </w:p>
        </w:tc>
        <w:tc>
          <w:tcPr>
            <w:tcW w:w="2730" w:type="dxa"/>
            <w:tcBorders>
              <w:top w:val="nil"/>
              <w:left w:val="nil"/>
              <w:bottom w:val="nil"/>
              <w:right w:val="nil"/>
            </w:tcBorders>
            <w:shd w:val="clear" w:color="auto" w:fill="auto"/>
            <w:noWrap/>
            <w:vAlign w:val="bottom"/>
            <w:hideMark/>
          </w:tcPr>
          <w:p w14:paraId="7525F486" w14:textId="5CFDEE05"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765CF3A1"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9247E67"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38122D74" w14:textId="14A12E4E"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156</w:t>
            </w:r>
          </w:p>
        </w:tc>
        <w:tc>
          <w:tcPr>
            <w:tcW w:w="2730" w:type="dxa"/>
            <w:tcBorders>
              <w:top w:val="nil"/>
              <w:left w:val="nil"/>
              <w:bottom w:val="nil"/>
              <w:right w:val="nil"/>
            </w:tcBorders>
            <w:shd w:val="clear" w:color="auto" w:fill="auto"/>
            <w:noWrap/>
            <w:vAlign w:val="bottom"/>
            <w:hideMark/>
          </w:tcPr>
          <w:p w14:paraId="2C669488" w14:textId="65FA52E4"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1.16 (0.86</w:t>
            </w:r>
            <w:r w:rsidR="00123418" w:rsidRPr="004D453A">
              <w:rPr>
                <w:rFonts w:ascii="Arial" w:hAnsi="Arial" w:cs="Arial"/>
                <w:color w:val="000000"/>
                <w:sz w:val="20"/>
                <w:szCs w:val="20"/>
              </w:rPr>
              <w:t>-</w:t>
            </w:r>
            <w:r w:rsidRPr="004D453A">
              <w:rPr>
                <w:rFonts w:ascii="Arial" w:hAnsi="Arial" w:cs="Arial"/>
                <w:color w:val="000000"/>
                <w:sz w:val="20"/>
                <w:szCs w:val="20"/>
              </w:rPr>
              <w:t>1.55)</w:t>
            </w:r>
          </w:p>
        </w:tc>
      </w:tr>
      <w:tr w:rsidR="00692A77" w:rsidRPr="004D453A" w14:paraId="07370DD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6FB599A"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53A95B5C" w14:textId="15B00D10"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147</w:t>
            </w:r>
          </w:p>
        </w:tc>
        <w:tc>
          <w:tcPr>
            <w:tcW w:w="2730" w:type="dxa"/>
            <w:tcBorders>
              <w:top w:val="nil"/>
              <w:left w:val="nil"/>
              <w:bottom w:val="nil"/>
              <w:right w:val="nil"/>
            </w:tcBorders>
            <w:shd w:val="clear" w:color="auto" w:fill="auto"/>
            <w:noWrap/>
            <w:vAlign w:val="bottom"/>
            <w:hideMark/>
          </w:tcPr>
          <w:p w14:paraId="2322C046" w14:textId="4F4AE119"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1.11 (0.83</w:t>
            </w:r>
            <w:r w:rsidR="00123418" w:rsidRPr="004D453A">
              <w:rPr>
                <w:rFonts w:ascii="Arial" w:hAnsi="Arial" w:cs="Arial"/>
                <w:color w:val="000000"/>
                <w:sz w:val="20"/>
                <w:szCs w:val="20"/>
              </w:rPr>
              <w:t>-</w:t>
            </w:r>
            <w:r w:rsidRPr="004D453A">
              <w:rPr>
                <w:rFonts w:ascii="Arial" w:hAnsi="Arial" w:cs="Arial"/>
                <w:color w:val="000000"/>
                <w:sz w:val="20"/>
                <w:szCs w:val="20"/>
              </w:rPr>
              <w:t>1.50)</w:t>
            </w:r>
          </w:p>
        </w:tc>
      </w:tr>
      <w:tr w:rsidR="00692A77" w:rsidRPr="004D453A" w14:paraId="6EA11089"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61A5408"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1B16A4D4" w14:textId="6516C4C5"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159</w:t>
            </w:r>
          </w:p>
        </w:tc>
        <w:tc>
          <w:tcPr>
            <w:tcW w:w="2730" w:type="dxa"/>
            <w:tcBorders>
              <w:top w:val="nil"/>
              <w:left w:val="nil"/>
              <w:bottom w:val="nil"/>
              <w:right w:val="nil"/>
            </w:tcBorders>
            <w:shd w:val="clear" w:color="auto" w:fill="auto"/>
            <w:noWrap/>
            <w:vAlign w:val="bottom"/>
            <w:hideMark/>
          </w:tcPr>
          <w:p w14:paraId="4EBE1E66" w14:textId="06AA67FC"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1.18 (0.88</w:t>
            </w:r>
            <w:r w:rsidR="00123418" w:rsidRPr="004D453A">
              <w:rPr>
                <w:rFonts w:ascii="Arial" w:hAnsi="Arial" w:cs="Arial"/>
                <w:color w:val="000000"/>
                <w:sz w:val="20"/>
                <w:szCs w:val="20"/>
              </w:rPr>
              <w:t>-</w:t>
            </w:r>
            <w:r w:rsidRPr="004D453A">
              <w:rPr>
                <w:rFonts w:ascii="Arial" w:hAnsi="Arial" w:cs="Arial"/>
                <w:color w:val="000000"/>
                <w:sz w:val="20"/>
                <w:szCs w:val="20"/>
              </w:rPr>
              <w:t>1.59)</w:t>
            </w:r>
          </w:p>
        </w:tc>
      </w:tr>
      <w:tr w:rsidR="00692A77" w:rsidRPr="004D453A" w14:paraId="6796844A"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4043DAC"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21BECA86" w14:textId="32B50ED3"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177</w:t>
            </w:r>
          </w:p>
        </w:tc>
        <w:tc>
          <w:tcPr>
            <w:tcW w:w="2730" w:type="dxa"/>
            <w:tcBorders>
              <w:top w:val="nil"/>
              <w:left w:val="nil"/>
              <w:bottom w:val="nil"/>
              <w:right w:val="nil"/>
            </w:tcBorders>
            <w:shd w:val="clear" w:color="auto" w:fill="auto"/>
            <w:noWrap/>
            <w:vAlign w:val="bottom"/>
            <w:hideMark/>
          </w:tcPr>
          <w:p w14:paraId="2F6C44C2" w14:textId="5263D13D"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1.33 (0.99</w:t>
            </w:r>
            <w:r w:rsidR="00123418" w:rsidRPr="004D453A">
              <w:rPr>
                <w:rFonts w:ascii="Arial" w:hAnsi="Arial" w:cs="Arial"/>
                <w:color w:val="000000"/>
                <w:sz w:val="20"/>
                <w:szCs w:val="20"/>
              </w:rPr>
              <w:t>-</w:t>
            </w:r>
            <w:r w:rsidRPr="004D453A">
              <w:rPr>
                <w:rFonts w:ascii="Arial" w:hAnsi="Arial" w:cs="Arial"/>
                <w:color w:val="000000"/>
                <w:sz w:val="20"/>
                <w:szCs w:val="20"/>
              </w:rPr>
              <w:t>1.78)</w:t>
            </w:r>
          </w:p>
        </w:tc>
      </w:tr>
      <w:tr w:rsidR="00692A77" w:rsidRPr="004D453A" w14:paraId="687323F8"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145E0578"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7604865C" w14:textId="2F042E4E"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26A37959" w14:textId="7E706825"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0.07</w:t>
            </w:r>
          </w:p>
        </w:tc>
      </w:tr>
      <w:tr w:rsidR="00692A77" w:rsidRPr="004D453A" w14:paraId="2BBCE5B8" w14:textId="77777777" w:rsidTr="00BA3039">
        <w:trPr>
          <w:trHeight w:val="20"/>
          <w:jc w:val="center"/>
        </w:trPr>
        <w:tc>
          <w:tcPr>
            <w:tcW w:w="3440" w:type="dxa"/>
            <w:tcBorders>
              <w:top w:val="nil"/>
              <w:left w:val="nil"/>
              <w:bottom w:val="nil"/>
              <w:right w:val="nil"/>
            </w:tcBorders>
            <w:shd w:val="clear" w:color="000000" w:fill="FFFFFF"/>
            <w:vAlign w:val="center"/>
            <w:hideMark/>
          </w:tcPr>
          <w:p w14:paraId="2437DCBA"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Coffee and tea</w:t>
            </w:r>
          </w:p>
        </w:tc>
        <w:tc>
          <w:tcPr>
            <w:tcW w:w="1300" w:type="dxa"/>
            <w:tcBorders>
              <w:top w:val="nil"/>
              <w:left w:val="nil"/>
              <w:bottom w:val="nil"/>
              <w:right w:val="nil"/>
            </w:tcBorders>
            <w:shd w:val="clear" w:color="auto" w:fill="auto"/>
            <w:noWrap/>
            <w:vAlign w:val="bottom"/>
            <w:hideMark/>
          </w:tcPr>
          <w:p w14:paraId="0E1B9A2C"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53F65237" w14:textId="77777777" w:rsidR="00692A77" w:rsidRPr="004D453A" w:rsidRDefault="00692A77" w:rsidP="00692A77">
            <w:pPr>
              <w:jc w:val="center"/>
              <w:rPr>
                <w:rFonts w:ascii="Arial" w:hAnsi="Arial" w:cs="Arial"/>
                <w:color w:val="000000"/>
                <w:sz w:val="20"/>
                <w:szCs w:val="20"/>
              </w:rPr>
            </w:pPr>
          </w:p>
        </w:tc>
      </w:tr>
      <w:tr w:rsidR="00692A77" w:rsidRPr="004D453A" w14:paraId="004FE856"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8C5803D"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1BD56713" w14:textId="39586242"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131</w:t>
            </w:r>
          </w:p>
        </w:tc>
        <w:tc>
          <w:tcPr>
            <w:tcW w:w="2730" w:type="dxa"/>
            <w:tcBorders>
              <w:top w:val="nil"/>
              <w:left w:val="nil"/>
              <w:bottom w:val="nil"/>
              <w:right w:val="nil"/>
            </w:tcBorders>
            <w:shd w:val="clear" w:color="auto" w:fill="auto"/>
            <w:noWrap/>
            <w:vAlign w:val="bottom"/>
            <w:hideMark/>
          </w:tcPr>
          <w:p w14:paraId="64DFFF3E" w14:textId="36220B46"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3365D62F"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490D38E"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1310BDCA" w14:textId="531743B0"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145</w:t>
            </w:r>
          </w:p>
        </w:tc>
        <w:tc>
          <w:tcPr>
            <w:tcW w:w="2730" w:type="dxa"/>
            <w:tcBorders>
              <w:top w:val="nil"/>
              <w:left w:val="nil"/>
              <w:bottom w:val="nil"/>
              <w:right w:val="nil"/>
            </w:tcBorders>
            <w:shd w:val="clear" w:color="auto" w:fill="auto"/>
            <w:noWrap/>
            <w:vAlign w:val="bottom"/>
            <w:hideMark/>
          </w:tcPr>
          <w:p w14:paraId="044DB001" w14:textId="5A5EEED2"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1.04 (0.78</w:t>
            </w:r>
            <w:r w:rsidR="00123418" w:rsidRPr="004D453A">
              <w:rPr>
                <w:rFonts w:ascii="Arial" w:hAnsi="Arial" w:cs="Arial"/>
                <w:color w:val="000000"/>
                <w:sz w:val="20"/>
                <w:szCs w:val="20"/>
              </w:rPr>
              <w:t>-</w:t>
            </w:r>
            <w:r w:rsidRPr="004D453A">
              <w:rPr>
                <w:rFonts w:ascii="Arial" w:hAnsi="Arial" w:cs="Arial"/>
                <w:color w:val="000000"/>
                <w:sz w:val="20"/>
                <w:szCs w:val="20"/>
              </w:rPr>
              <w:t>1.40)</w:t>
            </w:r>
          </w:p>
        </w:tc>
      </w:tr>
      <w:tr w:rsidR="00692A77" w:rsidRPr="004D453A" w14:paraId="7897CCBD"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4D6A178"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18FD6731" w14:textId="301CA52B"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146</w:t>
            </w:r>
          </w:p>
        </w:tc>
        <w:tc>
          <w:tcPr>
            <w:tcW w:w="2730" w:type="dxa"/>
            <w:tcBorders>
              <w:top w:val="nil"/>
              <w:left w:val="nil"/>
              <w:bottom w:val="nil"/>
              <w:right w:val="nil"/>
            </w:tcBorders>
            <w:shd w:val="clear" w:color="auto" w:fill="auto"/>
            <w:noWrap/>
            <w:vAlign w:val="bottom"/>
            <w:hideMark/>
          </w:tcPr>
          <w:p w14:paraId="4C6C7A2C" w14:textId="06FCCA14"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1.01 (0.75</w:t>
            </w:r>
            <w:r w:rsidR="00123418" w:rsidRPr="004D453A">
              <w:rPr>
                <w:rFonts w:ascii="Arial" w:hAnsi="Arial" w:cs="Arial"/>
                <w:color w:val="000000"/>
                <w:sz w:val="20"/>
                <w:szCs w:val="20"/>
              </w:rPr>
              <w:t>-</w:t>
            </w:r>
            <w:r w:rsidRPr="004D453A">
              <w:rPr>
                <w:rFonts w:ascii="Arial" w:hAnsi="Arial" w:cs="Arial"/>
                <w:color w:val="000000"/>
                <w:sz w:val="20"/>
                <w:szCs w:val="20"/>
              </w:rPr>
              <w:t>1.36)</w:t>
            </w:r>
          </w:p>
        </w:tc>
      </w:tr>
      <w:tr w:rsidR="00692A77" w:rsidRPr="004D453A" w14:paraId="52F279A1"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729657EF"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0CB84D9C" w14:textId="5166DC85"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154</w:t>
            </w:r>
          </w:p>
        </w:tc>
        <w:tc>
          <w:tcPr>
            <w:tcW w:w="2730" w:type="dxa"/>
            <w:tcBorders>
              <w:top w:val="nil"/>
              <w:left w:val="nil"/>
              <w:bottom w:val="nil"/>
              <w:right w:val="nil"/>
            </w:tcBorders>
            <w:shd w:val="clear" w:color="auto" w:fill="auto"/>
            <w:noWrap/>
            <w:vAlign w:val="bottom"/>
            <w:hideMark/>
          </w:tcPr>
          <w:p w14:paraId="15860ECD" w14:textId="2AE1284D"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1.11 (0.82</w:t>
            </w:r>
            <w:r w:rsidR="00123418" w:rsidRPr="004D453A">
              <w:rPr>
                <w:rFonts w:ascii="Arial" w:hAnsi="Arial" w:cs="Arial"/>
                <w:color w:val="000000"/>
                <w:sz w:val="20"/>
                <w:szCs w:val="20"/>
              </w:rPr>
              <w:t>-</w:t>
            </w:r>
            <w:r w:rsidRPr="004D453A">
              <w:rPr>
                <w:rFonts w:ascii="Arial" w:hAnsi="Arial" w:cs="Arial"/>
                <w:color w:val="000000"/>
                <w:sz w:val="20"/>
                <w:szCs w:val="20"/>
              </w:rPr>
              <w:t>1.48)</w:t>
            </w:r>
          </w:p>
        </w:tc>
      </w:tr>
      <w:tr w:rsidR="00692A77" w:rsidRPr="004D453A" w14:paraId="0ABBC921"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B31074E"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62F211CD" w14:textId="50F15EAE"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189</w:t>
            </w:r>
          </w:p>
        </w:tc>
        <w:tc>
          <w:tcPr>
            <w:tcW w:w="2730" w:type="dxa"/>
            <w:tcBorders>
              <w:top w:val="nil"/>
              <w:left w:val="nil"/>
              <w:bottom w:val="nil"/>
              <w:right w:val="nil"/>
            </w:tcBorders>
            <w:shd w:val="clear" w:color="auto" w:fill="auto"/>
            <w:noWrap/>
            <w:vAlign w:val="bottom"/>
            <w:hideMark/>
          </w:tcPr>
          <w:p w14:paraId="7BA1D6D6" w14:textId="1AD3CCF2"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1.32 (0.99</w:t>
            </w:r>
            <w:r w:rsidR="00123418" w:rsidRPr="004D453A">
              <w:rPr>
                <w:rFonts w:ascii="Arial" w:hAnsi="Arial" w:cs="Arial"/>
                <w:color w:val="000000"/>
                <w:sz w:val="20"/>
                <w:szCs w:val="20"/>
              </w:rPr>
              <w:t>-</w:t>
            </w:r>
            <w:r w:rsidRPr="004D453A">
              <w:rPr>
                <w:rFonts w:ascii="Arial" w:hAnsi="Arial" w:cs="Arial"/>
                <w:color w:val="000000"/>
                <w:sz w:val="20"/>
                <w:szCs w:val="20"/>
              </w:rPr>
              <w:t>1.77)</w:t>
            </w:r>
          </w:p>
        </w:tc>
      </w:tr>
      <w:tr w:rsidR="00692A77" w:rsidRPr="004D453A" w14:paraId="4066E2B1"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611FB45A"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1856D7D6" w14:textId="4E7120B4"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56A2D8E0" w14:textId="12CBC05C"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0.05</w:t>
            </w:r>
          </w:p>
        </w:tc>
      </w:tr>
      <w:tr w:rsidR="00692A77" w:rsidRPr="004D453A" w14:paraId="15B90C18" w14:textId="77777777" w:rsidTr="00BA3039">
        <w:trPr>
          <w:trHeight w:val="20"/>
          <w:jc w:val="center"/>
        </w:trPr>
        <w:tc>
          <w:tcPr>
            <w:tcW w:w="3440" w:type="dxa"/>
            <w:tcBorders>
              <w:top w:val="nil"/>
              <w:left w:val="nil"/>
              <w:bottom w:val="nil"/>
              <w:right w:val="nil"/>
            </w:tcBorders>
            <w:shd w:val="clear" w:color="000000" w:fill="FFFFFF"/>
            <w:vAlign w:val="center"/>
            <w:hideMark/>
          </w:tcPr>
          <w:p w14:paraId="4613678F"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lastRenderedPageBreak/>
              <w:t xml:space="preserve">Nuts </w:t>
            </w:r>
          </w:p>
        </w:tc>
        <w:tc>
          <w:tcPr>
            <w:tcW w:w="1300" w:type="dxa"/>
            <w:tcBorders>
              <w:top w:val="nil"/>
              <w:left w:val="nil"/>
              <w:bottom w:val="nil"/>
              <w:right w:val="nil"/>
            </w:tcBorders>
            <w:shd w:val="clear" w:color="auto" w:fill="auto"/>
            <w:noWrap/>
            <w:vAlign w:val="bottom"/>
            <w:hideMark/>
          </w:tcPr>
          <w:p w14:paraId="7178A8D2"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3CF17241" w14:textId="77777777" w:rsidR="00692A77" w:rsidRPr="004D453A" w:rsidRDefault="00692A77" w:rsidP="00692A77">
            <w:pPr>
              <w:jc w:val="center"/>
              <w:rPr>
                <w:rFonts w:ascii="Arial" w:hAnsi="Arial" w:cs="Arial"/>
                <w:color w:val="000000"/>
                <w:sz w:val="20"/>
                <w:szCs w:val="20"/>
              </w:rPr>
            </w:pPr>
          </w:p>
        </w:tc>
      </w:tr>
      <w:tr w:rsidR="00692A77" w:rsidRPr="004D453A" w14:paraId="41AE80BF"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7711BE72"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7EC4116C" w14:textId="2D9F42D2"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118</w:t>
            </w:r>
          </w:p>
        </w:tc>
        <w:tc>
          <w:tcPr>
            <w:tcW w:w="2730" w:type="dxa"/>
            <w:tcBorders>
              <w:top w:val="nil"/>
              <w:left w:val="nil"/>
              <w:bottom w:val="nil"/>
              <w:right w:val="nil"/>
            </w:tcBorders>
            <w:shd w:val="clear" w:color="auto" w:fill="auto"/>
            <w:noWrap/>
            <w:vAlign w:val="bottom"/>
            <w:hideMark/>
          </w:tcPr>
          <w:p w14:paraId="42DD5FBC" w14:textId="2D25D8D3"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10811FF3"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5E8DE3DF"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046BBC9B" w14:textId="1FFBDC1D"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169</w:t>
            </w:r>
          </w:p>
        </w:tc>
        <w:tc>
          <w:tcPr>
            <w:tcW w:w="2730" w:type="dxa"/>
            <w:tcBorders>
              <w:top w:val="nil"/>
              <w:left w:val="nil"/>
              <w:bottom w:val="nil"/>
              <w:right w:val="nil"/>
            </w:tcBorders>
            <w:shd w:val="clear" w:color="auto" w:fill="auto"/>
            <w:noWrap/>
            <w:vAlign w:val="bottom"/>
            <w:hideMark/>
          </w:tcPr>
          <w:p w14:paraId="342F2A93" w14:textId="4A6A1184"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1.25 (0.94</w:t>
            </w:r>
            <w:r w:rsidR="00123418" w:rsidRPr="004D453A">
              <w:rPr>
                <w:rFonts w:ascii="Arial" w:hAnsi="Arial" w:cs="Arial"/>
                <w:color w:val="000000"/>
                <w:sz w:val="20"/>
                <w:szCs w:val="20"/>
              </w:rPr>
              <w:t>-</w:t>
            </w:r>
            <w:r w:rsidRPr="004D453A">
              <w:rPr>
                <w:rFonts w:ascii="Arial" w:hAnsi="Arial" w:cs="Arial"/>
                <w:color w:val="000000"/>
                <w:sz w:val="20"/>
                <w:szCs w:val="20"/>
              </w:rPr>
              <w:t>1.68)</w:t>
            </w:r>
          </w:p>
        </w:tc>
      </w:tr>
      <w:tr w:rsidR="00692A77" w:rsidRPr="004D453A" w14:paraId="420B0214"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4B358E3"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2F65CB5E" w14:textId="2C62E38B"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157</w:t>
            </w:r>
          </w:p>
        </w:tc>
        <w:tc>
          <w:tcPr>
            <w:tcW w:w="2730" w:type="dxa"/>
            <w:tcBorders>
              <w:top w:val="nil"/>
              <w:left w:val="nil"/>
              <w:bottom w:val="nil"/>
              <w:right w:val="nil"/>
            </w:tcBorders>
            <w:shd w:val="clear" w:color="auto" w:fill="auto"/>
            <w:noWrap/>
            <w:vAlign w:val="bottom"/>
            <w:hideMark/>
          </w:tcPr>
          <w:p w14:paraId="6F3792E3" w14:textId="622ED83B"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1.29 (0.96</w:t>
            </w:r>
            <w:r w:rsidR="00123418" w:rsidRPr="004D453A">
              <w:rPr>
                <w:rFonts w:ascii="Arial" w:hAnsi="Arial" w:cs="Arial"/>
                <w:color w:val="000000"/>
                <w:sz w:val="20"/>
                <w:szCs w:val="20"/>
              </w:rPr>
              <w:t>-</w:t>
            </w:r>
            <w:r w:rsidRPr="004D453A">
              <w:rPr>
                <w:rFonts w:ascii="Arial" w:hAnsi="Arial" w:cs="Arial"/>
                <w:color w:val="000000"/>
                <w:sz w:val="20"/>
                <w:szCs w:val="20"/>
              </w:rPr>
              <w:t>1.74)</w:t>
            </w:r>
          </w:p>
        </w:tc>
      </w:tr>
      <w:tr w:rsidR="00692A77" w:rsidRPr="004D453A" w14:paraId="5AE10F83"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B5B9D98"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44B9B260" w14:textId="2EA18333"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144</w:t>
            </w:r>
          </w:p>
        </w:tc>
        <w:tc>
          <w:tcPr>
            <w:tcW w:w="2730" w:type="dxa"/>
            <w:tcBorders>
              <w:top w:val="nil"/>
              <w:left w:val="nil"/>
              <w:bottom w:val="nil"/>
              <w:right w:val="nil"/>
            </w:tcBorders>
            <w:shd w:val="clear" w:color="auto" w:fill="auto"/>
            <w:noWrap/>
            <w:vAlign w:val="bottom"/>
            <w:hideMark/>
          </w:tcPr>
          <w:p w14:paraId="22FCE4C5" w14:textId="3A2A4320"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1.10 (0.81</w:t>
            </w:r>
            <w:r w:rsidR="00123418" w:rsidRPr="004D453A">
              <w:rPr>
                <w:rFonts w:ascii="Arial" w:hAnsi="Arial" w:cs="Arial"/>
                <w:color w:val="000000"/>
                <w:sz w:val="20"/>
                <w:szCs w:val="20"/>
              </w:rPr>
              <w:t>-</w:t>
            </w:r>
            <w:r w:rsidRPr="004D453A">
              <w:rPr>
                <w:rFonts w:ascii="Arial" w:hAnsi="Arial" w:cs="Arial"/>
                <w:color w:val="000000"/>
                <w:sz w:val="20"/>
                <w:szCs w:val="20"/>
              </w:rPr>
              <w:t>1.48)</w:t>
            </w:r>
          </w:p>
        </w:tc>
      </w:tr>
      <w:tr w:rsidR="00692A77" w:rsidRPr="004D453A" w14:paraId="67EB24DB"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71D0C67"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00718FE8" w14:textId="123DBA8B"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177</w:t>
            </w:r>
          </w:p>
        </w:tc>
        <w:tc>
          <w:tcPr>
            <w:tcW w:w="2730" w:type="dxa"/>
            <w:tcBorders>
              <w:top w:val="nil"/>
              <w:left w:val="nil"/>
              <w:bottom w:val="nil"/>
              <w:right w:val="nil"/>
            </w:tcBorders>
            <w:shd w:val="clear" w:color="auto" w:fill="auto"/>
            <w:noWrap/>
            <w:vAlign w:val="bottom"/>
            <w:hideMark/>
          </w:tcPr>
          <w:p w14:paraId="1FAA6B82" w14:textId="025DE77D"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1.34 (0.99</w:t>
            </w:r>
            <w:r w:rsidR="00123418" w:rsidRPr="004D453A">
              <w:rPr>
                <w:rFonts w:ascii="Arial" w:hAnsi="Arial" w:cs="Arial"/>
                <w:color w:val="000000"/>
                <w:sz w:val="20"/>
                <w:szCs w:val="20"/>
              </w:rPr>
              <w:t>-</w:t>
            </w:r>
            <w:r w:rsidRPr="004D453A">
              <w:rPr>
                <w:rFonts w:ascii="Arial" w:hAnsi="Arial" w:cs="Arial"/>
                <w:color w:val="000000"/>
                <w:sz w:val="20"/>
                <w:szCs w:val="20"/>
              </w:rPr>
              <w:t>1.80)</w:t>
            </w:r>
          </w:p>
        </w:tc>
      </w:tr>
      <w:tr w:rsidR="00692A77" w:rsidRPr="004D453A" w14:paraId="6BC72BBD"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42F1C79A"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50833F9A" w14:textId="65008656"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562BDCEC" w14:textId="0B4E50E4"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0.15</w:t>
            </w:r>
          </w:p>
        </w:tc>
      </w:tr>
      <w:tr w:rsidR="00692A77" w:rsidRPr="004D453A" w14:paraId="01DA9BD3" w14:textId="77777777" w:rsidTr="00BA3039">
        <w:trPr>
          <w:trHeight w:val="20"/>
          <w:jc w:val="center"/>
        </w:trPr>
        <w:tc>
          <w:tcPr>
            <w:tcW w:w="3440" w:type="dxa"/>
            <w:tcBorders>
              <w:top w:val="nil"/>
              <w:left w:val="nil"/>
              <w:bottom w:val="nil"/>
              <w:right w:val="nil"/>
            </w:tcBorders>
            <w:shd w:val="clear" w:color="000000" w:fill="FFFFFF"/>
            <w:vAlign w:val="center"/>
            <w:hideMark/>
          </w:tcPr>
          <w:p w14:paraId="52E5E1FA"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 xml:space="preserve">Fats </w:t>
            </w:r>
          </w:p>
        </w:tc>
        <w:tc>
          <w:tcPr>
            <w:tcW w:w="1300" w:type="dxa"/>
            <w:tcBorders>
              <w:top w:val="nil"/>
              <w:left w:val="nil"/>
              <w:bottom w:val="nil"/>
              <w:right w:val="nil"/>
            </w:tcBorders>
            <w:shd w:val="clear" w:color="auto" w:fill="auto"/>
            <w:noWrap/>
            <w:vAlign w:val="bottom"/>
            <w:hideMark/>
          </w:tcPr>
          <w:p w14:paraId="581B1873"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2285CB72" w14:textId="77777777" w:rsidR="00692A77" w:rsidRPr="004D453A" w:rsidRDefault="00692A77" w:rsidP="00692A77">
            <w:pPr>
              <w:jc w:val="center"/>
              <w:rPr>
                <w:rFonts w:ascii="Arial" w:hAnsi="Arial" w:cs="Arial"/>
                <w:color w:val="000000"/>
                <w:sz w:val="20"/>
                <w:szCs w:val="20"/>
              </w:rPr>
            </w:pPr>
          </w:p>
        </w:tc>
      </w:tr>
      <w:tr w:rsidR="00692A77" w:rsidRPr="004D453A" w14:paraId="457C3C4A"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A98A51A"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0D0299D0" w14:textId="5681F6D8"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135</w:t>
            </w:r>
          </w:p>
        </w:tc>
        <w:tc>
          <w:tcPr>
            <w:tcW w:w="2730" w:type="dxa"/>
            <w:tcBorders>
              <w:top w:val="nil"/>
              <w:left w:val="nil"/>
              <w:bottom w:val="nil"/>
              <w:right w:val="nil"/>
            </w:tcBorders>
            <w:shd w:val="clear" w:color="auto" w:fill="auto"/>
            <w:noWrap/>
            <w:vAlign w:val="bottom"/>
            <w:hideMark/>
          </w:tcPr>
          <w:p w14:paraId="37D36FFE" w14:textId="1C5565A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788F9D50"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A21B4A1"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0A1B64DA" w14:textId="13298A3E"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162</w:t>
            </w:r>
          </w:p>
        </w:tc>
        <w:tc>
          <w:tcPr>
            <w:tcW w:w="2730" w:type="dxa"/>
            <w:tcBorders>
              <w:top w:val="nil"/>
              <w:left w:val="nil"/>
              <w:bottom w:val="nil"/>
              <w:right w:val="nil"/>
            </w:tcBorders>
            <w:shd w:val="clear" w:color="auto" w:fill="auto"/>
            <w:noWrap/>
            <w:vAlign w:val="bottom"/>
            <w:hideMark/>
          </w:tcPr>
          <w:p w14:paraId="57F8A2EF" w14:textId="6786571D"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1.10 (0.82</w:t>
            </w:r>
            <w:r w:rsidR="00123418" w:rsidRPr="004D453A">
              <w:rPr>
                <w:rFonts w:ascii="Arial" w:hAnsi="Arial" w:cs="Arial"/>
                <w:color w:val="000000"/>
                <w:sz w:val="20"/>
                <w:szCs w:val="20"/>
              </w:rPr>
              <w:t>-</w:t>
            </w:r>
            <w:r w:rsidRPr="004D453A">
              <w:rPr>
                <w:rFonts w:ascii="Arial" w:hAnsi="Arial" w:cs="Arial"/>
                <w:color w:val="000000"/>
                <w:sz w:val="20"/>
                <w:szCs w:val="20"/>
              </w:rPr>
              <w:t>1.46)</w:t>
            </w:r>
          </w:p>
        </w:tc>
      </w:tr>
      <w:tr w:rsidR="00692A77" w:rsidRPr="004D453A" w14:paraId="191B35EE"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892F4E2"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78C94E73" w14:textId="6334A68C"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145</w:t>
            </w:r>
          </w:p>
        </w:tc>
        <w:tc>
          <w:tcPr>
            <w:tcW w:w="2730" w:type="dxa"/>
            <w:tcBorders>
              <w:top w:val="nil"/>
              <w:left w:val="nil"/>
              <w:bottom w:val="nil"/>
              <w:right w:val="nil"/>
            </w:tcBorders>
            <w:shd w:val="clear" w:color="auto" w:fill="auto"/>
            <w:noWrap/>
            <w:vAlign w:val="bottom"/>
            <w:hideMark/>
          </w:tcPr>
          <w:p w14:paraId="5DD39580" w14:textId="27C8CFED"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0.93 (0.69</w:t>
            </w:r>
            <w:r w:rsidR="00123418" w:rsidRPr="004D453A">
              <w:rPr>
                <w:rFonts w:ascii="Arial" w:hAnsi="Arial" w:cs="Arial"/>
                <w:color w:val="000000"/>
                <w:sz w:val="20"/>
                <w:szCs w:val="20"/>
              </w:rPr>
              <w:t>-</w:t>
            </w:r>
            <w:r w:rsidRPr="004D453A">
              <w:rPr>
                <w:rFonts w:ascii="Arial" w:hAnsi="Arial" w:cs="Arial"/>
                <w:color w:val="000000"/>
                <w:sz w:val="20"/>
                <w:szCs w:val="20"/>
              </w:rPr>
              <w:t>1.25)</w:t>
            </w:r>
          </w:p>
        </w:tc>
      </w:tr>
      <w:tr w:rsidR="00692A77" w:rsidRPr="004D453A" w14:paraId="651065B8"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3F0AA8D"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02CBBAD1" w14:textId="1D1DCD0A"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146</w:t>
            </w:r>
          </w:p>
        </w:tc>
        <w:tc>
          <w:tcPr>
            <w:tcW w:w="2730" w:type="dxa"/>
            <w:tcBorders>
              <w:top w:val="nil"/>
              <w:left w:val="nil"/>
              <w:bottom w:val="nil"/>
              <w:right w:val="nil"/>
            </w:tcBorders>
            <w:shd w:val="clear" w:color="auto" w:fill="auto"/>
            <w:noWrap/>
            <w:vAlign w:val="bottom"/>
            <w:hideMark/>
          </w:tcPr>
          <w:p w14:paraId="5CCAA45D" w14:textId="5DDD802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0.99 (0.74</w:t>
            </w:r>
            <w:r w:rsidR="00123418" w:rsidRPr="004D453A">
              <w:rPr>
                <w:rFonts w:ascii="Arial" w:hAnsi="Arial" w:cs="Arial"/>
                <w:color w:val="000000"/>
                <w:sz w:val="20"/>
                <w:szCs w:val="20"/>
              </w:rPr>
              <w:t>-</w:t>
            </w:r>
            <w:r w:rsidRPr="004D453A">
              <w:rPr>
                <w:rFonts w:ascii="Arial" w:hAnsi="Arial" w:cs="Arial"/>
                <w:color w:val="000000"/>
                <w:sz w:val="20"/>
                <w:szCs w:val="20"/>
              </w:rPr>
              <w:t>1.33)</w:t>
            </w:r>
          </w:p>
        </w:tc>
      </w:tr>
      <w:tr w:rsidR="00692A77" w:rsidRPr="004D453A" w14:paraId="7CBB286C"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411B1DD5"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485453FD" w14:textId="5ECECEB3"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177</w:t>
            </w:r>
          </w:p>
        </w:tc>
        <w:tc>
          <w:tcPr>
            <w:tcW w:w="2730" w:type="dxa"/>
            <w:tcBorders>
              <w:top w:val="nil"/>
              <w:left w:val="nil"/>
              <w:bottom w:val="nil"/>
              <w:right w:val="nil"/>
            </w:tcBorders>
            <w:shd w:val="clear" w:color="auto" w:fill="auto"/>
            <w:noWrap/>
            <w:vAlign w:val="bottom"/>
            <w:hideMark/>
          </w:tcPr>
          <w:p w14:paraId="6626E20E" w14:textId="158A35D5"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1.19 (0.89</w:t>
            </w:r>
            <w:r w:rsidR="00123418" w:rsidRPr="004D453A">
              <w:rPr>
                <w:rFonts w:ascii="Arial" w:hAnsi="Arial" w:cs="Arial"/>
                <w:color w:val="000000"/>
                <w:sz w:val="20"/>
                <w:szCs w:val="20"/>
              </w:rPr>
              <w:t>-</w:t>
            </w:r>
            <w:r w:rsidRPr="004D453A">
              <w:rPr>
                <w:rFonts w:ascii="Arial" w:hAnsi="Arial" w:cs="Arial"/>
                <w:color w:val="000000"/>
                <w:sz w:val="20"/>
                <w:szCs w:val="20"/>
              </w:rPr>
              <w:t>1.60)</w:t>
            </w:r>
          </w:p>
        </w:tc>
      </w:tr>
      <w:tr w:rsidR="00692A77" w:rsidRPr="004D453A" w14:paraId="7238617F"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330AA24F"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3A0179E8" w14:textId="602E6F20"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65AE7E83" w14:textId="02DEC5C8"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0.38</w:t>
            </w:r>
          </w:p>
        </w:tc>
      </w:tr>
      <w:tr w:rsidR="00692A77" w:rsidRPr="004D453A" w14:paraId="28CCC116" w14:textId="77777777" w:rsidTr="00BA3039">
        <w:trPr>
          <w:trHeight w:val="20"/>
          <w:jc w:val="center"/>
        </w:trPr>
        <w:tc>
          <w:tcPr>
            <w:tcW w:w="3440" w:type="dxa"/>
            <w:tcBorders>
              <w:top w:val="nil"/>
              <w:left w:val="nil"/>
              <w:bottom w:val="nil"/>
              <w:right w:val="nil"/>
            </w:tcBorders>
            <w:shd w:val="clear" w:color="000000" w:fill="FFFFFF"/>
            <w:vAlign w:val="center"/>
            <w:hideMark/>
          </w:tcPr>
          <w:p w14:paraId="78013347" w14:textId="77777777" w:rsidR="00692A77" w:rsidRPr="004D453A" w:rsidRDefault="00692A77" w:rsidP="00692A77">
            <w:pPr>
              <w:ind w:leftChars="83" w:left="341" w:hangingChars="71" w:hanging="142"/>
              <w:rPr>
                <w:rFonts w:ascii="Arial" w:eastAsia="Times New Roman" w:hAnsi="Arial" w:cs="Arial"/>
                <w:color w:val="000000"/>
                <w:sz w:val="20"/>
                <w:szCs w:val="20"/>
              </w:rPr>
            </w:pPr>
            <w:r w:rsidRPr="004D453A">
              <w:rPr>
                <w:rFonts w:ascii="Arial" w:eastAsia="Times New Roman" w:hAnsi="Arial" w:cs="Arial"/>
                <w:color w:val="000000"/>
                <w:sz w:val="20"/>
                <w:szCs w:val="20"/>
              </w:rPr>
              <w:t>Refined grains and starchy vegetables</w:t>
            </w:r>
          </w:p>
        </w:tc>
        <w:tc>
          <w:tcPr>
            <w:tcW w:w="1300" w:type="dxa"/>
            <w:tcBorders>
              <w:top w:val="nil"/>
              <w:left w:val="nil"/>
              <w:bottom w:val="nil"/>
              <w:right w:val="nil"/>
            </w:tcBorders>
            <w:shd w:val="clear" w:color="auto" w:fill="auto"/>
            <w:noWrap/>
            <w:vAlign w:val="bottom"/>
            <w:hideMark/>
          </w:tcPr>
          <w:p w14:paraId="61192B98"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1DAA495A" w14:textId="77777777" w:rsidR="00692A77" w:rsidRPr="004D453A" w:rsidRDefault="00692A77" w:rsidP="00692A77">
            <w:pPr>
              <w:jc w:val="center"/>
              <w:rPr>
                <w:rFonts w:ascii="Arial" w:hAnsi="Arial" w:cs="Arial"/>
                <w:color w:val="000000"/>
                <w:sz w:val="20"/>
                <w:szCs w:val="20"/>
              </w:rPr>
            </w:pPr>
          </w:p>
        </w:tc>
      </w:tr>
      <w:tr w:rsidR="00692A77" w:rsidRPr="004D453A" w14:paraId="45BEAF4A"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52183618"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05E00D0A" w14:textId="37562B60"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128</w:t>
            </w:r>
          </w:p>
        </w:tc>
        <w:tc>
          <w:tcPr>
            <w:tcW w:w="2730" w:type="dxa"/>
            <w:tcBorders>
              <w:top w:val="nil"/>
              <w:left w:val="nil"/>
              <w:bottom w:val="nil"/>
              <w:right w:val="nil"/>
            </w:tcBorders>
            <w:shd w:val="clear" w:color="auto" w:fill="auto"/>
            <w:noWrap/>
            <w:vAlign w:val="bottom"/>
            <w:hideMark/>
          </w:tcPr>
          <w:p w14:paraId="7F60F5B2" w14:textId="22DAB57D"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483D2F5B"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3F578D03"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1CC991D8" w14:textId="3B713595"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165</w:t>
            </w:r>
          </w:p>
        </w:tc>
        <w:tc>
          <w:tcPr>
            <w:tcW w:w="2730" w:type="dxa"/>
            <w:tcBorders>
              <w:top w:val="nil"/>
              <w:left w:val="nil"/>
              <w:bottom w:val="nil"/>
              <w:right w:val="nil"/>
            </w:tcBorders>
            <w:shd w:val="clear" w:color="auto" w:fill="auto"/>
            <w:noWrap/>
            <w:vAlign w:val="bottom"/>
            <w:hideMark/>
          </w:tcPr>
          <w:p w14:paraId="7BECD891" w14:textId="723FE1CD"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1.29 (0.96</w:t>
            </w:r>
            <w:r w:rsidR="00123418" w:rsidRPr="004D453A">
              <w:rPr>
                <w:rFonts w:ascii="Arial" w:hAnsi="Arial" w:cs="Arial"/>
                <w:color w:val="000000"/>
                <w:sz w:val="20"/>
                <w:szCs w:val="20"/>
              </w:rPr>
              <w:t>-</w:t>
            </w:r>
            <w:r w:rsidRPr="004D453A">
              <w:rPr>
                <w:rFonts w:ascii="Arial" w:hAnsi="Arial" w:cs="Arial"/>
                <w:color w:val="000000"/>
                <w:sz w:val="20"/>
                <w:szCs w:val="20"/>
              </w:rPr>
              <w:t>1.72)</w:t>
            </w:r>
          </w:p>
        </w:tc>
      </w:tr>
      <w:tr w:rsidR="00692A77" w:rsidRPr="004D453A" w14:paraId="66E194C9"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E4E997C"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58632BAC" w14:textId="78522CCB"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136</w:t>
            </w:r>
          </w:p>
        </w:tc>
        <w:tc>
          <w:tcPr>
            <w:tcW w:w="2730" w:type="dxa"/>
            <w:tcBorders>
              <w:top w:val="nil"/>
              <w:left w:val="nil"/>
              <w:bottom w:val="nil"/>
              <w:right w:val="nil"/>
            </w:tcBorders>
            <w:shd w:val="clear" w:color="auto" w:fill="auto"/>
            <w:noWrap/>
            <w:vAlign w:val="bottom"/>
            <w:hideMark/>
          </w:tcPr>
          <w:p w14:paraId="6F8F489D" w14:textId="17C662DF"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0.97 (0.72</w:t>
            </w:r>
            <w:r w:rsidR="00123418" w:rsidRPr="004D453A">
              <w:rPr>
                <w:rFonts w:ascii="Arial" w:hAnsi="Arial" w:cs="Arial"/>
                <w:color w:val="000000"/>
                <w:sz w:val="20"/>
                <w:szCs w:val="20"/>
              </w:rPr>
              <w:t>-</w:t>
            </w:r>
            <w:r w:rsidRPr="004D453A">
              <w:rPr>
                <w:rFonts w:ascii="Arial" w:hAnsi="Arial" w:cs="Arial"/>
                <w:color w:val="000000"/>
                <w:sz w:val="20"/>
                <w:szCs w:val="20"/>
              </w:rPr>
              <w:t>1.32)</w:t>
            </w:r>
          </w:p>
        </w:tc>
      </w:tr>
      <w:tr w:rsidR="00692A77" w:rsidRPr="004D453A" w14:paraId="0D0B5165"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7715D6A1"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1BD7E91C" w14:textId="33B08722"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150</w:t>
            </w:r>
          </w:p>
        </w:tc>
        <w:tc>
          <w:tcPr>
            <w:tcW w:w="2730" w:type="dxa"/>
            <w:tcBorders>
              <w:top w:val="nil"/>
              <w:left w:val="nil"/>
              <w:bottom w:val="nil"/>
              <w:right w:val="nil"/>
            </w:tcBorders>
            <w:shd w:val="clear" w:color="auto" w:fill="auto"/>
            <w:noWrap/>
            <w:vAlign w:val="bottom"/>
            <w:hideMark/>
          </w:tcPr>
          <w:p w14:paraId="45168C25" w14:textId="30CBBFFB"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1.11 (0.82</w:t>
            </w:r>
            <w:r w:rsidR="00123418" w:rsidRPr="004D453A">
              <w:rPr>
                <w:rFonts w:ascii="Arial" w:hAnsi="Arial" w:cs="Arial"/>
                <w:color w:val="000000"/>
                <w:sz w:val="20"/>
                <w:szCs w:val="20"/>
              </w:rPr>
              <w:t>-</w:t>
            </w:r>
            <w:r w:rsidRPr="004D453A">
              <w:rPr>
                <w:rFonts w:ascii="Arial" w:hAnsi="Arial" w:cs="Arial"/>
                <w:color w:val="000000"/>
                <w:sz w:val="20"/>
                <w:szCs w:val="20"/>
              </w:rPr>
              <w:t>1.50)</w:t>
            </w:r>
          </w:p>
        </w:tc>
      </w:tr>
      <w:tr w:rsidR="00692A77" w:rsidRPr="004D453A" w14:paraId="6BDD72D0"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063E3D07"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1CB7E4E6" w14:textId="390FBD69"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186</w:t>
            </w:r>
          </w:p>
        </w:tc>
        <w:tc>
          <w:tcPr>
            <w:tcW w:w="2730" w:type="dxa"/>
            <w:tcBorders>
              <w:top w:val="nil"/>
              <w:left w:val="nil"/>
              <w:bottom w:val="nil"/>
              <w:right w:val="nil"/>
            </w:tcBorders>
            <w:shd w:val="clear" w:color="auto" w:fill="auto"/>
            <w:noWrap/>
            <w:vAlign w:val="bottom"/>
            <w:hideMark/>
          </w:tcPr>
          <w:p w14:paraId="55D51D9A" w14:textId="1390D82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1.33 (0.99</w:t>
            </w:r>
            <w:r w:rsidR="00123418" w:rsidRPr="004D453A">
              <w:rPr>
                <w:rFonts w:ascii="Arial" w:hAnsi="Arial" w:cs="Arial"/>
                <w:color w:val="000000"/>
                <w:sz w:val="20"/>
                <w:szCs w:val="20"/>
              </w:rPr>
              <w:t>-</w:t>
            </w:r>
            <w:r w:rsidRPr="004D453A">
              <w:rPr>
                <w:rFonts w:ascii="Arial" w:hAnsi="Arial" w:cs="Arial"/>
                <w:color w:val="000000"/>
                <w:sz w:val="20"/>
                <w:szCs w:val="20"/>
              </w:rPr>
              <w:t>1.80)</w:t>
            </w:r>
          </w:p>
        </w:tc>
      </w:tr>
      <w:tr w:rsidR="00692A77" w:rsidRPr="004D453A" w14:paraId="6F86FB20" w14:textId="77777777" w:rsidTr="00605CB2">
        <w:trPr>
          <w:trHeight w:val="20"/>
          <w:jc w:val="center"/>
        </w:trPr>
        <w:tc>
          <w:tcPr>
            <w:tcW w:w="3440" w:type="dxa"/>
            <w:tcBorders>
              <w:top w:val="nil"/>
              <w:left w:val="nil"/>
              <w:bottom w:val="nil"/>
              <w:right w:val="nil"/>
            </w:tcBorders>
            <w:shd w:val="clear" w:color="auto" w:fill="auto"/>
            <w:noWrap/>
            <w:vAlign w:val="bottom"/>
            <w:hideMark/>
          </w:tcPr>
          <w:p w14:paraId="298A758C" w14:textId="77777777" w:rsidR="00692A77" w:rsidRPr="004D453A" w:rsidRDefault="00692A77" w:rsidP="00692A77">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3FCC498F" w14:textId="706A0F51"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hideMark/>
          </w:tcPr>
          <w:p w14:paraId="1B2EDAA7" w14:textId="6171926E"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0.17</w:t>
            </w:r>
          </w:p>
        </w:tc>
      </w:tr>
      <w:tr w:rsidR="00692A77" w:rsidRPr="004D453A" w14:paraId="0FD3117D" w14:textId="77777777" w:rsidTr="00BA3039">
        <w:trPr>
          <w:trHeight w:val="20"/>
          <w:jc w:val="center"/>
        </w:trPr>
        <w:tc>
          <w:tcPr>
            <w:tcW w:w="3440" w:type="dxa"/>
            <w:tcBorders>
              <w:top w:val="nil"/>
              <w:left w:val="nil"/>
              <w:bottom w:val="nil"/>
              <w:right w:val="nil"/>
            </w:tcBorders>
            <w:shd w:val="clear" w:color="000000" w:fill="FFFFFF"/>
            <w:vAlign w:val="center"/>
            <w:hideMark/>
          </w:tcPr>
          <w:p w14:paraId="285CFF40" w14:textId="77777777" w:rsidR="00692A77" w:rsidRPr="004D453A" w:rsidRDefault="00692A77" w:rsidP="00692A77">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Supplement score</w:t>
            </w:r>
          </w:p>
        </w:tc>
        <w:tc>
          <w:tcPr>
            <w:tcW w:w="1300" w:type="dxa"/>
            <w:tcBorders>
              <w:top w:val="nil"/>
              <w:left w:val="nil"/>
              <w:bottom w:val="nil"/>
              <w:right w:val="nil"/>
            </w:tcBorders>
            <w:shd w:val="clear" w:color="auto" w:fill="auto"/>
            <w:noWrap/>
            <w:vAlign w:val="bottom"/>
            <w:hideMark/>
          </w:tcPr>
          <w:p w14:paraId="12B90136" w14:textId="77777777" w:rsidR="00692A77" w:rsidRPr="004D453A" w:rsidRDefault="00692A77" w:rsidP="00692A77">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5E70289E" w14:textId="77777777" w:rsidR="00692A77" w:rsidRPr="004D453A" w:rsidRDefault="00692A77" w:rsidP="00692A77">
            <w:pPr>
              <w:jc w:val="center"/>
              <w:rPr>
                <w:rFonts w:ascii="Arial" w:hAnsi="Arial" w:cs="Arial"/>
                <w:color w:val="000000"/>
                <w:sz w:val="20"/>
                <w:szCs w:val="20"/>
              </w:rPr>
            </w:pPr>
          </w:p>
        </w:tc>
      </w:tr>
      <w:tr w:rsidR="00692A77" w:rsidRPr="004D453A" w14:paraId="7BBE8791"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2F52A4F4"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hideMark/>
          </w:tcPr>
          <w:p w14:paraId="108EF57E" w14:textId="5D0B5EC0"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139</w:t>
            </w:r>
          </w:p>
        </w:tc>
        <w:tc>
          <w:tcPr>
            <w:tcW w:w="2730" w:type="dxa"/>
            <w:tcBorders>
              <w:top w:val="nil"/>
              <w:left w:val="nil"/>
              <w:bottom w:val="nil"/>
              <w:right w:val="nil"/>
            </w:tcBorders>
            <w:shd w:val="clear" w:color="auto" w:fill="auto"/>
            <w:noWrap/>
            <w:vAlign w:val="bottom"/>
            <w:hideMark/>
          </w:tcPr>
          <w:p w14:paraId="576C95E0" w14:textId="3C96535D"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1.00</w:t>
            </w:r>
          </w:p>
        </w:tc>
      </w:tr>
      <w:tr w:rsidR="00692A77" w:rsidRPr="004D453A" w14:paraId="00BABFBA"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5763B3AB"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hideMark/>
          </w:tcPr>
          <w:p w14:paraId="26F099D7" w14:textId="6E08DFC3"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161</w:t>
            </w:r>
          </w:p>
        </w:tc>
        <w:tc>
          <w:tcPr>
            <w:tcW w:w="2730" w:type="dxa"/>
            <w:tcBorders>
              <w:top w:val="nil"/>
              <w:left w:val="nil"/>
              <w:bottom w:val="nil"/>
              <w:right w:val="nil"/>
            </w:tcBorders>
            <w:shd w:val="clear" w:color="auto" w:fill="auto"/>
            <w:noWrap/>
            <w:vAlign w:val="bottom"/>
            <w:hideMark/>
          </w:tcPr>
          <w:p w14:paraId="774A841A" w14:textId="36C10D16"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1.04 (0.78</w:t>
            </w:r>
            <w:r w:rsidR="00123418" w:rsidRPr="004D453A">
              <w:rPr>
                <w:rFonts w:ascii="Arial" w:hAnsi="Arial" w:cs="Arial"/>
                <w:color w:val="000000"/>
                <w:sz w:val="20"/>
                <w:szCs w:val="20"/>
              </w:rPr>
              <w:t>-</w:t>
            </w:r>
            <w:r w:rsidRPr="004D453A">
              <w:rPr>
                <w:rFonts w:ascii="Arial" w:hAnsi="Arial" w:cs="Arial"/>
                <w:color w:val="000000"/>
                <w:sz w:val="20"/>
                <w:szCs w:val="20"/>
              </w:rPr>
              <w:t>1.39)</w:t>
            </w:r>
          </w:p>
        </w:tc>
      </w:tr>
      <w:tr w:rsidR="00692A77" w:rsidRPr="004D453A" w14:paraId="0DD44004"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1759F3CD"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hideMark/>
          </w:tcPr>
          <w:p w14:paraId="70EABFE9" w14:textId="0FFC892E"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138</w:t>
            </w:r>
          </w:p>
        </w:tc>
        <w:tc>
          <w:tcPr>
            <w:tcW w:w="2730" w:type="dxa"/>
            <w:tcBorders>
              <w:top w:val="nil"/>
              <w:left w:val="nil"/>
              <w:bottom w:val="nil"/>
              <w:right w:val="nil"/>
            </w:tcBorders>
            <w:shd w:val="clear" w:color="auto" w:fill="auto"/>
            <w:noWrap/>
            <w:vAlign w:val="bottom"/>
            <w:hideMark/>
          </w:tcPr>
          <w:p w14:paraId="78D13B13" w14:textId="271FD252"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0.94 (0.70</w:t>
            </w:r>
            <w:r w:rsidR="00123418" w:rsidRPr="004D453A">
              <w:rPr>
                <w:rFonts w:ascii="Arial" w:hAnsi="Arial" w:cs="Arial"/>
                <w:color w:val="000000"/>
                <w:sz w:val="20"/>
                <w:szCs w:val="20"/>
              </w:rPr>
              <w:t>-</w:t>
            </w:r>
            <w:r w:rsidRPr="004D453A">
              <w:rPr>
                <w:rFonts w:ascii="Arial" w:hAnsi="Arial" w:cs="Arial"/>
                <w:color w:val="000000"/>
                <w:sz w:val="20"/>
                <w:szCs w:val="20"/>
              </w:rPr>
              <w:t>1.26)</w:t>
            </w:r>
          </w:p>
        </w:tc>
      </w:tr>
      <w:tr w:rsidR="00692A77" w:rsidRPr="004D453A" w14:paraId="23F77E18"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22A89386"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hideMark/>
          </w:tcPr>
          <w:p w14:paraId="38304CC1" w14:textId="0D5A4131"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149</w:t>
            </w:r>
          </w:p>
        </w:tc>
        <w:tc>
          <w:tcPr>
            <w:tcW w:w="2730" w:type="dxa"/>
            <w:tcBorders>
              <w:top w:val="nil"/>
              <w:left w:val="nil"/>
              <w:bottom w:val="nil"/>
              <w:right w:val="nil"/>
            </w:tcBorders>
            <w:shd w:val="clear" w:color="auto" w:fill="auto"/>
            <w:noWrap/>
            <w:vAlign w:val="bottom"/>
            <w:hideMark/>
          </w:tcPr>
          <w:p w14:paraId="2FFD501F" w14:textId="0AD458A7"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1.03 (0.77</w:t>
            </w:r>
            <w:r w:rsidR="00123418" w:rsidRPr="004D453A">
              <w:rPr>
                <w:rFonts w:ascii="Arial" w:hAnsi="Arial" w:cs="Arial"/>
                <w:color w:val="000000"/>
                <w:sz w:val="20"/>
                <w:szCs w:val="20"/>
              </w:rPr>
              <w:t>-</w:t>
            </w:r>
            <w:r w:rsidRPr="004D453A">
              <w:rPr>
                <w:rFonts w:ascii="Arial" w:hAnsi="Arial" w:cs="Arial"/>
                <w:color w:val="000000"/>
                <w:sz w:val="20"/>
                <w:szCs w:val="20"/>
              </w:rPr>
              <w:t>1.38)</w:t>
            </w:r>
          </w:p>
        </w:tc>
      </w:tr>
      <w:tr w:rsidR="00692A77" w:rsidRPr="004D453A" w14:paraId="17A4A02A" w14:textId="77777777" w:rsidTr="00605CB2">
        <w:trPr>
          <w:trHeight w:val="20"/>
          <w:jc w:val="center"/>
        </w:trPr>
        <w:tc>
          <w:tcPr>
            <w:tcW w:w="3440" w:type="dxa"/>
            <w:tcBorders>
              <w:top w:val="nil"/>
              <w:left w:val="nil"/>
              <w:bottom w:val="nil"/>
              <w:right w:val="nil"/>
            </w:tcBorders>
            <w:shd w:val="clear" w:color="auto" w:fill="auto"/>
            <w:noWrap/>
            <w:vAlign w:val="center"/>
            <w:hideMark/>
          </w:tcPr>
          <w:p w14:paraId="68AD2779" w14:textId="77777777" w:rsidR="00692A77" w:rsidRPr="004D453A" w:rsidRDefault="00692A77" w:rsidP="00692A77">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hideMark/>
          </w:tcPr>
          <w:p w14:paraId="55D0351B" w14:textId="0AB87C7E" w:rsidR="00692A77" w:rsidRPr="004D453A" w:rsidRDefault="00692A77" w:rsidP="00692A77">
            <w:pPr>
              <w:jc w:val="center"/>
              <w:rPr>
                <w:rFonts w:ascii="Arial" w:eastAsia="Times New Roman" w:hAnsi="Arial" w:cs="Arial"/>
                <w:color w:val="000000"/>
                <w:sz w:val="20"/>
                <w:szCs w:val="20"/>
              </w:rPr>
            </w:pPr>
            <w:r w:rsidRPr="004D453A">
              <w:rPr>
                <w:rFonts w:ascii="Arial" w:hAnsi="Arial" w:cs="Arial"/>
                <w:color w:val="000000"/>
                <w:sz w:val="20"/>
                <w:szCs w:val="20"/>
              </w:rPr>
              <w:t>178</w:t>
            </w:r>
          </w:p>
        </w:tc>
        <w:tc>
          <w:tcPr>
            <w:tcW w:w="2730" w:type="dxa"/>
            <w:tcBorders>
              <w:top w:val="nil"/>
              <w:left w:val="nil"/>
              <w:bottom w:val="nil"/>
              <w:right w:val="nil"/>
            </w:tcBorders>
            <w:shd w:val="clear" w:color="auto" w:fill="auto"/>
            <w:noWrap/>
            <w:vAlign w:val="bottom"/>
            <w:hideMark/>
          </w:tcPr>
          <w:p w14:paraId="2F923915" w14:textId="0F59AF60" w:rsidR="00692A77" w:rsidRPr="004D453A" w:rsidRDefault="00692A77" w:rsidP="00692A77">
            <w:pPr>
              <w:jc w:val="center"/>
              <w:rPr>
                <w:rFonts w:ascii="Arial" w:hAnsi="Arial" w:cs="Arial"/>
                <w:color w:val="000000"/>
                <w:sz w:val="20"/>
                <w:szCs w:val="20"/>
              </w:rPr>
            </w:pPr>
            <w:r w:rsidRPr="004D453A">
              <w:rPr>
                <w:rFonts w:ascii="Arial" w:hAnsi="Arial" w:cs="Arial"/>
                <w:color w:val="000000"/>
                <w:sz w:val="20"/>
                <w:szCs w:val="20"/>
              </w:rPr>
              <w:t>1.16 (0.87</w:t>
            </w:r>
            <w:r w:rsidR="00123418" w:rsidRPr="004D453A">
              <w:rPr>
                <w:rFonts w:ascii="Arial" w:hAnsi="Arial" w:cs="Arial"/>
                <w:color w:val="000000"/>
                <w:sz w:val="20"/>
                <w:szCs w:val="20"/>
              </w:rPr>
              <w:t>-</w:t>
            </w:r>
            <w:r w:rsidRPr="004D453A">
              <w:rPr>
                <w:rFonts w:ascii="Arial" w:hAnsi="Arial" w:cs="Arial"/>
                <w:color w:val="000000"/>
                <w:sz w:val="20"/>
                <w:szCs w:val="20"/>
              </w:rPr>
              <w:t>1.55)</w:t>
            </w:r>
          </w:p>
        </w:tc>
      </w:tr>
      <w:tr w:rsidR="00692A77" w:rsidRPr="004D453A" w14:paraId="3923EFAB" w14:textId="77777777" w:rsidTr="00605CB2">
        <w:trPr>
          <w:trHeight w:val="20"/>
          <w:jc w:val="center"/>
        </w:trPr>
        <w:tc>
          <w:tcPr>
            <w:tcW w:w="3440" w:type="dxa"/>
            <w:tcBorders>
              <w:top w:val="nil"/>
              <w:left w:val="nil"/>
              <w:bottom w:val="single" w:sz="8" w:space="0" w:color="auto"/>
              <w:right w:val="nil"/>
            </w:tcBorders>
            <w:shd w:val="clear" w:color="auto" w:fill="auto"/>
            <w:noWrap/>
            <w:vAlign w:val="bottom"/>
            <w:hideMark/>
          </w:tcPr>
          <w:p w14:paraId="21A13451" w14:textId="77777777" w:rsidR="00692A77" w:rsidRPr="004D453A" w:rsidRDefault="00692A77" w:rsidP="00692A77">
            <w:pPr>
              <w:rPr>
                <w:rFonts w:ascii="Arial" w:eastAsia="Times New Roman" w:hAnsi="Arial" w:cs="Arial"/>
                <w:color w:val="000000"/>
                <w:sz w:val="20"/>
                <w:szCs w:val="20"/>
              </w:rPr>
            </w:pPr>
            <w:r w:rsidRPr="004D453A">
              <w:rPr>
                <w:rFonts w:ascii="Arial" w:eastAsia="Times New Roman" w:hAnsi="Arial" w:cs="Arial"/>
                <w:color w:val="000000"/>
                <w:sz w:val="20"/>
                <w:szCs w:val="20"/>
              </w:rPr>
              <w:t> </w:t>
            </w:r>
          </w:p>
        </w:tc>
        <w:tc>
          <w:tcPr>
            <w:tcW w:w="1300" w:type="dxa"/>
            <w:tcBorders>
              <w:top w:val="nil"/>
              <w:left w:val="nil"/>
              <w:bottom w:val="single" w:sz="8" w:space="0" w:color="auto"/>
              <w:right w:val="nil"/>
            </w:tcBorders>
            <w:shd w:val="clear" w:color="auto" w:fill="auto"/>
            <w:noWrap/>
            <w:vAlign w:val="bottom"/>
            <w:hideMark/>
          </w:tcPr>
          <w:p w14:paraId="4060BEB9" w14:textId="2FDA7776" w:rsidR="00692A77" w:rsidRPr="004D453A" w:rsidRDefault="00B65713" w:rsidP="00692A77">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single" w:sz="8" w:space="0" w:color="auto"/>
              <w:right w:val="nil"/>
            </w:tcBorders>
            <w:shd w:val="clear" w:color="auto" w:fill="auto"/>
            <w:noWrap/>
            <w:vAlign w:val="bottom"/>
            <w:hideMark/>
          </w:tcPr>
          <w:p w14:paraId="5A819AFE" w14:textId="6D1BC8C1" w:rsidR="00692A77" w:rsidRPr="004D453A" w:rsidRDefault="00692A77" w:rsidP="00692A77">
            <w:pPr>
              <w:jc w:val="center"/>
              <w:rPr>
                <w:rFonts w:ascii="Arial" w:hAnsi="Arial" w:cs="Arial"/>
                <w:i/>
                <w:iCs/>
                <w:color w:val="000000"/>
                <w:sz w:val="20"/>
                <w:szCs w:val="20"/>
              </w:rPr>
            </w:pPr>
            <w:r w:rsidRPr="004D453A">
              <w:rPr>
                <w:rFonts w:ascii="Arial" w:hAnsi="Arial" w:cs="Arial"/>
                <w:i/>
                <w:iCs/>
                <w:color w:val="000000"/>
                <w:sz w:val="20"/>
                <w:szCs w:val="20"/>
              </w:rPr>
              <w:t>0.32</w:t>
            </w:r>
          </w:p>
        </w:tc>
      </w:tr>
    </w:tbl>
    <w:p w14:paraId="32AE5474" w14:textId="0ED9F928" w:rsidR="004433F3" w:rsidRPr="004D453A" w:rsidRDefault="004433F3" w:rsidP="004433F3">
      <w:pPr>
        <w:rPr>
          <w:rFonts w:ascii="Arial" w:hAnsi="Arial" w:cs="Arial"/>
          <w:color w:val="000000" w:themeColor="text1"/>
          <w:sz w:val="20"/>
          <w:szCs w:val="20"/>
        </w:rPr>
      </w:pPr>
      <w:r w:rsidRPr="004D453A">
        <w:rPr>
          <w:rFonts w:ascii="Arial" w:hAnsi="Arial" w:cs="Arial"/>
          <w:color w:val="000000" w:themeColor="text1"/>
          <w:sz w:val="20"/>
          <w:szCs w:val="20"/>
        </w:rPr>
        <w:t>Abbreviations:  BMI, body mass index; CI, confidence interval; CPRU, Cancer Prevention Research Unit; DIS, dietary inflammation score; LIS, lifestyle inflammation score; MAP, Markers of Adenomatous Polyps; MET, metabolic equivalent of task; NSAID, non-steroidal anti-inflammatory drug; OR, odds ratio</w:t>
      </w:r>
    </w:p>
    <w:p w14:paraId="1C01D8C1" w14:textId="16155F70" w:rsidR="00414030" w:rsidRPr="004D453A" w:rsidRDefault="00414030" w:rsidP="00414030">
      <w:pPr>
        <w:ind w:left="144" w:hanging="144"/>
        <w:rPr>
          <w:rFonts w:ascii="Arial" w:hAnsi="Arial" w:cs="Arial"/>
          <w:color w:val="000000" w:themeColor="text1"/>
          <w:sz w:val="20"/>
          <w:szCs w:val="20"/>
        </w:rPr>
      </w:pPr>
      <w:r w:rsidRPr="004D453A">
        <w:rPr>
          <w:rFonts w:ascii="Arial" w:hAnsi="Arial" w:cs="Arial"/>
          <w:color w:val="000000" w:themeColor="text1"/>
          <w:sz w:val="20"/>
          <w:szCs w:val="20"/>
          <w:vertAlign w:val="superscript"/>
        </w:rPr>
        <w:t>a</w:t>
      </w:r>
      <w:r w:rsidRPr="004D453A">
        <w:rPr>
          <w:rFonts w:ascii="Arial" w:hAnsi="Arial" w:cs="Arial"/>
          <w:color w:val="000000" w:themeColor="text1"/>
          <w:sz w:val="20"/>
          <w:szCs w:val="20"/>
        </w:rPr>
        <w:t xml:space="preserve"> Covariates in the DIS unconditional logistic regression models were:  age, sex, education (less than college graduate or college graduate or higher), NSAID/aspirin use (&lt;/≥ once/week), hormone therapy use (among women), family history of colorectal cancer in a first degree relative (yes/no), smoking status (never, former, or current smoker), BMI (kg/m</w:t>
      </w:r>
      <w:r w:rsidRPr="004D453A">
        <w:rPr>
          <w:rFonts w:ascii="Arial" w:hAnsi="Arial" w:cs="Arial"/>
          <w:color w:val="000000" w:themeColor="text1"/>
          <w:sz w:val="20"/>
          <w:szCs w:val="20"/>
          <w:vertAlign w:val="superscript"/>
        </w:rPr>
        <w:t>2</w:t>
      </w:r>
      <w:r w:rsidRPr="004D453A">
        <w:rPr>
          <w:rFonts w:ascii="Arial" w:hAnsi="Arial" w:cs="Arial"/>
          <w:color w:val="000000" w:themeColor="text1"/>
          <w:sz w:val="20"/>
          <w:szCs w:val="20"/>
        </w:rPr>
        <w:t>), alcohol intake (non-drinker, moderate drinker, or heavy drinker), physical activity (categorized into tertiles of MET-hours/wk), total energy intake (kcal/day), study (MAP I, MAP II, or CPRU)</w:t>
      </w:r>
      <w:r w:rsidR="009864D2" w:rsidRPr="004D453A">
        <w:rPr>
          <w:rFonts w:ascii="Arial" w:hAnsi="Arial" w:cs="Arial"/>
          <w:color w:val="000000" w:themeColor="text1"/>
          <w:sz w:val="20"/>
          <w:szCs w:val="20"/>
        </w:rPr>
        <w:t>, and the component removed from the DIS</w:t>
      </w:r>
    </w:p>
    <w:p w14:paraId="3B382406" w14:textId="099565BA" w:rsidR="00407285" w:rsidRPr="004D453A" w:rsidRDefault="00407285" w:rsidP="000573A5">
      <w:pPr>
        <w:ind w:left="144" w:hanging="144"/>
        <w:rPr>
          <w:rFonts w:ascii="Arial" w:hAnsi="Arial" w:cs="Arial"/>
          <w:color w:val="000000" w:themeColor="text1"/>
          <w:sz w:val="20"/>
          <w:szCs w:val="20"/>
        </w:rPr>
      </w:pPr>
      <w:r w:rsidRPr="004D453A">
        <w:rPr>
          <w:rFonts w:ascii="Arial" w:hAnsi="Arial" w:cs="Arial"/>
          <w:color w:val="000000" w:themeColor="text1"/>
          <w:sz w:val="20"/>
          <w:szCs w:val="20"/>
          <w:vertAlign w:val="superscript"/>
        </w:rPr>
        <w:t>b</w:t>
      </w:r>
      <w:r w:rsidRPr="004D453A">
        <w:rPr>
          <w:rFonts w:ascii="Arial" w:hAnsi="Arial" w:cs="Arial"/>
          <w:color w:val="000000" w:themeColor="text1"/>
          <w:sz w:val="20"/>
          <w:szCs w:val="20"/>
        </w:rPr>
        <w:tab/>
      </w:r>
      <w:r w:rsidRPr="004D453A">
        <w:rPr>
          <w:rFonts w:ascii="Calibri" w:hAnsi="Calibri" w:cs="Calibri"/>
          <w:color w:val="000000" w:themeColor="text1"/>
          <w:sz w:val="20"/>
          <w:szCs w:val="20"/>
        </w:rPr>
        <w:t>﻿</w:t>
      </w:r>
      <w:r w:rsidRPr="004D453A">
        <w:rPr>
          <w:rFonts w:ascii="Arial" w:hAnsi="Arial" w:cs="Arial"/>
          <w:color w:val="000000" w:themeColor="text1"/>
          <w:sz w:val="20"/>
          <w:szCs w:val="20"/>
        </w:rPr>
        <w:t>For inflammation score construction, see text and Table 1; higher scores indicate a higher balance of pro- versus anti-inflammatory exposures</w:t>
      </w:r>
    </w:p>
    <w:p w14:paraId="64EABE1B" w14:textId="27D693B8" w:rsidR="004433F3" w:rsidRPr="004D453A" w:rsidRDefault="004433F3" w:rsidP="000573A5">
      <w:pPr>
        <w:ind w:left="144" w:hanging="144"/>
        <w:rPr>
          <w:rFonts w:ascii="Arial" w:hAnsi="Arial" w:cs="Arial"/>
          <w:color w:val="000000" w:themeColor="text1"/>
          <w:sz w:val="20"/>
          <w:szCs w:val="20"/>
        </w:rPr>
      </w:pPr>
      <w:r w:rsidRPr="004D453A">
        <w:rPr>
          <w:rFonts w:ascii="Arial" w:hAnsi="Arial" w:cs="Arial"/>
          <w:color w:val="000000" w:themeColor="text1"/>
          <w:sz w:val="20"/>
          <w:szCs w:val="20"/>
        </w:rPr>
        <w:t xml:space="preserve"> </w:t>
      </w:r>
    </w:p>
    <w:p w14:paraId="5C2E0B8B" w14:textId="77777777" w:rsidR="00165C59" w:rsidRPr="004D453A" w:rsidRDefault="00165C59">
      <w:pPr>
        <w:rPr>
          <w:rFonts w:ascii="Arial" w:hAnsi="Arial" w:cs="Arial"/>
        </w:rPr>
        <w:sectPr w:rsidR="00165C59" w:rsidRPr="004D453A" w:rsidSect="00E95E29">
          <w:pgSz w:w="12240" w:h="15840"/>
          <w:pgMar w:top="1440" w:right="1440" w:bottom="1440" w:left="1440" w:header="720" w:footer="720" w:gutter="0"/>
          <w:cols w:space="720"/>
          <w:docGrid w:linePitch="360"/>
        </w:sectPr>
      </w:pPr>
    </w:p>
    <w:p w14:paraId="2472EC0F" w14:textId="7EFF185F" w:rsidR="00165C59" w:rsidRPr="004D453A" w:rsidRDefault="00165C59" w:rsidP="00165C59">
      <w:pPr>
        <w:rPr>
          <w:rFonts w:ascii="Arial" w:hAnsi="Arial" w:cs="Arial"/>
          <w:sz w:val="20"/>
          <w:szCs w:val="20"/>
        </w:rPr>
      </w:pPr>
      <w:r w:rsidRPr="004D453A">
        <w:rPr>
          <w:rFonts w:ascii="Arial" w:hAnsi="Arial" w:cs="Arial"/>
          <w:b/>
          <w:sz w:val="20"/>
          <w:szCs w:val="20"/>
        </w:rPr>
        <w:lastRenderedPageBreak/>
        <w:t xml:space="preserve">Supplemental Table </w:t>
      </w:r>
      <w:r w:rsidR="00297419" w:rsidRPr="004D453A">
        <w:rPr>
          <w:rFonts w:ascii="Arial" w:hAnsi="Arial" w:cs="Arial"/>
          <w:b/>
          <w:sz w:val="20"/>
          <w:szCs w:val="20"/>
        </w:rPr>
        <w:t>5</w:t>
      </w:r>
      <w:r w:rsidRPr="004D453A">
        <w:rPr>
          <w:rFonts w:ascii="Arial" w:hAnsi="Arial" w:cs="Arial"/>
          <w:b/>
          <w:sz w:val="20"/>
          <w:szCs w:val="20"/>
        </w:rPr>
        <w:t>.</w:t>
      </w:r>
      <w:r w:rsidRPr="004D453A">
        <w:rPr>
          <w:rFonts w:ascii="Arial" w:hAnsi="Arial" w:cs="Arial"/>
          <w:sz w:val="20"/>
          <w:szCs w:val="20"/>
        </w:rPr>
        <w:t xml:space="preserve">  Adjusted </w:t>
      </w:r>
      <w:proofErr w:type="spellStart"/>
      <w:r w:rsidRPr="004D453A">
        <w:rPr>
          <w:rFonts w:ascii="Arial" w:hAnsi="Arial" w:cs="Arial"/>
          <w:sz w:val="20"/>
          <w:szCs w:val="20"/>
        </w:rPr>
        <w:t>associations</w:t>
      </w:r>
      <w:r w:rsidRPr="004D453A">
        <w:rPr>
          <w:rFonts w:ascii="Arial" w:eastAsia="Times New Roman" w:hAnsi="Arial" w:cs="Arial"/>
          <w:color w:val="000000"/>
          <w:sz w:val="20"/>
          <w:szCs w:val="20"/>
          <w:vertAlign w:val="superscript"/>
        </w:rPr>
        <w:t>a</w:t>
      </w:r>
      <w:proofErr w:type="spellEnd"/>
      <w:r w:rsidRPr="004D453A">
        <w:rPr>
          <w:rFonts w:ascii="Arial" w:hAnsi="Arial" w:cs="Arial"/>
          <w:sz w:val="20"/>
          <w:szCs w:val="20"/>
        </w:rPr>
        <w:t xml:space="preserve"> of the </w:t>
      </w:r>
      <w:r w:rsidR="00E50C7F" w:rsidRPr="004D453A">
        <w:rPr>
          <w:rFonts w:ascii="Arial" w:hAnsi="Arial" w:cs="Arial"/>
          <w:sz w:val="20"/>
          <w:szCs w:val="20"/>
        </w:rPr>
        <w:t>Lifestyle</w:t>
      </w:r>
      <w:r w:rsidRPr="004D453A">
        <w:rPr>
          <w:rFonts w:ascii="Arial" w:hAnsi="Arial" w:cs="Arial"/>
          <w:sz w:val="20"/>
          <w:szCs w:val="20"/>
        </w:rPr>
        <w:t xml:space="preserve"> Inflammation Score (</w:t>
      </w:r>
      <w:r w:rsidR="00297419" w:rsidRPr="004D453A">
        <w:rPr>
          <w:rFonts w:ascii="Arial" w:hAnsi="Arial" w:cs="Arial"/>
          <w:sz w:val="20"/>
          <w:szCs w:val="20"/>
        </w:rPr>
        <w:t>L</w:t>
      </w:r>
      <w:r w:rsidRPr="004D453A">
        <w:rPr>
          <w:rFonts w:ascii="Arial" w:hAnsi="Arial" w:cs="Arial"/>
          <w:sz w:val="20"/>
          <w:szCs w:val="20"/>
        </w:rPr>
        <w:t>IS)</w:t>
      </w:r>
      <w:r w:rsidRPr="004D453A">
        <w:rPr>
          <w:rFonts w:ascii="Arial" w:hAnsi="Arial" w:cs="Arial"/>
          <w:sz w:val="20"/>
          <w:szCs w:val="20"/>
          <w:vertAlign w:val="superscript"/>
        </w:rPr>
        <w:t>b</w:t>
      </w:r>
      <w:r w:rsidRPr="004D453A">
        <w:rPr>
          <w:rFonts w:ascii="Arial" w:hAnsi="Arial" w:cs="Arial"/>
          <w:sz w:val="20"/>
          <w:szCs w:val="20"/>
        </w:rPr>
        <w:t xml:space="preserve"> with incident, sporadic colorectal adenomas in three pooled case-control studies (CPRU Study, 1991 – 1994; MAP I Study, 1994 – 1997; and MAP II Study, 2002), with each LIS component removed one at a time and added as a covariate </w:t>
      </w:r>
    </w:p>
    <w:tbl>
      <w:tblPr>
        <w:tblW w:w="7470" w:type="dxa"/>
        <w:jc w:val="center"/>
        <w:tblLook w:val="04A0" w:firstRow="1" w:lastRow="0" w:firstColumn="1" w:lastColumn="0" w:noHBand="0" w:noVBand="1"/>
      </w:tblPr>
      <w:tblGrid>
        <w:gridCol w:w="3440"/>
        <w:gridCol w:w="1300"/>
        <w:gridCol w:w="2730"/>
      </w:tblGrid>
      <w:tr w:rsidR="00B64E7C" w:rsidRPr="004D453A" w14:paraId="18DAB97F" w14:textId="77777777" w:rsidTr="00A835AD">
        <w:trPr>
          <w:trHeight w:val="20"/>
          <w:jc w:val="center"/>
        </w:trPr>
        <w:tc>
          <w:tcPr>
            <w:tcW w:w="3440" w:type="dxa"/>
            <w:tcBorders>
              <w:top w:val="single" w:sz="8" w:space="0" w:color="auto"/>
              <w:left w:val="nil"/>
              <w:bottom w:val="single" w:sz="4" w:space="0" w:color="auto"/>
              <w:right w:val="nil"/>
            </w:tcBorders>
            <w:shd w:val="clear" w:color="auto" w:fill="auto"/>
            <w:noWrap/>
            <w:vAlign w:val="center"/>
            <w:hideMark/>
          </w:tcPr>
          <w:p w14:paraId="4D832B0E" w14:textId="3AD57DDA" w:rsidR="00B64E7C" w:rsidRPr="004D453A" w:rsidRDefault="00B64E7C" w:rsidP="00A835AD">
            <w:pP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LIS component removed</w:t>
            </w:r>
            <w:r w:rsidR="00FB45BC" w:rsidRPr="004D453A">
              <w:rPr>
                <w:rFonts w:ascii="Arial" w:eastAsia="Times New Roman" w:hAnsi="Arial" w:cs="Arial"/>
                <w:b/>
                <w:bCs/>
                <w:color w:val="000000"/>
                <w:sz w:val="20"/>
                <w:szCs w:val="20"/>
              </w:rPr>
              <w:t>/reduced LIS quintiles</w:t>
            </w:r>
          </w:p>
        </w:tc>
        <w:tc>
          <w:tcPr>
            <w:tcW w:w="1300" w:type="dxa"/>
            <w:tcBorders>
              <w:top w:val="single" w:sz="8" w:space="0" w:color="auto"/>
              <w:left w:val="nil"/>
              <w:bottom w:val="single" w:sz="8" w:space="0" w:color="auto"/>
              <w:right w:val="nil"/>
            </w:tcBorders>
            <w:shd w:val="clear" w:color="auto" w:fill="auto"/>
            <w:noWrap/>
            <w:vAlign w:val="center"/>
            <w:hideMark/>
          </w:tcPr>
          <w:p w14:paraId="3C179F43" w14:textId="6B25A608" w:rsidR="00B64E7C" w:rsidRPr="004D453A" w:rsidRDefault="00B64E7C" w:rsidP="00A835AD">
            <w:pPr>
              <w:jc w:val="cente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N cases</w:t>
            </w:r>
          </w:p>
        </w:tc>
        <w:tc>
          <w:tcPr>
            <w:tcW w:w="2730" w:type="dxa"/>
            <w:tcBorders>
              <w:top w:val="single" w:sz="8" w:space="0" w:color="auto"/>
              <w:left w:val="nil"/>
              <w:bottom w:val="single" w:sz="8" w:space="0" w:color="auto"/>
              <w:right w:val="nil"/>
            </w:tcBorders>
            <w:shd w:val="clear" w:color="000000" w:fill="FFFFFF"/>
            <w:vAlign w:val="center"/>
            <w:hideMark/>
          </w:tcPr>
          <w:p w14:paraId="7145ABBF" w14:textId="77777777" w:rsidR="00B64E7C" w:rsidRPr="004D453A" w:rsidRDefault="00B64E7C" w:rsidP="00A835AD">
            <w:pPr>
              <w:jc w:val="center"/>
              <w:rPr>
                <w:rFonts w:ascii="Arial" w:eastAsia="Times New Roman" w:hAnsi="Arial" w:cs="Arial"/>
                <w:b/>
                <w:bCs/>
                <w:color w:val="000000"/>
                <w:sz w:val="20"/>
                <w:szCs w:val="20"/>
              </w:rPr>
            </w:pPr>
            <w:r w:rsidRPr="004D453A">
              <w:rPr>
                <w:rFonts w:ascii="Arial" w:eastAsia="Times New Roman" w:hAnsi="Arial" w:cs="Arial"/>
                <w:b/>
                <w:bCs/>
                <w:color w:val="000000"/>
                <w:sz w:val="20"/>
                <w:szCs w:val="20"/>
              </w:rPr>
              <w:t>Adjusted OR (95% CI)</w:t>
            </w:r>
          </w:p>
        </w:tc>
      </w:tr>
      <w:tr w:rsidR="00B64E7C" w:rsidRPr="004D453A" w14:paraId="748BC415" w14:textId="77777777" w:rsidTr="00A835AD">
        <w:trPr>
          <w:trHeight w:val="20"/>
          <w:jc w:val="center"/>
        </w:trPr>
        <w:tc>
          <w:tcPr>
            <w:tcW w:w="3440" w:type="dxa"/>
            <w:tcBorders>
              <w:top w:val="single" w:sz="4" w:space="0" w:color="auto"/>
              <w:left w:val="nil"/>
              <w:bottom w:val="nil"/>
              <w:right w:val="nil"/>
            </w:tcBorders>
            <w:shd w:val="clear" w:color="auto" w:fill="auto"/>
            <w:noWrap/>
            <w:vAlign w:val="center"/>
            <w:hideMark/>
          </w:tcPr>
          <w:p w14:paraId="1A0B0166" w14:textId="6ACDB69E" w:rsidR="00B64E7C" w:rsidRPr="004D453A" w:rsidRDefault="00684883" w:rsidP="00A835AD">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Alcohol intake</w:t>
            </w:r>
          </w:p>
        </w:tc>
        <w:tc>
          <w:tcPr>
            <w:tcW w:w="1300" w:type="dxa"/>
            <w:tcBorders>
              <w:top w:val="nil"/>
              <w:left w:val="nil"/>
              <w:bottom w:val="nil"/>
              <w:right w:val="nil"/>
            </w:tcBorders>
            <w:shd w:val="clear" w:color="auto" w:fill="auto"/>
            <w:noWrap/>
            <w:vAlign w:val="bottom"/>
            <w:hideMark/>
          </w:tcPr>
          <w:p w14:paraId="33416BBD" w14:textId="77777777" w:rsidR="00B64E7C" w:rsidRPr="004D453A" w:rsidRDefault="00B64E7C" w:rsidP="00A835AD">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6FCF08A6" w14:textId="77777777" w:rsidR="00B64E7C" w:rsidRPr="004D453A" w:rsidRDefault="00B64E7C" w:rsidP="00A835AD">
            <w:pPr>
              <w:rPr>
                <w:rFonts w:ascii="Times New Roman" w:eastAsia="Times New Roman" w:hAnsi="Times New Roman" w:cs="Times New Roman"/>
                <w:sz w:val="20"/>
                <w:szCs w:val="20"/>
              </w:rPr>
            </w:pPr>
          </w:p>
        </w:tc>
      </w:tr>
      <w:tr w:rsidR="0067123F" w:rsidRPr="004D453A" w14:paraId="6C9415F3"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30EE5C88" w14:textId="77777777" w:rsidR="0067123F" w:rsidRPr="004D453A" w:rsidRDefault="0067123F" w:rsidP="0067123F">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tcPr>
          <w:p w14:paraId="43608D78" w14:textId="1ECFA62A" w:rsidR="0067123F" w:rsidRPr="004D453A" w:rsidRDefault="0067123F" w:rsidP="0067123F">
            <w:pPr>
              <w:jc w:val="center"/>
              <w:rPr>
                <w:rFonts w:ascii="Arial" w:eastAsia="Times New Roman" w:hAnsi="Arial" w:cs="Arial"/>
                <w:color w:val="000000"/>
                <w:sz w:val="20"/>
                <w:szCs w:val="20"/>
              </w:rPr>
            </w:pPr>
            <w:r w:rsidRPr="004D453A">
              <w:rPr>
                <w:rFonts w:ascii="Arial" w:hAnsi="Arial" w:cs="Arial"/>
                <w:color w:val="000000"/>
                <w:sz w:val="20"/>
                <w:szCs w:val="20"/>
              </w:rPr>
              <w:t>131</w:t>
            </w:r>
          </w:p>
        </w:tc>
        <w:tc>
          <w:tcPr>
            <w:tcW w:w="2730" w:type="dxa"/>
            <w:tcBorders>
              <w:top w:val="nil"/>
              <w:left w:val="nil"/>
              <w:bottom w:val="nil"/>
              <w:right w:val="nil"/>
            </w:tcBorders>
            <w:shd w:val="clear" w:color="auto" w:fill="auto"/>
            <w:noWrap/>
            <w:vAlign w:val="bottom"/>
            <w:hideMark/>
          </w:tcPr>
          <w:p w14:paraId="6A201A0B" w14:textId="6BBAAB0D" w:rsidR="0067123F" w:rsidRPr="004D453A" w:rsidRDefault="0067123F" w:rsidP="0067123F">
            <w:pPr>
              <w:jc w:val="center"/>
              <w:rPr>
                <w:rFonts w:ascii="Arial" w:hAnsi="Arial" w:cs="Arial"/>
                <w:color w:val="000000"/>
                <w:sz w:val="20"/>
                <w:szCs w:val="20"/>
              </w:rPr>
            </w:pPr>
            <w:r w:rsidRPr="004D453A">
              <w:rPr>
                <w:rFonts w:ascii="Arial" w:hAnsi="Arial" w:cs="Arial"/>
                <w:color w:val="000000"/>
                <w:sz w:val="20"/>
                <w:szCs w:val="20"/>
              </w:rPr>
              <w:t>1.00</w:t>
            </w:r>
          </w:p>
        </w:tc>
      </w:tr>
      <w:tr w:rsidR="009864D2" w:rsidRPr="004D453A" w14:paraId="7BFF5843"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081AF215"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tcPr>
          <w:p w14:paraId="0CC5CB33" w14:textId="73410303"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136</w:t>
            </w:r>
          </w:p>
        </w:tc>
        <w:tc>
          <w:tcPr>
            <w:tcW w:w="2730" w:type="dxa"/>
            <w:tcBorders>
              <w:top w:val="nil"/>
              <w:left w:val="nil"/>
              <w:bottom w:val="nil"/>
              <w:right w:val="nil"/>
            </w:tcBorders>
            <w:shd w:val="clear" w:color="auto" w:fill="auto"/>
            <w:noWrap/>
            <w:vAlign w:val="bottom"/>
          </w:tcPr>
          <w:p w14:paraId="1B112684" w14:textId="7EA9ABE5"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1.55 (1.16</w:t>
            </w:r>
            <w:r w:rsidR="00123418" w:rsidRPr="004D453A">
              <w:rPr>
                <w:rFonts w:ascii="Arial" w:hAnsi="Arial" w:cs="Arial"/>
                <w:color w:val="000000"/>
                <w:sz w:val="20"/>
                <w:szCs w:val="20"/>
              </w:rPr>
              <w:t>-</w:t>
            </w:r>
            <w:r w:rsidRPr="004D453A">
              <w:rPr>
                <w:rFonts w:ascii="Arial" w:hAnsi="Arial" w:cs="Arial"/>
                <w:color w:val="000000"/>
                <w:sz w:val="20"/>
                <w:szCs w:val="20"/>
              </w:rPr>
              <w:t>2.08)</w:t>
            </w:r>
          </w:p>
        </w:tc>
      </w:tr>
      <w:tr w:rsidR="009864D2" w:rsidRPr="004D453A" w14:paraId="67711690"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0DE9F908"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tcPr>
          <w:p w14:paraId="64035097" w14:textId="263E48CA"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167</w:t>
            </w:r>
          </w:p>
        </w:tc>
        <w:tc>
          <w:tcPr>
            <w:tcW w:w="2730" w:type="dxa"/>
            <w:tcBorders>
              <w:top w:val="nil"/>
              <w:left w:val="nil"/>
              <w:bottom w:val="nil"/>
              <w:right w:val="nil"/>
            </w:tcBorders>
            <w:shd w:val="clear" w:color="auto" w:fill="auto"/>
            <w:noWrap/>
            <w:vAlign w:val="bottom"/>
          </w:tcPr>
          <w:p w14:paraId="6E37A2E5" w14:textId="4E346EF8"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1.47 (1.12</w:t>
            </w:r>
            <w:r w:rsidR="00123418" w:rsidRPr="004D453A">
              <w:rPr>
                <w:rFonts w:ascii="Arial" w:hAnsi="Arial" w:cs="Arial"/>
                <w:color w:val="000000"/>
                <w:sz w:val="20"/>
                <w:szCs w:val="20"/>
              </w:rPr>
              <w:t>-</w:t>
            </w:r>
            <w:r w:rsidRPr="004D453A">
              <w:rPr>
                <w:rFonts w:ascii="Arial" w:hAnsi="Arial" w:cs="Arial"/>
                <w:color w:val="000000"/>
                <w:sz w:val="20"/>
                <w:szCs w:val="20"/>
              </w:rPr>
              <w:t>1.93)</w:t>
            </w:r>
          </w:p>
        </w:tc>
      </w:tr>
      <w:tr w:rsidR="009864D2" w:rsidRPr="004D453A" w14:paraId="03F0CEC8"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787B7763"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tcPr>
          <w:p w14:paraId="33A01271" w14:textId="1A094BA6"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165</w:t>
            </w:r>
          </w:p>
        </w:tc>
        <w:tc>
          <w:tcPr>
            <w:tcW w:w="2730" w:type="dxa"/>
            <w:tcBorders>
              <w:top w:val="nil"/>
              <w:left w:val="nil"/>
              <w:bottom w:val="nil"/>
              <w:right w:val="nil"/>
            </w:tcBorders>
            <w:shd w:val="clear" w:color="auto" w:fill="auto"/>
            <w:noWrap/>
            <w:vAlign w:val="bottom"/>
          </w:tcPr>
          <w:p w14:paraId="1EF04E19" w14:textId="4C9206D2"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1.70 (1.29</w:t>
            </w:r>
            <w:r w:rsidR="00123418" w:rsidRPr="004D453A">
              <w:rPr>
                <w:rFonts w:ascii="Arial" w:hAnsi="Arial" w:cs="Arial"/>
                <w:color w:val="000000"/>
                <w:sz w:val="20"/>
                <w:szCs w:val="20"/>
              </w:rPr>
              <w:t>-</w:t>
            </w:r>
            <w:r w:rsidRPr="004D453A">
              <w:rPr>
                <w:rFonts w:ascii="Arial" w:hAnsi="Arial" w:cs="Arial"/>
                <w:color w:val="000000"/>
                <w:sz w:val="20"/>
                <w:szCs w:val="20"/>
              </w:rPr>
              <w:t>2.25)</w:t>
            </w:r>
          </w:p>
        </w:tc>
      </w:tr>
      <w:tr w:rsidR="009864D2" w:rsidRPr="004D453A" w14:paraId="201F6813"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48397CE3"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tcPr>
          <w:p w14:paraId="6078ED13" w14:textId="515ED105"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166</w:t>
            </w:r>
          </w:p>
        </w:tc>
        <w:tc>
          <w:tcPr>
            <w:tcW w:w="2730" w:type="dxa"/>
            <w:tcBorders>
              <w:top w:val="nil"/>
              <w:left w:val="nil"/>
              <w:bottom w:val="nil"/>
              <w:right w:val="nil"/>
            </w:tcBorders>
            <w:shd w:val="clear" w:color="auto" w:fill="auto"/>
            <w:noWrap/>
            <w:vAlign w:val="bottom"/>
          </w:tcPr>
          <w:p w14:paraId="1A2BDF3A" w14:textId="191C8141"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2.03 (1.54</w:t>
            </w:r>
            <w:r w:rsidR="00123418" w:rsidRPr="004D453A">
              <w:rPr>
                <w:rFonts w:ascii="Arial" w:hAnsi="Arial" w:cs="Arial"/>
                <w:color w:val="000000"/>
                <w:sz w:val="20"/>
                <w:szCs w:val="20"/>
              </w:rPr>
              <w:t>-</w:t>
            </w:r>
            <w:r w:rsidRPr="004D453A">
              <w:rPr>
                <w:rFonts w:ascii="Arial" w:hAnsi="Arial" w:cs="Arial"/>
                <w:color w:val="000000"/>
                <w:sz w:val="20"/>
                <w:szCs w:val="20"/>
              </w:rPr>
              <w:t>2.69)</w:t>
            </w:r>
          </w:p>
        </w:tc>
      </w:tr>
      <w:tr w:rsidR="0067123F" w:rsidRPr="004D453A" w14:paraId="02870F95" w14:textId="77777777" w:rsidTr="00414030">
        <w:trPr>
          <w:trHeight w:val="20"/>
          <w:jc w:val="center"/>
        </w:trPr>
        <w:tc>
          <w:tcPr>
            <w:tcW w:w="3440" w:type="dxa"/>
            <w:tcBorders>
              <w:top w:val="nil"/>
              <w:left w:val="nil"/>
              <w:bottom w:val="nil"/>
              <w:right w:val="nil"/>
            </w:tcBorders>
            <w:shd w:val="clear" w:color="auto" w:fill="auto"/>
            <w:noWrap/>
            <w:vAlign w:val="bottom"/>
            <w:hideMark/>
          </w:tcPr>
          <w:p w14:paraId="6FE856A0" w14:textId="77777777" w:rsidR="0067123F" w:rsidRPr="004D453A" w:rsidRDefault="0067123F" w:rsidP="0067123F">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center"/>
            <w:hideMark/>
          </w:tcPr>
          <w:p w14:paraId="3F501B08" w14:textId="1E5F7BA4" w:rsidR="0067123F" w:rsidRPr="004D453A" w:rsidRDefault="00B65713" w:rsidP="0067123F">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tcPr>
          <w:p w14:paraId="7F29D2C0" w14:textId="18CEA1D3" w:rsidR="0067123F" w:rsidRPr="004D453A" w:rsidRDefault="0067123F" w:rsidP="0067123F">
            <w:pPr>
              <w:jc w:val="center"/>
              <w:rPr>
                <w:rFonts w:ascii="Arial" w:hAnsi="Arial" w:cs="Arial"/>
                <w:i/>
                <w:iCs/>
                <w:color w:val="000000"/>
                <w:sz w:val="20"/>
                <w:szCs w:val="20"/>
              </w:rPr>
            </w:pPr>
            <w:r w:rsidRPr="004D453A">
              <w:rPr>
                <w:rFonts w:ascii="Arial" w:hAnsi="Arial" w:cs="Arial"/>
                <w:i/>
                <w:iCs/>
                <w:color w:val="000000"/>
                <w:sz w:val="20"/>
                <w:szCs w:val="20"/>
              </w:rPr>
              <w:t>&lt;0.0001</w:t>
            </w:r>
          </w:p>
        </w:tc>
      </w:tr>
      <w:tr w:rsidR="0067123F" w:rsidRPr="004D453A" w14:paraId="496A64C2" w14:textId="77777777" w:rsidTr="00A835AD">
        <w:trPr>
          <w:trHeight w:val="20"/>
          <w:jc w:val="center"/>
        </w:trPr>
        <w:tc>
          <w:tcPr>
            <w:tcW w:w="3440" w:type="dxa"/>
            <w:tcBorders>
              <w:top w:val="nil"/>
              <w:left w:val="nil"/>
              <w:bottom w:val="nil"/>
              <w:right w:val="nil"/>
            </w:tcBorders>
            <w:shd w:val="clear" w:color="auto" w:fill="auto"/>
            <w:noWrap/>
            <w:vAlign w:val="center"/>
            <w:hideMark/>
          </w:tcPr>
          <w:p w14:paraId="126D761D" w14:textId="5D8ED905" w:rsidR="0067123F" w:rsidRPr="004D453A" w:rsidRDefault="0067123F" w:rsidP="0067123F">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Physical Activity</w:t>
            </w:r>
          </w:p>
        </w:tc>
        <w:tc>
          <w:tcPr>
            <w:tcW w:w="1300" w:type="dxa"/>
            <w:tcBorders>
              <w:top w:val="nil"/>
              <w:left w:val="nil"/>
              <w:bottom w:val="nil"/>
              <w:right w:val="nil"/>
            </w:tcBorders>
            <w:shd w:val="clear" w:color="auto" w:fill="auto"/>
            <w:noWrap/>
            <w:vAlign w:val="bottom"/>
            <w:hideMark/>
          </w:tcPr>
          <w:p w14:paraId="0C58E5BF" w14:textId="77777777" w:rsidR="0067123F" w:rsidRPr="004D453A" w:rsidRDefault="0067123F" w:rsidP="0067123F">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49728523" w14:textId="77777777" w:rsidR="0067123F" w:rsidRPr="004D453A" w:rsidRDefault="0067123F" w:rsidP="0067123F">
            <w:pPr>
              <w:jc w:val="center"/>
              <w:rPr>
                <w:rFonts w:ascii="Arial" w:hAnsi="Arial" w:cs="Arial"/>
                <w:color w:val="000000"/>
                <w:sz w:val="20"/>
                <w:szCs w:val="20"/>
              </w:rPr>
            </w:pPr>
          </w:p>
        </w:tc>
      </w:tr>
      <w:tr w:rsidR="0067123F" w:rsidRPr="004D453A" w14:paraId="0136C604"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11A8468A" w14:textId="77777777" w:rsidR="0067123F" w:rsidRPr="004D453A" w:rsidRDefault="0067123F" w:rsidP="0067123F">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tcPr>
          <w:p w14:paraId="7FA6CA5C" w14:textId="4A22DF50" w:rsidR="0067123F" w:rsidRPr="004D453A" w:rsidRDefault="0067123F" w:rsidP="0067123F">
            <w:pPr>
              <w:jc w:val="center"/>
              <w:rPr>
                <w:rFonts w:ascii="Arial" w:eastAsia="Times New Roman" w:hAnsi="Arial" w:cs="Arial"/>
                <w:color w:val="000000"/>
                <w:sz w:val="20"/>
                <w:szCs w:val="20"/>
              </w:rPr>
            </w:pPr>
            <w:r w:rsidRPr="004D453A">
              <w:rPr>
                <w:rFonts w:ascii="Arial" w:hAnsi="Arial" w:cs="Arial"/>
                <w:color w:val="000000"/>
                <w:sz w:val="20"/>
                <w:szCs w:val="20"/>
              </w:rPr>
              <w:t>161</w:t>
            </w:r>
          </w:p>
        </w:tc>
        <w:tc>
          <w:tcPr>
            <w:tcW w:w="2730" w:type="dxa"/>
            <w:tcBorders>
              <w:top w:val="nil"/>
              <w:left w:val="nil"/>
              <w:bottom w:val="nil"/>
              <w:right w:val="nil"/>
            </w:tcBorders>
            <w:shd w:val="clear" w:color="auto" w:fill="auto"/>
            <w:noWrap/>
            <w:vAlign w:val="bottom"/>
            <w:hideMark/>
          </w:tcPr>
          <w:p w14:paraId="3CAE2E66" w14:textId="0743BB0C" w:rsidR="0067123F" w:rsidRPr="004D453A" w:rsidRDefault="0067123F" w:rsidP="0067123F">
            <w:pPr>
              <w:jc w:val="center"/>
              <w:rPr>
                <w:rFonts w:ascii="Arial" w:hAnsi="Arial" w:cs="Arial"/>
                <w:color w:val="000000"/>
                <w:sz w:val="20"/>
                <w:szCs w:val="20"/>
              </w:rPr>
            </w:pPr>
            <w:r w:rsidRPr="004D453A">
              <w:rPr>
                <w:rFonts w:ascii="Arial" w:hAnsi="Arial" w:cs="Arial"/>
                <w:color w:val="000000"/>
                <w:sz w:val="20"/>
                <w:szCs w:val="20"/>
              </w:rPr>
              <w:t>1.00</w:t>
            </w:r>
          </w:p>
        </w:tc>
      </w:tr>
      <w:tr w:rsidR="009864D2" w:rsidRPr="004D453A" w14:paraId="31E4BFD1"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2D573B74"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tcPr>
          <w:p w14:paraId="0690AD3C" w14:textId="4C6B6758"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120</w:t>
            </w:r>
          </w:p>
        </w:tc>
        <w:tc>
          <w:tcPr>
            <w:tcW w:w="2730" w:type="dxa"/>
            <w:tcBorders>
              <w:top w:val="nil"/>
              <w:left w:val="nil"/>
              <w:bottom w:val="nil"/>
              <w:right w:val="nil"/>
            </w:tcBorders>
            <w:shd w:val="clear" w:color="auto" w:fill="auto"/>
            <w:noWrap/>
            <w:vAlign w:val="bottom"/>
          </w:tcPr>
          <w:p w14:paraId="77527879" w14:textId="759761B8"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1.01 (0.76</w:t>
            </w:r>
            <w:r w:rsidR="00123418" w:rsidRPr="004D453A">
              <w:rPr>
                <w:rFonts w:ascii="Arial" w:hAnsi="Arial" w:cs="Arial"/>
                <w:color w:val="000000"/>
                <w:sz w:val="20"/>
                <w:szCs w:val="20"/>
              </w:rPr>
              <w:t>-</w:t>
            </w:r>
            <w:r w:rsidRPr="004D453A">
              <w:rPr>
                <w:rFonts w:ascii="Arial" w:hAnsi="Arial" w:cs="Arial"/>
                <w:color w:val="000000"/>
                <w:sz w:val="20"/>
                <w:szCs w:val="20"/>
              </w:rPr>
              <w:t>1.34)</w:t>
            </w:r>
          </w:p>
        </w:tc>
      </w:tr>
      <w:tr w:rsidR="009864D2" w:rsidRPr="004D453A" w14:paraId="4DF8C5D5"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2F9F8EEA"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tcPr>
          <w:p w14:paraId="173A869E" w14:textId="732B33D4"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136</w:t>
            </w:r>
          </w:p>
        </w:tc>
        <w:tc>
          <w:tcPr>
            <w:tcW w:w="2730" w:type="dxa"/>
            <w:tcBorders>
              <w:top w:val="nil"/>
              <w:left w:val="nil"/>
              <w:bottom w:val="nil"/>
              <w:right w:val="nil"/>
            </w:tcBorders>
            <w:shd w:val="clear" w:color="auto" w:fill="auto"/>
            <w:noWrap/>
            <w:vAlign w:val="bottom"/>
          </w:tcPr>
          <w:p w14:paraId="3B4B2C8C" w14:textId="4B8CB825"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1.41 (1.06</w:t>
            </w:r>
            <w:r w:rsidR="00123418" w:rsidRPr="004D453A">
              <w:rPr>
                <w:rFonts w:ascii="Arial" w:hAnsi="Arial" w:cs="Arial"/>
                <w:color w:val="000000"/>
                <w:sz w:val="20"/>
                <w:szCs w:val="20"/>
              </w:rPr>
              <w:t>-</w:t>
            </w:r>
            <w:r w:rsidRPr="004D453A">
              <w:rPr>
                <w:rFonts w:ascii="Arial" w:hAnsi="Arial" w:cs="Arial"/>
                <w:color w:val="000000"/>
                <w:sz w:val="20"/>
                <w:szCs w:val="20"/>
              </w:rPr>
              <w:t>1.88)</w:t>
            </w:r>
          </w:p>
        </w:tc>
      </w:tr>
      <w:tr w:rsidR="009864D2" w:rsidRPr="004D453A" w14:paraId="5B34B967"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5BCA6773"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tcPr>
          <w:p w14:paraId="7EEF9644" w14:textId="7C8DC481"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194</w:t>
            </w:r>
          </w:p>
        </w:tc>
        <w:tc>
          <w:tcPr>
            <w:tcW w:w="2730" w:type="dxa"/>
            <w:tcBorders>
              <w:top w:val="nil"/>
              <w:left w:val="nil"/>
              <w:bottom w:val="nil"/>
              <w:right w:val="nil"/>
            </w:tcBorders>
            <w:shd w:val="clear" w:color="auto" w:fill="auto"/>
            <w:noWrap/>
            <w:vAlign w:val="bottom"/>
          </w:tcPr>
          <w:p w14:paraId="4864B9B2" w14:textId="70813749"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1.47 (1.14</w:t>
            </w:r>
            <w:r w:rsidR="00123418" w:rsidRPr="004D453A">
              <w:rPr>
                <w:rFonts w:ascii="Arial" w:hAnsi="Arial" w:cs="Arial"/>
                <w:color w:val="000000"/>
                <w:sz w:val="20"/>
                <w:szCs w:val="20"/>
              </w:rPr>
              <w:t>-</w:t>
            </w:r>
            <w:r w:rsidRPr="004D453A">
              <w:rPr>
                <w:rFonts w:ascii="Arial" w:hAnsi="Arial" w:cs="Arial"/>
                <w:color w:val="000000"/>
                <w:sz w:val="20"/>
                <w:szCs w:val="20"/>
              </w:rPr>
              <w:t>1.90)</w:t>
            </w:r>
          </w:p>
        </w:tc>
      </w:tr>
      <w:tr w:rsidR="009864D2" w:rsidRPr="004D453A" w14:paraId="5CDABBAE"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10B99929"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tcPr>
          <w:p w14:paraId="3B356D39" w14:textId="7571ABD8"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154</w:t>
            </w:r>
          </w:p>
        </w:tc>
        <w:tc>
          <w:tcPr>
            <w:tcW w:w="2730" w:type="dxa"/>
            <w:tcBorders>
              <w:top w:val="nil"/>
              <w:left w:val="nil"/>
              <w:bottom w:val="nil"/>
              <w:right w:val="nil"/>
            </w:tcBorders>
            <w:shd w:val="clear" w:color="auto" w:fill="auto"/>
            <w:noWrap/>
            <w:vAlign w:val="bottom"/>
          </w:tcPr>
          <w:p w14:paraId="0BABE772" w14:textId="2832CF2D"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1.86 (1.41</w:t>
            </w:r>
            <w:r w:rsidR="00123418" w:rsidRPr="004D453A">
              <w:rPr>
                <w:rFonts w:ascii="Arial" w:hAnsi="Arial" w:cs="Arial"/>
                <w:color w:val="000000"/>
                <w:sz w:val="20"/>
                <w:szCs w:val="20"/>
              </w:rPr>
              <w:t>-</w:t>
            </w:r>
            <w:r w:rsidRPr="004D453A">
              <w:rPr>
                <w:rFonts w:ascii="Arial" w:hAnsi="Arial" w:cs="Arial"/>
                <w:color w:val="000000"/>
                <w:sz w:val="20"/>
                <w:szCs w:val="20"/>
              </w:rPr>
              <w:t>2.46)</w:t>
            </w:r>
          </w:p>
        </w:tc>
      </w:tr>
      <w:tr w:rsidR="0067123F" w:rsidRPr="004D453A" w14:paraId="6D196636" w14:textId="77777777" w:rsidTr="00414030">
        <w:trPr>
          <w:trHeight w:val="20"/>
          <w:jc w:val="center"/>
        </w:trPr>
        <w:tc>
          <w:tcPr>
            <w:tcW w:w="3440" w:type="dxa"/>
            <w:tcBorders>
              <w:top w:val="nil"/>
              <w:left w:val="nil"/>
              <w:bottom w:val="nil"/>
              <w:right w:val="nil"/>
            </w:tcBorders>
            <w:shd w:val="clear" w:color="auto" w:fill="auto"/>
            <w:noWrap/>
            <w:vAlign w:val="bottom"/>
            <w:hideMark/>
          </w:tcPr>
          <w:p w14:paraId="4E5EF60D" w14:textId="77777777" w:rsidR="0067123F" w:rsidRPr="004D453A" w:rsidRDefault="0067123F" w:rsidP="0067123F">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center"/>
            <w:hideMark/>
          </w:tcPr>
          <w:p w14:paraId="2C122385" w14:textId="50170A6F" w:rsidR="0067123F" w:rsidRPr="004D453A" w:rsidRDefault="00B65713" w:rsidP="0067123F">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tcPr>
          <w:p w14:paraId="4EE97424" w14:textId="11B8A0AB" w:rsidR="0067123F" w:rsidRPr="004D453A" w:rsidRDefault="0067123F" w:rsidP="0067123F">
            <w:pPr>
              <w:jc w:val="center"/>
              <w:rPr>
                <w:rFonts w:ascii="Arial" w:hAnsi="Arial" w:cs="Arial"/>
                <w:i/>
                <w:iCs/>
                <w:color w:val="000000"/>
                <w:sz w:val="20"/>
                <w:szCs w:val="20"/>
              </w:rPr>
            </w:pPr>
            <w:r w:rsidRPr="004D453A">
              <w:rPr>
                <w:rFonts w:ascii="Arial" w:hAnsi="Arial" w:cs="Arial"/>
                <w:i/>
                <w:iCs/>
                <w:color w:val="000000"/>
                <w:sz w:val="20"/>
                <w:szCs w:val="20"/>
              </w:rPr>
              <w:t>&lt;0.0001</w:t>
            </w:r>
          </w:p>
        </w:tc>
      </w:tr>
      <w:tr w:rsidR="0067123F" w:rsidRPr="004D453A" w14:paraId="43EC8C93" w14:textId="77777777" w:rsidTr="00A835AD">
        <w:trPr>
          <w:trHeight w:val="20"/>
          <w:jc w:val="center"/>
        </w:trPr>
        <w:tc>
          <w:tcPr>
            <w:tcW w:w="3440" w:type="dxa"/>
            <w:tcBorders>
              <w:top w:val="nil"/>
              <w:left w:val="nil"/>
              <w:bottom w:val="nil"/>
              <w:right w:val="nil"/>
            </w:tcBorders>
            <w:shd w:val="clear" w:color="000000" w:fill="FFFFFF"/>
            <w:vAlign w:val="center"/>
            <w:hideMark/>
          </w:tcPr>
          <w:p w14:paraId="02731D5B" w14:textId="75EBC003" w:rsidR="0067123F" w:rsidRPr="004D453A" w:rsidRDefault="0067123F" w:rsidP="0067123F">
            <w:pPr>
              <w:ind w:firstLineChars="100" w:firstLine="200"/>
              <w:rPr>
                <w:rFonts w:ascii="Arial" w:eastAsia="Times New Roman" w:hAnsi="Arial" w:cs="Arial"/>
                <w:color w:val="000000"/>
                <w:sz w:val="20"/>
                <w:szCs w:val="20"/>
              </w:rPr>
            </w:pPr>
            <w:r w:rsidRPr="004D453A">
              <w:rPr>
                <w:rFonts w:ascii="Arial" w:eastAsia="Times New Roman" w:hAnsi="Arial" w:cs="Arial"/>
                <w:color w:val="000000"/>
                <w:sz w:val="20"/>
                <w:szCs w:val="20"/>
              </w:rPr>
              <w:t>Smoking</w:t>
            </w:r>
          </w:p>
        </w:tc>
        <w:tc>
          <w:tcPr>
            <w:tcW w:w="1300" w:type="dxa"/>
            <w:tcBorders>
              <w:top w:val="nil"/>
              <w:left w:val="nil"/>
              <w:bottom w:val="nil"/>
              <w:right w:val="nil"/>
            </w:tcBorders>
            <w:shd w:val="clear" w:color="auto" w:fill="auto"/>
            <w:noWrap/>
            <w:vAlign w:val="bottom"/>
            <w:hideMark/>
          </w:tcPr>
          <w:p w14:paraId="1539E9BA" w14:textId="77777777" w:rsidR="0067123F" w:rsidRPr="004D453A" w:rsidRDefault="0067123F" w:rsidP="0067123F">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69C84ADA" w14:textId="77777777" w:rsidR="0067123F" w:rsidRPr="004D453A" w:rsidRDefault="0067123F" w:rsidP="0067123F">
            <w:pPr>
              <w:jc w:val="center"/>
              <w:rPr>
                <w:rFonts w:ascii="Arial" w:hAnsi="Arial" w:cs="Arial"/>
                <w:color w:val="000000"/>
                <w:sz w:val="20"/>
                <w:szCs w:val="20"/>
              </w:rPr>
            </w:pPr>
          </w:p>
        </w:tc>
      </w:tr>
      <w:tr w:rsidR="0067123F" w:rsidRPr="004D453A" w14:paraId="682E87E9"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64D9B526" w14:textId="77777777" w:rsidR="0067123F" w:rsidRPr="004D453A" w:rsidRDefault="0067123F" w:rsidP="0067123F">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tcPr>
          <w:p w14:paraId="0F07532A" w14:textId="72F87C83" w:rsidR="0067123F" w:rsidRPr="004D453A" w:rsidRDefault="0067123F" w:rsidP="0067123F">
            <w:pPr>
              <w:jc w:val="center"/>
              <w:rPr>
                <w:rFonts w:ascii="Arial" w:eastAsia="Times New Roman" w:hAnsi="Arial" w:cs="Arial"/>
                <w:color w:val="000000"/>
                <w:sz w:val="20"/>
                <w:szCs w:val="20"/>
              </w:rPr>
            </w:pPr>
            <w:r w:rsidRPr="004D453A">
              <w:rPr>
                <w:rFonts w:ascii="Arial" w:hAnsi="Arial" w:cs="Arial"/>
                <w:color w:val="000000"/>
                <w:sz w:val="20"/>
                <w:szCs w:val="20"/>
              </w:rPr>
              <w:t>132</w:t>
            </w:r>
          </w:p>
        </w:tc>
        <w:tc>
          <w:tcPr>
            <w:tcW w:w="2730" w:type="dxa"/>
            <w:tcBorders>
              <w:top w:val="nil"/>
              <w:left w:val="nil"/>
              <w:bottom w:val="nil"/>
              <w:right w:val="nil"/>
            </w:tcBorders>
            <w:shd w:val="clear" w:color="auto" w:fill="auto"/>
            <w:noWrap/>
            <w:vAlign w:val="bottom"/>
            <w:hideMark/>
          </w:tcPr>
          <w:p w14:paraId="270E3C5D" w14:textId="2AEE2D97" w:rsidR="0067123F" w:rsidRPr="004D453A" w:rsidRDefault="0067123F" w:rsidP="0067123F">
            <w:pPr>
              <w:jc w:val="center"/>
              <w:rPr>
                <w:rFonts w:ascii="Arial" w:hAnsi="Arial" w:cs="Arial"/>
                <w:color w:val="000000"/>
                <w:sz w:val="20"/>
                <w:szCs w:val="20"/>
              </w:rPr>
            </w:pPr>
            <w:r w:rsidRPr="004D453A">
              <w:rPr>
                <w:rFonts w:ascii="Arial" w:hAnsi="Arial" w:cs="Arial"/>
                <w:color w:val="000000"/>
                <w:sz w:val="20"/>
                <w:szCs w:val="20"/>
              </w:rPr>
              <w:t>1.00</w:t>
            </w:r>
          </w:p>
        </w:tc>
      </w:tr>
      <w:tr w:rsidR="009864D2" w:rsidRPr="004D453A" w14:paraId="3395E1DF"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5C20E476"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tcPr>
          <w:p w14:paraId="74E97581" w14:textId="0E57C46A"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139</w:t>
            </w:r>
          </w:p>
        </w:tc>
        <w:tc>
          <w:tcPr>
            <w:tcW w:w="2730" w:type="dxa"/>
            <w:tcBorders>
              <w:top w:val="nil"/>
              <w:left w:val="nil"/>
              <w:bottom w:val="nil"/>
              <w:right w:val="nil"/>
            </w:tcBorders>
            <w:shd w:val="clear" w:color="auto" w:fill="auto"/>
            <w:noWrap/>
            <w:vAlign w:val="bottom"/>
          </w:tcPr>
          <w:p w14:paraId="3B4DD29F" w14:textId="4042BB4D"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1.15 (0.86</w:t>
            </w:r>
            <w:r w:rsidR="00123418" w:rsidRPr="004D453A">
              <w:rPr>
                <w:rFonts w:ascii="Arial" w:hAnsi="Arial" w:cs="Arial"/>
                <w:color w:val="000000"/>
                <w:sz w:val="20"/>
                <w:szCs w:val="20"/>
              </w:rPr>
              <w:t>-</w:t>
            </w:r>
            <w:r w:rsidRPr="004D453A">
              <w:rPr>
                <w:rFonts w:ascii="Arial" w:hAnsi="Arial" w:cs="Arial"/>
                <w:color w:val="000000"/>
                <w:sz w:val="20"/>
                <w:szCs w:val="20"/>
              </w:rPr>
              <w:t>1.54)</w:t>
            </w:r>
          </w:p>
        </w:tc>
      </w:tr>
      <w:tr w:rsidR="009864D2" w:rsidRPr="004D453A" w14:paraId="426E706A"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18070620"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tcPr>
          <w:p w14:paraId="6082B27E" w14:textId="7BC5CBEF"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151</w:t>
            </w:r>
          </w:p>
        </w:tc>
        <w:tc>
          <w:tcPr>
            <w:tcW w:w="2730" w:type="dxa"/>
            <w:tcBorders>
              <w:top w:val="nil"/>
              <w:left w:val="nil"/>
              <w:bottom w:val="nil"/>
              <w:right w:val="nil"/>
            </w:tcBorders>
            <w:shd w:val="clear" w:color="auto" w:fill="auto"/>
            <w:noWrap/>
            <w:vAlign w:val="bottom"/>
          </w:tcPr>
          <w:p w14:paraId="110686CF" w14:textId="5B185D86"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1.50 (1.12</w:t>
            </w:r>
            <w:r w:rsidR="00123418" w:rsidRPr="004D453A">
              <w:rPr>
                <w:rFonts w:ascii="Arial" w:hAnsi="Arial" w:cs="Arial"/>
                <w:color w:val="000000"/>
                <w:sz w:val="20"/>
                <w:szCs w:val="20"/>
              </w:rPr>
              <w:t>-</w:t>
            </w:r>
            <w:r w:rsidRPr="004D453A">
              <w:rPr>
                <w:rFonts w:ascii="Arial" w:hAnsi="Arial" w:cs="Arial"/>
                <w:color w:val="000000"/>
                <w:sz w:val="20"/>
                <w:szCs w:val="20"/>
              </w:rPr>
              <w:t>2.01)</w:t>
            </w:r>
          </w:p>
        </w:tc>
      </w:tr>
      <w:tr w:rsidR="009864D2" w:rsidRPr="004D453A" w14:paraId="09931B0F"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21DB7BB6"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tcPr>
          <w:p w14:paraId="7C25A97D" w14:textId="634921BE"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171</w:t>
            </w:r>
          </w:p>
        </w:tc>
        <w:tc>
          <w:tcPr>
            <w:tcW w:w="2730" w:type="dxa"/>
            <w:tcBorders>
              <w:top w:val="nil"/>
              <w:left w:val="nil"/>
              <w:bottom w:val="nil"/>
              <w:right w:val="nil"/>
            </w:tcBorders>
            <w:shd w:val="clear" w:color="auto" w:fill="auto"/>
            <w:noWrap/>
            <w:vAlign w:val="bottom"/>
          </w:tcPr>
          <w:p w14:paraId="4BE41F57" w14:textId="50C8D4BD"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1.53 (1.16</w:t>
            </w:r>
            <w:r w:rsidR="00123418" w:rsidRPr="004D453A">
              <w:rPr>
                <w:rFonts w:ascii="Arial" w:hAnsi="Arial" w:cs="Arial"/>
                <w:color w:val="000000"/>
                <w:sz w:val="20"/>
                <w:szCs w:val="20"/>
              </w:rPr>
              <w:t>-</w:t>
            </w:r>
            <w:r w:rsidRPr="004D453A">
              <w:rPr>
                <w:rFonts w:ascii="Arial" w:hAnsi="Arial" w:cs="Arial"/>
                <w:color w:val="000000"/>
                <w:sz w:val="20"/>
                <w:szCs w:val="20"/>
              </w:rPr>
              <w:t>2.03)</w:t>
            </w:r>
          </w:p>
        </w:tc>
      </w:tr>
      <w:tr w:rsidR="009864D2" w:rsidRPr="004D453A" w14:paraId="6DB18FA0"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6B81C8BE"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bottom"/>
          </w:tcPr>
          <w:p w14:paraId="6CFF0700" w14:textId="2D5B14FE"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172</w:t>
            </w:r>
          </w:p>
        </w:tc>
        <w:tc>
          <w:tcPr>
            <w:tcW w:w="2730" w:type="dxa"/>
            <w:tcBorders>
              <w:top w:val="nil"/>
              <w:left w:val="nil"/>
              <w:bottom w:val="nil"/>
              <w:right w:val="nil"/>
            </w:tcBorders>
            <w:shd w:val="clear" w:color="auto" w:fill="auto"/>
            <w:noWrap/>
            <w:vAlign w:val="bottom"/>
          </w:tcPr>
          <w:p w14:paraId="0EBC6D16" w14:textId="4396488D"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1.62 (1.22</w:t>
            </w:r>
            <w:r w:rsidR="00123418" w:rsidRPr="004D453A">
              <w:rPr>
                <w:rFonts w:ascii="Arial" w:hAnsi="Arial" w:cs="Arial"/>
                <w:color w:val="000000"/>
                <w:sz w:val="20"/>
                <w:szCs w:val="20"/>
              </w:rPr>
              <w:t>-</w:t>
            </w:r>
            <w:r w:rsidRPr="004D453A">
              <w:rPr>
                <w:rFonts w:ascii="Arial" w:hAnsi="Arial" w:cs="Arial"/>
                <w:color w:val="000000"/>
                <w:sz w:val="20"/>
                <w:szCs w:val="20"/>
              </w:rPr>
              <w:t>2.15)</w:t>
            </w:r>
          </w:p>
        </w:tc>
      </w:tr>
      <w:tr w:rsidR="0067123F" w:rsidRPr="004D453A" w14:paraId="1F86CB21" w14:textId="77777777" w:rsidTr="00414030">
        <w:trPr>
          <w:trHeight w:val="20"/>
          <w:jc w:val="center"/>
        </w:trPr>
        <w:tc>
          <w:tcPr>
            <w:tcW w:w="3440" w:type="dxa"/>
            <w:tcBorders>
              <w:top w:val="nil"/>
              <w:left w:val="nil"/>
              <w:bottom w:val="nil"/>
              <w:right w:val="nil"/>
            </w:tcBorders>
            <w:shd w:val="clear" w:color="auto" w:fill="auto"/>
            <w:noWrap/>
            <w:vAlign w:val="bottom"/>
            <w:hideMark/>
          </w:tcPr>
          <w:p w14:paraId="4FDFD487" w14:textId="77777777" w:rsidR="0067123F" w:rsidRPr="004D453A" w:rsidRDefault="0067123F" w:rsidP="0067123F">
            <w:pPr>
              <w:jc w:val="center"/>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center"/>
            <w:hideMark/>
          </w:tcPr>
          <w:p w14:paraId="58E90BFE" w14:textId="1EF82595" w:rsidR="0067123F" w:rsidRPr="004D453A" w:rsidRDefault="00B65713" w:rsidP="0067123F">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nil"/>
              <w:right w:val="nil"/>
            </w:tcBorders>
            <w:shd w:val="clear" w:color="auto" w:fill="auto"/>
            <w:noWrap/>
            <w:vAlign w:val="bottom"/>
          </w:tcPr>
          <w:p w14:paraId="7F7DFE04" w14:textId="17C66A80" w:rsidR="0067123F" w:rsidRPr="004D453A" w:rsidRDefault="0067123F" w:rsidP="0067123F">
            <w:pPr>
              <w:jc w:val="center"/>
              <w:rPr>
                <w:rFonts w:ascii="Arial" w:hAnsi="Arial" w:cs="Arial"/>
                <w:i/>
                <w:color w:val="000000"/>
                <w:sz w:val="20"/>
                <w:szCs w:val="20"/>
              </w:rPr>
            </w:pPr>
            <w:r w:rsidRPr="004D453A">
              <w:rPr>
                <w:rFonts w:ascii="Arial" w:hAnsi="Arial" w:cs="Arial"/>
                <w:color w:val="000000"/>
                <w:sz w:val="20"/>
                <w:szCs w:val="20"/>
              </w:rPr>
              <w:t>0.0002</w:t>
            </w:r>
          </w:p>
        </w:tc>
      </w:tr>
      <w:tr w:rsidR="0067123F" w:rsidRPr="004D453A" w14:paraId="15934BF4" w14:textId="77777777" w:rsidTr="00A835AD">
        <w:trPr>
          <w:trHeight w:val="20"/>
          <w:jc w:val="center"/>
        </w:trPr>
        <w:tc>
          <w:tcPr>
            <w:tcW w:w="3440" w:type="dxa"/>
            <w:tcBorders>
              <w:top w:val="nil"/>
              <w:left w:val="nil"/>
              <w:bottom w:val="nil"/>
              <w:right w:val="nil"/>
            </w:tcBorders>
            <w:shd w:val="clear" w:color="000000" w:fill="FFFFFF"/>
            <w:vAlign w:val="center"/>
            <w:hideMark/>
          </w:tcPr>
          <w:p w14:paraId="112B6537" w14:textId="798EF47D" w:rsidR="0067123F" w:rsidRPr="004D453A" w:rsidRDefault="0067123F" w:rsidP="0067123F">
            <w:pPr>
              <w:ind w:leftChars="83" w:left="251" w:hangingChars="26" w:hanging="52"/>
              <w:rPr>
                <w:rFonts w:ascii="Arial" w:eastAsia="Times New Roman" w:hAnsi="Arial" w:cs="Arial"/>
                <w:color w:val="000000"/>
                <w:sz w:val="20"/>
                <w:szCs w:val="20"/>
              </w:rPr>
            </w:pPr>
            <w:r w:rsidRPr="004D453A">
              <w:rPr>
                <w:rFonts w:ascii="Arial" w:eastAsia="Times New Roman" w:hAnsi="Arial" w:cs="Arial"/>
                <w:color w:val="000000"/>
                <w:sz w:val="20"/>
                <w:szCs w:val="20"/>
              </w:rPr>
              <w:t>BMI</w:t>
            </w:r>
          </w:p>
        </w:tc>
        <w:tc>
          <w:tcPr>
            <w:tcW w:w="1300" w:type="dxa"/>
            <w:tcBorders>
              <w:top w:val="nil"/>
              <w:left w:val="nil"/>
              <w:bottom w:val="nil"/>
              <w:right w:val="nil"/>
            </w:tcBorders>
            <w:shd w:val="clear" w:color="auto" w:fill="auto"/>
            <w:noWrap/>
            <w:vAlign w:val="bottom"/>
            <w:hideMark/>
          </w:tcPr>
          <w:p w14:paraId="48D6B99C" w14:textId="77777777" w:rsidR="0067123F" w:rsidRPr="004D453A" w:rsidRDefault="0067123F" w:rsidP="0067123F">
            <w:pPr>
              <w:ind w:firstLineChars="100" w:firstLine="200"/>
              <w:rPr>
                <w:rFonts w:ascii="Arial" w:eastAsia="Times New Roman" w:hAnsi="Arial" w:cs="Arial"/>
                <w:color w:val="000000"/>
                <w:sz w:val="20"/>
                <w:szCs w:val="20"/>
              </w:rPr>
            </w:pPr>
          </w:p>
        </w:tc>
        <w:tc>
          <w:tcPr>
            <w:tcW w:w="2730" w:type="dxa"/>
            <w:tcBorders>
              <w:top w:val="nil"/>
              <w:left w:val="nil"/>
              <w:bottom w:val="nil"/>
              <w:right w:val="nil"/>
            </w:tcBorders>
            <w:shd w:val="clear" w:color="auto" w:fill="auto"/>
            <w:noWrap/>
            <w:vAlign w:val="bottom"/>
            <w:hideMark/>
          </w:tcPr>
          <w:p w14:paraId="709B6C36" w14:textId="77777777" w:rsidR="0067123F" w:rsidRPr="004D453A" w:rsidRDefault="0067123F" w:rsidP="0067123F">
            <w:pPr>
              <w:jc w:val="center"/>
              <w:rPr>
                <w:rFonts w:ascii="Arial" w:hAnsi="Arial" w:cs="Arial"/>
                <w:color w:val="000000"/>
                <w:sz w:val="20"/>
                <w:szCs w:val="20"/>
              </w:rPr>
            </w:pPr>
          </w:p>
        </w:tc>
      </w:tr>
      <w:tr w:rsidR="0067123F" w:rsidRPr="004D453A" w14:paraId="663585E1"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4ED59EB0" w14:textId="77777777" w:rsidR="0067123F" w:rsidRPr="004D453A" w:rsidRDefault="0067123F" w:rsidP="0067123F">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bottom"/>
          </w:tcPr>
          <w:p w14:paraId="7435B7FA" w14:textId="31F07583" w:rsidR="0067123F" w:rsidRPr="004D453A" w:rsidRDefault="0067123F" w:rsidP="0067123F">
            <w:pPr>
              <w:jc w:val="center"/>
              <w:rPr>
                <w:rFonts w:ascii="Arial" w:eastAsia="Times New Roman" w:hAnsi="Arial" w:cs="Arial"/>
                <w:color w:val="000000"/>
                <w:sz w:val="20"/>
                <w:szCs w:val="20"/>
              </w:rPr>
            </w:pPr>
            <w:r w:rsidRPr="004D453A">
              <w:rPr>
                <w:rFonts w:ascii="Arial" w:hAnsi="Arial" w:cs="Arial"/>
                <w:color w:val="000000"/>
                <w:sz w:val="20"/>
                <w:szCs w:val="20"/>
              </w:rPr>
              <w:t>207</w:t>
            </w:r>
          </w:p>
        </w:tc>
        <w:tc>
          <w:tcPr>
            <w:tcW w:w="2730" w:type="dxa"/>
            <w:tcBorders>
              <w:top w:val="nil"/>
              <w:left w:val="nil"/>
              <w:bottom w:val="nil"/>
              <w:right w:val="nil"/>
            </w:tcBorders>
            <w:shd w:val="clear" w:color="auto" w:fill="auto"/>
            <w:noWrap/>
            <w:vAlign w:val="bottom"/>
            <w:hideMark/>
          </w:tcPr>
          <w:p w14:paraId="4BDFDD31" w14:textId="40C9CF01" w:rsidR="0067123F" w:rsidRPr="004D453A" w:rsidRDefault="0067123F" w:rsidP="0067123F">
            <w:pPr>
              <w:jc w:val="center"/>
              <w:rPr>
                <w:rFonts w:ascii="Arial" w:hAnsi="Arial" w:cs="Arial"/>
                <w:color w:val="000000"/>
                <w:sz w:val="20"/>
                <w:szCs w:val="20"/>
              </w:rPr>
            </w:pPr>
            <w:r w:rsidRPr="004D453A">
              <w:rPr>
                <w:rFonts w:ascii="Arial" w:hAnsi="Arial" w:cs="Arial"/>
                <w:color w:val="000000"/>
                <w:sz w:val="20"/>
                <w:szCs w:val="20"/>
              </w:rPr>
              <w:t>1.00</w:t>
            </w:r>
          </w:p>
        </w:tc>
      </w:tr>
      <w:tr w:rsidR="009864D2" w:rsidRPr="004D453A" w14:paraId="7F139BEF"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2E5DE3DA"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bottom"/>
          </w:tcPr>
          <w:p w14:paraId="62FAF73D" w14:textId="19174005"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134</w:t>
            </w:r>
          </w:p>
        </w:tc>
        <w:tc>
          <w:tcPr>
            <w:tcW w:w="2730" w:type="dxa"/>
            <w:tcBorders>
              <w:top w:val="nil"/>
              <w:left w:val="nil"/>
              <w:bottom w:val="nil"/>
              <w:right w:val="nil"/>
            </w:tcBorders>
            <w:shd w:val="clear" w:color="auto" w:fill="auto"/>
            <w:noWrap/>
            <w:vAlign w:val="bottom"/>
          </w:tcPr>
          <w:p w14:paraId="50EBBF38" w14:textId="776A26A8"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1.03 (0.79</w:t>
            </w:r>
            <w:r w:rsidR="00123418" w:rsidRPr="004D453A">
              <w:rPr>
                <w:rFonts w:ascii="Arial" w:hAnsi="Arial" w:cs="Arial"/>
                <w:color w:val="000000"/>
                <w:sz w:val="20"/>
                <w:szCs w:val="20"/>
              </w:rPr>
              <w:t>-</w:t>
            </w:r>
            <w:r w:rsidRPr="004D453A">
              <w:rPr>
                <w:rFonts w:ascii="Arial" w:hAnsi="Arial" w:cs="Arial"/>
                <w:color w:val="000000"/>
                <w:sz w:val="20"/>
                <w:szCs w:val="20"/>
              </w:rPr>
              <w:t>1.34)</w:t>
            </w:r>
          </w:p>
        </w:tc>
      </w:tr>
      <w:tr w:rsidR="009864D2" w:rsidRPr="004D453A" w14:paraId="1A99EB3E"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2E5222CD"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bottom"/>
          </w:tcPr>
          <w:p w14:paraId="200DD96F" w14:textId="0AADE002"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85</w:t>
            </w:r>
          </w:p>
        </w:tc>
        <w:tc>
          <w:tcPr>
            <w:tcW w:w="2730" w:type="dxa"/>
            <w:tcBorders>
              <w:top w:val="nil"/>
              <w:left w:val="nil"/>
              <w:bottom w:val="nil"/>
              <w:right w:val="nil"/>
            </w:tcBorders>
            <w:shd w:val="clear" w:color="auto" w:fill="auto"/>
            <w:noWrap/>
            <w:vAlign w:val="bottom"/>
          </w:tcPr>
          <w:p w14:paraId="4E5B2B53" w14:textId="3E59E847"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1.12 (0.81</w:t>
            </w:r>
            <w:r w:rsidR="00123418" w:rsidRPr="004D453A">
              <w:rPr>
                <w:rFonts w:ascii="Arial" w:hAnsi="Arial" w:cs="Arial"/>
                <w:color w:val="000000"/>
                <w:sz w:val="20"/>
                <w:szCs w:val="20"/>
              </w:rPr>
              <w:t>-</w:t>
            </w:r>
            <w:r w:rsidRPr="004D453A">
              <w:rPr>
                <w:rFonts w:ascii="Arial" w:hAnsi="Arial" w:cs="Arial"/>
                <w:color w:val="000000"/>
                <w:sz w:val="20"/>
                <w:szCs w:val="20"/>
              </w:rPr>
              <w:t>1.53)</w:t>
            </w:r>
          </w:p>
        </w:tc>
      </w:tr>
      <w:tr w:rsidR="009864D2" w:rsidRPr="004D453A" w14:paraId="7A52F522" w14:textId="77777777" w:rsidTr="00414030">
        <w:trPr>
          <w:trHeight w:val="20"/>
          <w:jc w:val="center"/>
        </w:trPr>
        <w:tc>
          <w:tcPr>
            <w:tcW w:w="3440" w:type="dxa"/>
            <w:tcBorders>
              <w:top w:val="nil"/>
              <w:left w:val="nil"/>
              <w:bottom w:val="nil"/>
              <w:right w:val="nil"/>
            </w:tcBorders>
            <w:shd w:val="clear" w:color="auto" w:fill="auto"/>
            <w:noWrap/>
            <w:vAlign w:val="center"/>
            <w:hideMark/>
          </w:tcPr>
          <w:p w14:paraId="1DE26611"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bottom"/>
          </w:tcPr>
          <w:p w14:paraId="11726B07" w14:textId="3FCEE440"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136</w:t>
            </w:r>
          </w:p>
        </w:tc>
        <w:tc>
          <w:tcPr>
            <w:tcW w:w="2730" w:type="dxa"/>
            <w:tcBorders>
              <w:top w:val="nil"/>
              <w:left w:val="nil"/>
              <w:bottom w:val="nil"/>
              <w:right w:val="nil"/>
            </w:tcBorders>
            <w:shd w:val="clear" w:color="auto" w:fill="auto"/>
            <w:noWrap/>
            <w:vAlign w:val="bottom"/>
          </w:tcPr>
          <w:p w14:paraId="6D809EA4" w14:textId="1A30BF57"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1.12 (0.85</w:t>
            </w:r>
            <w:r w:rsidR="00123418" w:rsidRPr="004D453A">
              <w:rPr>
                <w:rFonts w:ascii="Arial" w:hAnsi="Arial" w:cs="Arial"/>
                <w:color w:val="000000"/>
                <w:sz w:val="20"/>
                <w:szCs w:val="20"/>
              </w:rPr>
              <w:t>-</w:t>
            </w:r>
            <w:r w:rsidRPr="004D453A">
              <w:rPr>
                <w:rFonts w:ascii="Arial" w:hAnsi="Arial" w:cs="Arial"/>
                <w:color w:val="000000"/>
                <w:sz w:val="20"/>
                <w:szCs w:val="20"/>
              </w:rPr>
              <w:t>1.46)</w:t>
            </w:r>
          </w:p>
        </w:tc>
      </w:tr>
      <w:tr w:rsidR="009864D2" w:rsidRPr="004D453A" w14:paraId="14304433" w14:textId="77777777" w:rsidTr="00942CE4">
        <w:trPr>
          <w:trHeight w:val="20"/>
          <w:jc w:val="center"/>
        </w:trPr>
        <w:tc>
          <w:tcPr>
            <w:tcW w:w="3440" w:type="dxa"/>
            <w:tcBorders>
              <w:top w:val="nil"/>
              <w:left w:val="nil"/>
              <w:right w:val="nil"/>
            </w:tcBorders>
            <w:shd w:val="clear" w:color="auto" w:fill="auto"/>
            <w:noWrap/>
            <w:vAlign w:val="center"/>
            <w:hideMark/>
          </w:tcPr>
          <w:p w14:paraId="5B93076B" w14:textId="77777777" w:rsidR="009864D2" w:rsidRPr="004D453A" w:rsidRDefault="009864D2" w:rsidP="009864D2">
            <w:pPr>
              <w:jc w:val="right"/>
              <w:rPr>
                <w:rFonts w:ascii="Arial" w:eastAsia="Times New Roman" w:hAnsi="Arial" w:cs="Arial"/>
                <w:color w:val="000000"/>
                <w:sz w:val="20"/>
                <w:szCs w:val="20"/>
              </w:rPr>
            </w:pPr>
            <w:r w:rsidRPr="004D453A">
              <w:rPr>
                <w:rFonts w:ascii="Arial" w:eastAsia="Times New Roman" w:hAnsi="Arial" w:cs="Arial"/>
                <w:color w:val="000000"/>
                <w:sz w:val="20"/>
                <w:szCs w:val="20"/>
              </w:rPr>
              <w:t>5</w:t>
            </w:r>
          </w:p>
        </w:tc>
        <w:tc>
          <w:tcPr>
            <w:tcW w:w="1300" w:type="dxa"/>
            <w:tcBorders>
              <w:top w:val="nil"/>
              <w:left w:val="nil"/>
              <w:right w:val="nil"/>
            </w:tcBorders>
            <w:shd w:val="clear" w:color="auto" w:fill="auto"/>
            <w:noWrap/>
            <w:vAlign w:val="bottom"/>
          </w:tcPr>
          <w:p w14:paraId="32908DA1" w14:textId="3991A2BD" w:rsidR="009864D2" w:rsidRPr="004D453A" w:rsidRDefault="009864D2" w:rsidP="009864D2">
            <w:pPr>
              <w:jc w:val="center"/>
              <w:rPr>
                <w:rFonts w:ascii="Arial" w:eastAsia="Times New Roman" w:hAnsi="Arial" w:cs="Arial"/>
                <w:color w:val="000000"/>
                <w:sz w:val="20"/>
                <w:szCs w:val="20"/>
              </w:rPr>
            </w:pPr>
            <w:r w:rsidRPr="004D453A">
              <w:rPr>
                <w:rFonts w:ascii="Arial" w:hAnsi="Arial" w:cs="Arial"/>
                <w:color w:val="000000"/>
                <w:sz w:val="20"/>
                <w:szCs w:val="20"/>
              </w:rPr>
              <w:t>203</w:t>
            </w:r>
          </w:p>
        </w:tc>
        <w:tc>
          <w:tcPr>
            <w:tcW w:w="2730" w:type="dxa"/>
            <w:tcBorders>
              <w:top w:val="nil"/>
              <w:left w:val="nil"/>
              <w:right w:val="nil"/>
            </w:tcBorders>
            <w:shd w:val="clear" w:color="auto" w:fill="auto"/>
            <w:noWrap/>
            <w:vAlign w:val="bottom"/>
          </w:tcPr>
          <w:p w14:paraId="6E9639B2" w14:textId="5B293463" w:rsidR="009864D2" w:rsidRPr="004D453A" w:rsidRDefault="009864D2" w:rsidP="009864D2">
            <w:pPr>
              <w:jc w:val="center"/>
              <w:rPr>
                <w:rFonts w:ascii="Arial" w:hAnsi="Arial" w:cs="Arial"/>
                <w:color w:val="000000"/>
                <w:sz w:val="20"/>
                <w:szCs w:val="20"/>
              </w:rPr>
            </w:pPr>
            <w:r w:rsidRPr="004D453A">
              <w:rPr>
                <w:rFonts w:ascii="Arial" w:hAnsi="Arial" w:cs="Arial"/>
                <w:color w:val="000000"/>
                <w:sz w:val="20"/>
                <w:szCs w:val="20"/>
              </w:rPr>
              <w:t>1.90 (1.48</w:t>
            </w:r>
            <w:r w:rsidR="00123418" w:rsidRPr="004D453A">
              <w:rPr>
                <w:rFonts w:ascii="Arial" w:hAnsi="Arial" w:cs="Arial"/>
                <w:color w:val="000000"/>
                <w:sz w:val="20"/>
                <w:szCs w:val="20"/>
              </w:rPr>
              <w:t>-</w:t>
            </w:r>
            <w:r w:rsidRPr="004D453A">
              <w:rPr>
                <w:rFonts w:ascii="Arial" w:hAnsi="Arial" w:cs="Arial"/>
                <w:color w:val="000000"/>
                <w:sz w:val="20"/>
                <w:szCs w:val="20"/>
              </w:rPr>
              <w:t>2.43)</w:t>
            </w:r>
          </w:p>
        </w:tc>
      </w:tr>
      <w:tr w:rsidR="0067123F" w:rsidRPr="004D453A" w14:paraId="5073B105" w14:textId="77777777" w:rsidTr="00942CE4">
        <w:trPr>
          <w:trHeight w:val="20"/>
          <w:jc w:val="center"/>
        </w:trPr>
        <w:tc>
          <w:tcPr>
            <w:tcW w:w="3440" w:type="dxa"/>
            <w:tcBorders>
              <w:top w:val="nil"/>
              <w:left w:val="nil"/>
              <w:bottom w:val="single" w:sz="4" w:space="0" w:color="auto"/>
              <w:right w:val="nil"/>
            </w:tcBorders>
            <w:shd w:val="clear" w:color="auto" w:fill="auto"/>
            <w:noWrap/>
            <w:vAlign w:val="bottom"/>
            <w:hideMark/>
          </w:tcPr>
          <w:p w14:paraId="1AB5069C" w14:textId="77777777" w:rsidR="0067123F" w:rsidRPr="004D453A" w:rsidRDefault="0067123F" w:rsidP="0067123F">
            <w:pPr>
              <w:jc w:val="center"/>
              <w:rPr>
                <w:rFonts w:ascii="Arial" w:eastAsia="Times New Roman" w:hAnsi="Arial" w:cs="Arial"/>
                <w:color w:val="000000"/>
                <w:sz w:val="20"/>
                <w:szCs w:val="20"/>
              </w:rPr>
            </w:pPr>
          </w:p>
        </w:tc>
        <w:tc>
          <w:tcPr>
            <w:tcW w:w="1300" w:type="dxa"/>
            <w:tcBorders>
              <w:top w:val="nil"/>
              <w:left w:val="nil"/>
              <w:bottom w:val="single" w:sz="4" w:space="0" w:color="auto"/>
              <w:right w:val="nil"/>
            </w:tcBorders>
            <w:shd w:val="clear" w:color="auto" w:fill="auto"/>
            <w:noWrap/>
            <w:vAlign w:val="center"/>
            <w:hideMark/>
          </w:tcPr>
          <w:p w14:paraId="2DCB5D59" w14:textId="30C69621" w:rsidR="0067123F" w:rsidRPr="004D453A" w:rsidRDefault="00B65713" w:rsidP="0067123F">
            <w:pPr>
              <w:jc w:val="center"/>
              <w:rPr>
                <w:rFonts w:ascii="Arial" w:eastAsia="Times New Roman" w:hAnsi="Arial" w:cs="Arial"/>
                <w:i/>
                <w:iCs/>
                <w:color w:val="000000"/>
                <w:sz w:val="20"/>
                <w:szCs w:val="20"/>
              </w:rPr>
            </w:pPr>
            <w:r w:rsidRPr="004D453A">
              <w:rPr>
                <w:rFonts w:ascii="Arial" w:hAnsi="Arial" w:cs="Arial"/>
                <w:i/>
                <w:iCs/>
                <w:color w:val="000000"/>
                <w:sz w:val="20"/>
                <w:szCs w:val="20"/>
              </w:rPr>
              <w:t>P</w:t>
            </w:r>
            <w:r w:rsidRPr="004D453A">
              <w:rPr>
                <w:rFonts w:ascii="Arial" w:hAnsi="Arial" w:cs="Arial"/>
                <w:i/>
                <w:iCs/>
                <w:color w:val="000000"/>
                <w:sz w:val="20"/>
                <w:szCs w:val="20"/>
                <w:vertAlign w:val="subscript"/>
              </w:rPr>
              <w:t>trend</w:t>
            </w:r>
          </w:p>
        </w:tc>
        <w:tc>
          <w:tcPr>
            <w:tcW w:w="2730" w:type="dxa"/>
            <w:tcBorders>
              <w:top w:val="nil"/>
              <w:left w:val="nil"/>
              <w:bottom w:val="single" w:sz="4" w:space="0" w:color="auto"/>
              <w:right w:val="nil"/>
            </w:tcBorders>
            <w:shd w:val="clear" w:color="auto" w:fill="auto"/>
            <w:noWrap/>
            <w:vAlign w:val="bottom"/>
          </w:tcPr>
          <w:p w14:paraId="6DC8EE87" w14:textId="6EEE1B36" w:rsidR="0067123F" w:rsidRPr="004D453A" w:rsidRDefault="0067123F" w:rsidP="0067123F">
            <w:pPr>
              <w:jc w:val="center"/>
              <w:rPr>
                <w:rFonts w:ascii="Arial" w:hAnsi="Arial" w:cs="Arial"/>
                <w:i/>
                <w:iCs/>
                <w:color w:val="000000"/>
                <w:sz w:val="20"/>
                <w:szCs w:val="20"/>
              </w:rPr>
            </w:pPr>
            <w:r w:rsidRPr="004D453A">
              <w:rPr>
                <w:rFonts w:ascii="Arial" w:hAnsi="Arial" w:cs="Arial"/>
                <w:i/>
                <w:iCs/>
                <w:color w:val="000000"/>
                <w:sz w:val="20"/>
                <w:szCs w:val="20"/>
              </w:rPr>
              <w:t>&lt;0.0001</w:t>
            </w:r>
          </w:p>
        </w:tc>
      </w:tr>
    </w:tbl>
    <w:p w14:paraId="14B7A365" w14:textId="77E2B147" w:rsidR="00684883" w:rsidRPr="004D453A" w:rsidRDefault="00684883" w:rsidP="00942CE4">
      <w:pPr>
        <w:rPr>
          <w:rFonts w:ascii="Arial" w:hAnsi="Arial" w:cs="Arial"/>
          <w:color w:val="000000" w:themeColor="text1"/>
          <w:sz w:val="20"/>
          <w:szCs w:val="20"/>
        </w:rPr>
      </w:pPr>
      <w:r w:rsidRPr="004D453A">
        <w:rPr>
          <w:rFonts w:ascii="Arial" w:hAnsi="Arial" w:cs="Arial"/>
          <w:color w:val="000000" w:themeColor="text1"/>
          <w:sz w:val="20"/>
          <w:szCs w:val="20"/>
        </w:rPr>
        <w:t>Abbreviations:  BMI, body mass index; CI, confidence interval; CPRU, Cancer Prevention Research Unit; DIS, dietary inflammation score; LIS, lifestyle inflammation score; MAP, Markers of Adenomatous Polyps; MET, metabolic equivalent of task; NSAID, non-steroidal anti-inflammatory drug; OR, odds ratio</w:t>
      </w:r>
    </w:p>
    <w:p w14:paraId="1C8BF517" w14:textId="71B3AB18" w:rsidR="00800908" w:rsidRPr="004D453A" w:rsidRDefault="00684883" w:rsidP="00684883">
      <w:pPr>
        <w:ind w:left="144" w:hanging="144"/>
        <w:rPr>
          <w:rFonts w:ascii="Arial" w:hAnsi="Arial" w:cs="Arial"/>
          <w:color w:val="000000" w:themeColor="text1"/>
          <w:sz w:val="20"/>
          <w:szCs w:val="20"/>
        </w:rPr>
      </w:pPr>
      <w:r w:rsidRPr="004D453A">
        <w:rPr>
          <w:rFonts w:ascii="Arial" w:hAnsi="Arial" w:cs="Arial"/>
          <w:color w:val="000000" w:themeColor="text1"/>
          <w:sz w:val="20"/>
          <w:szCs w:val="20"/>
          <w:vertAlign w:val="superscript"/>
        </w:rPr>
        <w:t xml:space="preserve">a </w:t>
      </w:r>
      <w:r w:rsidR="00414030" w:rsidRPr="004D453A">
        <w:rPr>
          <w:rFonts w:ascii="Arial" w:hAnsi="Arial" w:cs="Arial"/>
          <w:color w:val="000000" w:themeColor="text1"/>
          <w:sz w:val="20"/>
          <w:szCs w:val="20"/>
        </w:rPr>
        <w:t>Covariates in the LIS-equal weight unconditional logistic regression models were:  age, sex, NSAID/aspirin use (&lt;/≥ once/week), hormone therapy use (among women), family history of colorectal cancer in a first degree relative (yes/no), former smoking status (former smoker or non-former smoker), total energy intake (kcal/day), study (MAP I, MAP II, or CPRU), the equally-weighted DIS</w:t>
      </w:r>
      <w:r w:rsidR="009864D2" w:rsidRPr="004D453A">
        <w:rPr>
          <w:rFonts w:ascii="Arial" w:hAnsi="Arial" w:cs="Arial"/>
          <w:color w:val="000000" w:themeColor="text1"/>
          <w:sz w:val="20"/>
          <w:szCs w:val="20"/>
        </w:rPr>
        <w:t>, and the component removed from the LIS</w:t>
      </w:r>
    </w:p>
    <w:p w14:paraId="08869B60" w14:textId="3374DDD2" w:rsidR="00684883" w:rsidRPr="004D453A" w:rsidRDefault="00684883" w:rsidP="00942CE4">
      <w:pPr>
        <w:ind w:left="144" w:hanging="144"/>
        <w:rPr>
          <w:rFonts w:ascii="Arial" w:hAnsi="Arial" w:cs="Arial"/>
          <w:color w:val="000000" w:themeColor="text1"/>
          <w:sz w:val="20"/>
          <w:szCs w:val="20"/>
        </w:rPr>
      </w:pPr>
      <w:r w:rsidRPr="004D453A">
        <w:rPr>
          <w:rFonts w:ascii="Arial" w:hAnsi="Arial" w:cs="Arial"/>
          <w:color w:val="000000" w:themeColor="text1"/>
          <w:sz w:val="20"/>
          <w:szCs w:val="20"/>
          <w:vertAlign w:val="superscript"/>
        </w:rPr>
        <w:t>b</w:t>
      </w:r>
      <w:r w:rsidRPr="004D453A">
        <w:rPr>
          <w:rFonts w:ascii="Arial" w:hAnsi="Arial" w:cs="Arial"/>
          <w:color w:val="000000" w:themeColor="text1"/>
          <w:sz w:val="20"/>
          <w:szCs w:val="20"/>
        </w:rPr>
        <w:t xml:space="preserve"> </w:t>
      </w:r>
      <w:r w:rsidRPr="004D453A">
        <w:rPr>
          <w:rFonts w:ascii="Calibri" w:hAnsi="Calibri" w:cs="Calibri"/>
          <w:color w:val="000000" w:themeColor="text1"/>
          <w:sz w:val="20"/>
          <w:szCs w:val="20"/>
        </w:rPr>
        <w:t>﻿</w:t>
      </w:r>
      <w:r w:rsidRPr="004D453A">
        <w:rPr>
          <w:rFonts w:ascii="Arial" w:hAnsi="Arial" w:cs="Arial"/>
          <w:color w:val="000000" w:themeColor="text1"/>
          <w:sz w:val="20"/>
          <w:szCs w:val="20"/>
        </w:rPr>
        <w:t>For inflammation score construction, see text and Table 1; higher scores indicate a higher balance of pro- versus anti-inflammatory exposures</w:t>
      </w:r>
    </w:p>
    <w:p w14:paraId="65034EDD" w14:textId="77777777" w:rsidR="00FB45BC" w:rsidRPr="004D453A" w:rsidRDefault="00FB45BC" w:rsidP="00942CE4">
      <w:pPr>
        <w:ind w:left="144" w:hanging="144"/>
        <w:rPr>
          <w:rFonts w:ascii="Arial" w:hAnsi="Arial" w:cs="Arial"/>
          <w:b/>
          <w:bCs/>
          <w:color w:val="000000" w:themeColor="text1"/>
          <w:sz w:val="20"/>
          <w:szCs w:val="20"/>
        </w:rPr>
        <w:sectPr w:rsidR="00FB45BC" w:rsidRPr="004D453A" w:rsidSect="00E95E29">
          <w:pgSz w:w="12240" w:h="15840"/>
          <w:pgMar w:top="1440" w:right="1440" w:bottom="1440" w:left="1440" w:header="720" w:footer="720" w:gutter="0"/>
          <w:cols w:space="720"/>
          <w:docGrid w:linePitch="360"/>
        </w:sectPr>
      </w:pPr>
    </w:p>
    <w:p w14:paraId="256E8BC5" w14:textId="4AF646B4" w:rsidR="00A41E37" w:rsidRPr="004D453A" w:rsidRDefault="007B5031" w:rsidP="00942CE4">
      <w:pPr>
        <w:ind w:left="144" w:hanging="144"/>
        <w:rPr>
          <w:rFonts w:ascii="Arial" w:hAnsi="Arial" w:cs="Arial"/>
          <w:b/>
          <w:bCs/>
          <w:color w:val="000000" w:themeColor="text1"/>
          <w:sz w:val="20"/>
          <w:szCs w:val="20"/>
        </w:rPr>
      </w:pPr>
      <w:r w:rsidRPr="00615CA1">
        <w:rPr>
          <w:rFonts w:ascii="Arial" w:hAnsi="Arial" w:cs="Arial"/>
          <w:b/>
          <w:bCs/>
          <w:color w:val="000000" w:themeColor="text1"/>
          <w:sz w:val="20"/>
          <w:szCs w:val="20"/>
        </w:rPr>
        <w:lastRenderedPageBreak/>
        <w:t xml:space="preserve">Supplemental </w:t>
      </w:r>
      <w:r w:rsidR="00A41E37" w:rsidRPr="004D453A">
        <w:rPr>
          <w:rFonts w:ascii="Arial" w:hAnsi="Arial" w:cs="Arial"/>
          <w:b/>
          <w:bCs/>
          <w:color w:val="000000" w:themeColor="text1"/>
          <w:sz w:val="20"/>
          <w:szCs w:val="20"/>
        </w:rPr>
        <w:t>References</w:t>
      </w:r>
    </w:p>
    <w:p w14:paraId="7AB686E7" w14:textId="77777777" w:rsidR="00BC77D0" w:rsidRPr="004D453A" w:rsidRDefault="00BC77D0" w:rsidP="00942CE4">
      <w:pPr>
        <w:ind w:left="144" w:hanging="144"/>
        <w:rPr>
          <w:rFonts w:ascii="Arial" w:hAnsi="Arial" w:cs="Arial"/>
          <w:b/>
          <w:bCs/>
          <w:color w:val="000000" w:themeColor="text1"/>
          <w:sz w:val="20"/>
          <w:szCs w:val="20"/>
        </w:rPr>
      </w:pPr>
    </w:p>
    <w:p w14:paraId="4473A4E1" w14:textId="50BA385E" w:rsidR="00961BD8" w:rsidRPr="004D453A" w:rsidRDefault="00A41E37" w:rsidP="00961BD8">
      <w:pPr>
        <w:widowControl w:val="0"/>
        <w:autoSpaceDE w:val="0"/>
        <w:autoSpaceDN w:val="0"/>
        <w:adjustRightInd w:val="0"/>
        <w:ind w:left="640" w:hanging="640"/>
        <w:rPr>
          <w:rFonts w:ascii="Arial" w:hAnsi="Arial" w:cs="Arial"/>
          <w:noProof/>
          <w:sz w:val="20"/>
        </w:rPr>
      </w:pPr>
      <w:r w:rsidRPr="00615CA1">
        <w:rPr>
          <w:rFonts w:ascii="Arial" w:hAnsi="Arial" w:cs="Arial"/>
          <w:color w:val="000000" w:themeColor="text1"/>
          <w:sz w:val="20"/>
          <w:szCs w:val="20"/>
        </w:rPr>
        <w:fldChar w:fldCharType="begin" w:fldLock="1"/>
      </w:r>
      <w:r w:rsidRPr="004D453A">
        <w:rPr>
          <w:rFonts w:ascii="Arial" w:hAnsi="Arial" w:cs="Arial"/>
          <w:color w:val="000000" w:themeColor="text1"/>
          <w:sz w:val="20"/>
          <w:szCs w:val="20"/>
        </w:rPr>
        <w:instrText xml:space="preserve">ADDIN Mendeley Bibliography CSL_BIBLIOGRAPHY </w:instrText>
      </w:r>
      <w:r w:rsidRPr="00615CA1">
        <w:rPr>
          <w:rFonts w:ascii="Arial" w:hAnsi="Arial" w:cs="Arial"/>
          <w:color w:val="000000" w:themeColor="text1"/>
          <w:sz w:val="20"/>
          <w:szCs w:val="20"/>
        </w:rPr>
        <w:fldChar w:fldCharType="separate"/>
      </w:r>
      <w:r w:rsidR="00961BD8" w:rsidRPr="004D453A">
        <w:rPr>
          <w:rFonts w:ascii="Arial" w:hAnsi="Arial" w:cs="Arial"/>
          <w:noProof/>
          <w:sz w:val="20"/>
        </w:rPr>
        <w:t xml:space="preserve">1. </w:t>
      </w:r>
      <w:r w:rsidR="00961BD8" w:rsidRPr="004D453A">
        <w:rPr>
          <w:rFonts w:ascii="Arial" w:hAnsi="Arial" w:cs="Arial"/>
          <w:noProof/>
          <w:sz w:val="20"/>
        </w:rPr>
        <w:tab/>
        <w:t>Kallio P, Kolehmainen M, Laaksonen DE, Kekäläinen J, Salopuro T, Sivenius K,</w:t>
      </w:r>
      <w:r w:rsidR="00B5606A" w:rsidRPr="004D453A">
        <w:rPr>
          <w:rFonts w:ascii="Arial" w:hAnsi="Arial" w:cs="Arial"/>
          <w:i/>
          <w:noProof/>
          <w:sz w:val="20"/>
        </w:rPr>
        <w:t xml:space="preserve"> et al</w:t>
      </w:r>
      <w:r w:rsidR="00961BD8" w:rsidRPr="004D453A">
        <w:rPr>
          <w:rFonts w:ascii="Arial" w:hAnsi="Arial" w:cs="Arial"/>
          <w:noProof/>
          <w:sz w:val="20"/>
        </w:rPr>
        <w:t xml:space="preserve">. Dietary carbohydrate modification induces alterations in gene expression in abdominal subcutaneous adipose tissue in persons with the metabolic syndrome: the FUNGENUT Study. </w:t>
      </w:r>
      <w:r w:rsidR="00961BD8" w:rsidRPr="004D453A">
        <w:rPr>
          <w:rFonts w:ascii="Arial" w:hAnsi="Arial" w:cs="Arial"/>
          <w:i/>
          <w:iCs/>
          <w:noProof/>
          <w:sz w:val="20"/>
        </w:rPr>
        <w:t>Am J Clin Nutr</w:t>
      </w:r>
      <w:r w:rsidR="00961BD8" w:rsidRPr="004D453A">
        <w:rPr>
          <w:rFonts w:ascii="Arial" w:hAnsi="Arial" w:cs="Arial"/>
          <w:noProof/>
          <w:sz w:val="20"/>
        </w:rPr>
        <w:t xml:space="preserve"> </w:t>
      </w:r>
      <w:r w:rsidR="00961BD8" w:rsidRPr="004D453A">
        <w:rPr>
          <w:rFonts w:ascii="Arial" w:hAnsi="Arial" w:cs="Arial"/>
          <w:b/>
          <w:bCs/>
          <w:noProof/>
          <w:sz w:val="20"/>
        </w:rPr>
        <w:t>2007</w:t>
      </w:r>
      <w:r w:rsidR="00961BD8" w:rsidRPr="004D453A">
        <w:rPr>
          <w:rFonts w:ascii="Arial" w:hAnsi="Arial" w:cs="Arial"/>
          <w:noProof/>
          <w:sz w:val="20"/>
        </w:rPr>
        <w:t xml:space="preserve">;85:1417–27. </w:t>
      </w:r>
    </w:p>
    <w:p w14:paraId="23893192"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2. </w:t>
      </w:r>
      <w:r w:rsidRPr="004D453A">
        <w:rPr>
          <w:rFonts w:ascii="Arial" w:hAnsi="Arial" w:cs="Arial"/>
          <w:noProof/>
          <w:sz w:val="20"/>
        </w:rPr>
        <w:tab/>
        <w:t xml:space="preserve">Guzik T, Korbut R, Adamek-Guzik T. Nitric oxide and superoxide in inflammation and immune regulation. </w:t>
      </w:r>
      <w:r w:rsidRPr="004D453A">
        <w:rPr>
          <w:rFonts w:ascii="Arial" w:hAnsi="Arial" w:cs="Arial"/>
          <w:i/>
          <w:iCs/>
          <w:noProof/>
          <w:sz w:val="20"/>
        </w:rPr>
        <w:t>J Physiol Pharmacol</w:t>
      </w:r>
      <w:r w:rsidRPr="004D453A">
        <w:rPr>
          <w:rFonts w:ascii="Arial" w:hAnsi="Arial" w:cs="Arial"/>
          <w:noProof/>
          <w:sz w:val="20"/>
        </w:rPr>
        <w:t xml:space="preserve"> </w:t>
      </w:r>
      <w:r w:rsidRPr="004D453A">
        <w:rPr>
          <w:rFonts w:ascii="Arial" w:hAnsi="Arial" w:cs="Arial"/>
          <w:b/>
          <w:bCs/>
          <w:noProof/>
          <w:sz w:val="20"/>
        </w:rPr>
        <w:t>2003</w:t>
      </w:r>
      <w:r w:rsidRPr="004D453A">
        <w:rPr>
          <w:rFonts w:ascii="Arial" w:hAnsi="Arial" w:cs="Arial"/>
          <w:noProof/>
          <w:sz w:val="20"/>
        </w:rPr>
        <w:t xml:space="preserve">;54:469–87. </w:t>
      </w:r>
    </w:p>
    <w:p w14:paraId="613F6735"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3. </w:t>
      </w:r>
      <w:r w:rsidRPr="004D453A">
        <w:rPr>
          <w:rFonts w:ascii="Arial" w:hAnsi="Arial" w:cs="Arial"/>
          <w:noProof/>
          <w:sz w:val="20"/>
        </w:rPr>
        <w:tab/>
        <w:t xml:space="preserve">Giugliano D, Ceriello A, Esposito K. The effects of diet on inflammation: emphasis on the metabolic syndrome. </w:t>
      </w:r>
      <w:r w:rsidRPr="004D453A">
        <w:rPr>
          <w:rFonts w:ascii="Arial" w:hAnsi="Arial" w:cs="Arial"/>
          <w:i/>
          <w:iCs/>
          <w:noProof/>
          <w:sz w:val="20"/>
        </w:rPr>
        <w:t>J Am Coll Cardiol</w:t>
      </w:r>
      <w:r w:rsidRPr="004D453A">
        <w:rPr>
          <w:rFonts w:ascii="Arial" w:hAnsi="Arial" w:cs="Arial"/>
          <w:noProof/>
          <w:sz w:val="20"/>
        </w:rPr>
        <w:t xml:space="preserve"> </w:t>
      </w:r>
      <w:r w:rsidRPr="004D453A">
        <w:rPr>
          <w:rFonts w:ascii="Arial" w:hAnsi="Arial" w:cs="Arial"/>
          <w:b/>
          <w:bCs/>
          <w:noProof/>
          <w:sz w:val="20"/>
        </w:rPr>
        <w:t>2006</w:t>
      </w:r>
      <w:r w:rsidRPr="004D453A">
        <w:rPr>
          <w:rFonts w:ascii="Arial" w:hAnsi="Arial" w:cs="Arial"/>
          <w:noProof/>
          <w:sz w:val="20"/>
        </w:rPr>
        <w:t xml:space="preserve">;48:677–85. </w:t>
      </w:r>
    </w:p>
    <w:p w14:paraId="58674CCC"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4. </w:t>
      </w:r>
      <w:r w:rsidRPr="004D453A">
        <w:rPr>
          <w:rFonts w:ascii="Arial" w:hAnsi="Arial" w:cs="Arial"/>
          <w:noProof/>
          <w:sz w:val="20"/>
        </w:rPr>
        <w:tab/>
        <w:t xml:space="preserve">Ludwig DS. The glycemic index: physiological mechanisms relating to obesity, diabetes, and cardiovascular disease. </w:t>
      </w:r>
      <w:r w:rsidRPr="004D453A">
        <w:rPr>
          <w:rFonts w:ascii="Arial" w:hAnsi="Arial" w:cs="Arial"/>
          <w:i/>
          <w:iCs/>
          <w:noProof/>
          <w:sz w:val="20"/>
        </w:rPr>
        <w:t>JAMA</w:t>
      </w:r>
      <w:r w:rsidRPr="004D453A">
        <w:rPr>
          <w:rFonts w:ascii="Arial" w:hAnsi="Arial" w:cs="Arial"/>
          <w:noProof/>
          <w:sz w:val="20"/>
        </w:rPr>
        <w:t xml:space="preserve"> </w:t>
      </w:r>
      <w:r w:rsidRPr="004D453A">
        <w:rPr>
          <w:rFonts w:ascii="Arial" w:hAnsi="Arial" w:cs="Arial"/>
          <w:b/>
          <w:bCs/>
          <w:noProof/>
          <w:sz w:val="20"/>
        </w:rPr>
        <w:t>2002</w:t>
      </w:r>
      <w:r w:rsidRPr="004D453A">
        <w:rPr>
          <w:rFonts w:ascii="Arial" w:hAnsi="Arial" w:cs="Arial"/>
          <w:noProof/>
          <w:sz w:val="20"/>
        </w:rPr>
        <w:t xml:space="preserve">;287:2414–23. </w:t>
      </w:r>
    </w:p>
    <w:p w14:paraId="0DFA0135" w14:textId="131140B9"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5. </w:t>
      </w:r>
      <w:r w:rsidRPr="004D453A">
        <w:rPr>
          <w:rFonts w:ascii="Arial" w:hAnsi="Arial" w:cs="Arial"/>
          <w:noProof/>
          <w:sz w:val="20"/>
        </w:rPr>
        <w:tab/>
        <w:t>Prior RL, Gu L, Wu X, Jacob RA, Sotoudeh G, Kader AA,</w:t>
      </w:r>
      <w:r w:rsidR="00B5606A" w:rsidRPr="004D453A">
        <w:rPr>
          <w:rFonts w:ascii="Arial" w:hAnsi="Arial" w:cs="Arial"/>
          <w:i/>
          <w:noProof/>
          <w:sz w:val="20"/>
        </w:rPr>
        <w:t xml:space="preserve"> et al</w:t>
      </w:r>
      <w:r w:rsidRPr="004D453A">
        <w:rPr>
          <w:rFonts w:ascii="Arial" w:hAnsi="Arial" w:cs="Arial"/>
          <w:noProof/>
          <w:sz w:val="20"/>
        </w:rPr>
        <w:t xml:space="preserve">. Plasma antioxidant capacity changes following a meal as a measure of the ability of a food to alter in vivo antioxidant status. </w:t>
      </w:r>
      <w:r w:rsidRPr="004D453A">
        <w:rPr>
          <w:rFonts w:ascii="Arial" w:hAnsi="Arial" w:cs="Arial"/>
          <w:i/>
          <w:iCs/>
          <w:noProof/>
          <w:sz w:val="20"/>
        </w:rPr>
        <w:t>J Am Coll Nutr</w:t>
      </w:r>
      <w:r w:rsidRPr="004D453A">
        <w:rPr>
          <w:rFonts w:ascii="Arial" w:hAnsi="Arial" w:cs="Arial"/>
          <w:noProof/>
          <w:sz w:val="20"/>
        </w:rPr>
        <w:t xml:space="preserve"> </w:t>
      </w:r>
      <w:r w:rsidRPr="004D453A">
        <w:rPr>
          <w:rFonts w:ascii="Arial" w:hAnsi="Arial" w:cs="Arial"/>
          <w:b/>
          <w:bCs/>
          <w:noProof/>
          <w:sz w:val="20"/>
        </w:rPr>
        <w:t>2007</w:t>
      </w:r>
      <w:r w:rsidRPr="004D453A">
        <w:rPr>
          <w:rFonts w:ascii="Arial" w:hAnsi="Arial" w:cs="Arial"/>
          <w:noProof/>
          <w:sz w:val="20"/>
        </w:rPr>
        <w:t xml:space="preserve">;26:170–81. </w:t>
      </w:r>
    </w:p>
    <w:p w14:paraId="4B0D1297" w14:textId="17ECB321"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6. </w:t>
      </w:r>
      <w:r w:rsidRPr="004D453A">
        <w:rPr>
          <w:rFonts w:ascii="Arial" w:hAnsi="Arial" w:cs="Arial"/>
          <w:noProof/>
          <w:sz w:val="20"/>
        </w:rPr>
        <w:tab/>
        <w:t>Espley R V, Butts CA, Laing WA, Martell S, Smith H, McGhie TK,</w:t>
      </w:r>
      <w:r w:rsidR="00B5606A" w:rsidRPr="004D453A">
        <w:rPr>
          <w:rFonts w:ascii="Arial" w:hAnsi="Arial" w:cs="Arial"/>
          <w:i/>
          <w:noProof/>
          <w:sz w:val="20"/>
        </w:rPr>
        <w:t xml:space="preserve"> et al</w:t>
      </w:r>
      <w:r w:rsidRPr="004D453A">
        <w:rPr>
          <w:rFonts w:ascii="Arial" w:hAnsi="Arial" w:cs="Arial"/>
          <w:noProof/>
          <w:sz w:val="20"/>
        </w:rPr>
        <w:t xml:space="preserve">. Dietary flavonoids from modified apple reduce inflammation markers and modulate gut microbiota in mice. </w:t>
      </w:r>
      <w:r w:rsidRPr="004D453A">
        <w:rPr>
          <w:rFonts w:ascii="Arial" w:hAnsi="Arial" w:cs="Arial"/>
          <w:i/>
          <w:iCs/>
          <w:noProof/>
          <w:sz w:val="20"/>
        </w:rPr>
        <w:t>J Nutr</w:t>
      </w:r>
      <w:r w:rsidRPr="004D453A">
        <w:rPr>
          <w:rFonts w:ascii="Arial" w:hAnsi="Arial" w:cs="Arial"/>
          <w:noProof/>
          <w:sz w:val="20"/>
        </w:rPr>
        <w:t xml:space="preserve"> </w:t>
      </w:r>
      <w:r w:rsidRPr="004D453A">
        <w:rPr>
          <w:rFonts w:ascii="Arial" w:hAnsi="Arial" w:cs="Arial"/>
          <w:b/>
          <w:bCs/>
          <w:noProof/>
          <w:sz w:val="20"/>
        </w:rPr>
        <w:t>2014</w:t>
      </w:r>
      <w:r w:rsidRPr="004D453A">
        <w:rPr>
          <w:rFonts w:ascii="Arial" w:hAnsi="Arial" w:cs="Arial"/>
          <w:noProof/>
          <w:sz w:val="20"/>
        </w:rPr>
        <w:t xml:space="preserve">;144:146–54. </w:t>
      </w:r>
    </w:p>
    <w:p w14:paraId="4F8EF782"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7. </w:t>
      </w:r>
      <w:r w:rsidRPr="004D453A">
        <w:rPr>
          <w:rFonts w:ascii="Arial" w:hAnsi="Arial" w:cs="Arial"/>
          <w:noProof/>
          <w:sz w:val="20"/>
        </w:rPr>
        <w:tab/>
        <w:t xml:space="preserve">Codoñer-Franch P, Betoret E, Betoret N, López-Jaén AB, Valls-Belles V, Fito P. Dried apples enriched with mandarin juice by vacuum impregnation improve antioxidant capacity and decrease inflammation in obese children. </w:t>
      </w:r>
      <w:r w:rsidRPr="004D453A">
        <w:rPr>
          <w:rFonts w:ascii="Arial" w:hAnsi="Arial" w:cs="Arial"/>
          <w:i/>
          <w:iCs/>
          <w:noProof/>
          <w:sz w:val="20"/>
        </w:rPr>
        <w:t>Nutr Hosp</w:t>
      </w:r>
      <w:r w:rsidRPr="004D453A">
        <w:rPr>
          <w:rFonts w:ascii="Arial" w:hAnsi="Arial" w:cs="Arial"/>
          <w:noProof/>
          <w:sz w:val="20"/>
        </w:rPr>
        <w:t xml:space="preserve"> </w:t>
      </w:r>
      <w:r w:rsidRPr="004D453A">
        <w:rPr>
          <w:rFonts w:ascii="Arial" w:hAnsi="Arial" w:cs="Arial"/>
          <w:b/>
          <w:bCs/>
          <w:noProof/>
          <w:sz w:val="20"/>
        </w:rPr>
        <w:t>2013</w:t>
      </w:r>
      <w:r w:rsidRPr="004D453A">
        <w:rPr>
          <w:rFonts w:ascii="Arial" w:hAnsi="Arial" w:cs="Arial"/>
          <w:noProof/>
          <w:sz w:val="20"/>
        </w:rPr>
        <w:t xml:space="preserve">;28:1177–83. </w:t>
      </w:r>
    </w:p>
    <w:p w14:paraId="3ABA0919"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8. </w:t>
      </w:r>
      <w:r w:rsidRPr="004D453A">
        <w:rPr>
          <w:rFonts w:ascii="Arial" w:hAnsi="Arial" w:cs="Arial"/>
          <w:noProof/>
          <w:sz w:val="20"/>
        </w:rPr>
        <w:tab/>
        <w:t xml:space="preserve">Dower JI, Geleijnse JM, Gijsbers L, Schalkwijk C, Kromhout D, Hollman PC. Supplementation of the pure flavonoids epicatechin and quercetin affects some biomarkers of endothelial dysfunction and inflammation in (pre)hypertensive adults: a randomized double-blind, placebo-controlled, crossover trial. </w:t>
      </w:r>
      <w:r w:rsidRPr="004D453A">
        <w:rPr>
          <w:rFonts w:ascii="Arial" w:hAnsi="Arial" w:cs="Arial"/>
          <w:i/>
          <w:iCs/>
          <w:noProof/>
          <w:sz w:val="20"/>
        </w:rPr>
        <w:t>J Nutr</w:t>
      </w:r>
      <w:r w:rsidRPr="004D453A">
        <w:rPr>
          <w:rFonts w:ascii="Arial" w:hAnsi="Arial" w:cs="Arial"/>
          <w:noProof/>
          <w:sz w:val="20"/>
        </w:rPr>
        <w:t xml:space="preserve"> </w:t>
      </w:r>
      <w:r w:rsidRPr="004D453A">
        <w:rPr>
          <w:rFonts w:ascii="Arial" w:hAnsi="Arial" w:cs="Arial"/>
          <w:b/>
          <w:bCs/>
          <w:noProof/>
          <w:sz w:val="20"/>
        </w:rPr>
        <w:t>2015</w:t>
      </w:r>
      <w:r w:rsidRPr="004D453A">
        <w:rPr>
          <w:rFonts w:ascii="Arial" w:hAnsi="Arial" w:cs="Arial"/>
          <w:noProof/>
          <w:sz w:val="20"/>
        </w:rPr>
        <w:t xml:space="preserve">;145:1459–63. </w:t>
      </w:r>
    </w:p>
    <w:p w14:paraId="0DFBD9E1"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9. </w:t>
      </w:r>
      <w:r w:rsidRPr="004D453A">
        <w:rPr>
          <w:rFonts w:ascii="Arial" w:hAnsi="Arial" w:cs="Arial"/>
          <w:noProof/>
          <w:sz w:val="20"/>
        </w:rPr>
        <w:tab/>
        <w:t xml:space="preserve">Park JB. Javamide-II found in coffee is better than caffeine at suppressing TNF-α production in PMA/PHA-treated lymphocytic jurkat cells. </w:t>
      </w:r>
      <w:r w:rsidRPr="004D453A">
        <w:rPr>
          <w:rFonts w:ascii="Arial" w:hAnsi="Arial" w:cs="Arial"/>
          <w:i/>
          <w:iCs/>
          <w:noProof/>
          <w:sz w:val="20"/>
        </w:rPr>
        <w:t>J Agric Food Chem</w:t>
      </w:r>
      <w:r w:rsidRPr="004D453A">
        <w:rPr>
          <w:rFonts w:ascii="Arial" w:hAnsi="Arial" w:cs="Arial"/>
          <w:noProof/>
          <w:sz w:val="20"/>
        </w:rPr>
        <w:t xml:space="preserve"> </w:t>
      </w:r>
      <w:r w:rsidRPr="004D453A">
        <w:rPr>
          <w:rFonts w:ascii="Arial" w:hAnsi="Arial" w:cs="Arial"/>
          <w:b/>
          <w:bCs/>
          <w:noProof/>
          <w:sz w:val="20"/>
        </w:rPr>
        <w:t>2018</w:t>
      </w:r>
      <w:r w:rsidRPr="004D453A">
        <w:rPr>
          <w:rFonts w:ascii="Arial" w:hAnsi="Arial" w:cs="Arial"/>
          <w:noProof/>
          <w:sz w:val="20"/>
        </w:rPr>
        <w:t xml:space="preserve">;66:6782–9. </w:t>
      </w:r>
    </w:p>
    <w:p w14:paraId="11E23F65"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10. </w:t>
      </w:r>
      <w:r w:rsidRPr="004D453A">
        <w:rPr>
          <w:rFonts w:ascii="Arial" w:hAnsi="Arial" w:cs="Arial"/>
          <w:noProof/>
          <w:sz w:val="20"/>
        </w:rPr>
        <w:tab/>
        <w:t xml:space="preserve">Zitvogel L, Pietrocola F, Kroemer G. Nutrition, inflammation and cancer. </w:t>
      </w:r>
      <w:r w:rsidRPr="004D453A">
        <w:rPr>
          <w:rFonts w:ascii="Arial" w:hAnsi="Arial" w:cs="Arial"/>
          <w:i/>
          <w:iCs/>
          <w:noProof/>
          <w:sz w:val="20"/>
        </w:rPr>
        <w:t>Nat Immunol</w:t>
      </w:r>
      <w:r w:rsidRPr="004D453A">
        <w:rPr>
          <w:rFonts w:ascii="Arial" w:hAnsi="Arial" w:cs="Arial"/>
          <w:noProof/>
          <w:sz w:val="20"/>
        </w:rPr>
        <w:t xml:space="preserve"> </w:t>
      </w:r>
      <w:r w:rsidRPr="004D453A">
        <w:rPr>
          <w:rFonts w:ascii="Arial" w:hAnsi="Arial" w:cs="Arial"/>
          <w:b/>
          <w:bCs/>
          <w:noProof/>
          <w:sz w:val="20"/>
        </w:rPr>
        <w:t>2017</w:t>
      </w:r>
      <w:r w:rsidRPr="004D453A">
        <w:rPr>
          <w:rFonts w:ascii="Arial" w:hAnsi="Arial" w:cs="Arial"/>
          <w:noProof/>
          <w:sz w:val="20"/>
        </w:rPr>
        <w:t xml:space="preserve">;18:843–50. </w:t>
      </w:r>
    </w:p>
    <w:p w14:paraId="2FA6B114"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11. </w:t>
      </w:r>
      <w:r w:rsidRPr="004D453A">
        <w:rPr>
          <w:rFonts w:ascii="Arial" w:hAnsi="Arial" w:cs="Arial"/>
          <w:noProof/>
          <w:sz w:val="20"/>
        </w:rPr>
        <w:tab/>
        <w:t xml:space="preserve">Kaulmann A, Bohn T. Carotenoids, inflammation, and oxidative stress—implications of cellular signaling pathways and relation to chronic disease prevention. </w:t>
      </w:r>
      <w:r w:rsidRPr="004D453A">
        <w:rPr>
          <w:rFonts w:ascii="Arial" w:hAnsi="Arial" w:cs="Arial"/>
          <w:i/>
          <w:iCs/>
          <w:noProof/>
          <w:sz w:val="20"/>
        </w:rPr>
        <w:t>Nutr Res</w:t>
      </w:r>
      <w:r w:rsidRPr="004D453A">
        <w:rPr>
          <w:rFonts w:ascii="Arial" w:hAnsi="Arial" w:cs="Arial"/>
          <w:noProof/>
          <w:sz w:val="20"/>
        </w:rPr>
        <w:t xml:space="preserve"> </w:t>
      </w:r>
      <w:r w:rsidRPr="004D453A">
        <w:rPr>
          <w:rFonts w:ascii="Arial" w:hAnsi="Arial" w:cs="Arial"/>
          <w:b/>
          <w:bCs/>
          <w:noProof/>
          <w:sz w:val="20"/>
        </w:rPr>
        <w:t>2014</w:t>
      </w:r>
      <w:r w:rsidRPr="004D453A">
        <w:rPr>
          <w:rFonts w:ascii="Arial" w:hAnsi="Arial" w:cs="Arial"/>
          <w:noProof/>
          <w:sz w:val="20"/>
        </w:rPr>
        <w:t xml:space="preserve">;34:907–29. </w:t>
      </w:r>
    </w:p>
    <w:p w14:paraId="28E40643"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12. </w:t>
      </w:r>
      <w:r w:rsidRPr="004D453A">
        <w:rPr>
          <w:rFonts w:ascii="Arial" w:hAnsi="Arial" w:cs="Arial"/>
          <w:noProof/>
          <w:sz w:val="20"/>
        </w:rPr>
        <w:tab/>
        <w:t xml:space="preserve">Simopoulos AP. Omega-3 fatty acids in inflammation and autoimmune diseases. </w:t>
      </w:r>
      <w:r w:rsidRPr="004D453A">
        <w:rPr>
          <w:rFonts w:ascii="Arial" w:hAnsi="Arial" w:cs="Arial"/>
          <w:i/>
          <w:iCs/>
          <w:noProof/>
          <w:sz w:val="20"/>
        </w:rPr>
        <w:t>J Am Coll Nutr</w:t>
      </w:r>
      <w:r w:rsidRPr="004D453A">
        <w:rPr>
          <w:rFonts w:ascii="Arial" w:hAnsi="Arial" w:cs="Arial"/>
          <w:noProof/>
          <w:sz w:val="20"/>
        </w:rPr>
        <w:t xml:space="preserve"> </w:t>
      </w:r>
      <w:r w:rsidRPr="004D453A">
        <w:rPr>
          <w:rFonts w:ascii="Arial" w:hAnsi="Arial" w:cs="Arial"/>
          <w:b/>
          <w:bCs/>
          <w:noProof/>
          <w:sz w:val="20"/>
        </w:rPr>
        <w:t>2002</w:t>
      </w:r>
      <w:r w:rsidRPr="004D453A">
        <w:rPr>
          <w:rFonts w:ascii="Arial" w:hAnsi="Arial" w:cs="Arial"/>
          <w:noProof/>
          <w:sz w:val="20"/>
        </w:rPr>
        <w:t xml:space="preserve">;21:495–505. </w:t>
      </w:r>
    </w:p>
    <w:p w14:paraId="4ED10271"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13. </w:t>
      </w:r>
      <w:r w:rsidRPr="004D453A">
        <w:rPr>
          <w:rFonts w:ascii="Arial" w:hAnsi="Arial" w:cs="Arial"/>
          <w:noProof/>
          <w:sz w:val="20"/>
        </w:rPr>
        <w:tab/>
        <w:t xml:space="preserve">Calder PC. Omega-3 fatty Acids and inflammatory processes. </w:t>
      </w:r>
      <w:r w:rsidRPr="004D453A">
        <w:rPr>
          <w:rFonts w:ascii="Arial" w:hAnsi="Arial" w:cs="Arial"/>
          <w:i/>
          <w:iCs/>
          <w:noProof/>
          <w:sz w:val="20"/>
        </w:rPr>
        <w:t>Nutrients</w:t>
      </w:r>
      <w:r w:rsidRPr="004D453A">
        <w:rPr>
          <w:rFonts w:ascii="Arial" w:hAnsi="Arial" w:cs="Arial"/>
          <w:noProof/>
          <w:sz w:val="20"/>
        </w:rPr>
        <w:t xml:space="preserve"> </w:t>
      </w:r>
      <w:r w:rsidRPr="004D453A">
        <w:rPr>
          <w:rFonts w:ascii="Arial" w:hAnsi="Arial" w:cs="Arial"/>
          <w:b/>
          <w:bCs/>
          <w:noProof/>
          <w:sz w:val="20"/>
        </w:rPr>
        <w:t>2010</w:t>
      </w:r>
      <w:r w:rsidRPr="004D453A">
        <w:rPr>
          <w:rFonts w:ascii="Arial" w:hAnsi="Arial" w:cs="Arial"/>
          <w:noProof/>
          <w:sz w:val="20"/>
        </w:rPr>
        <w:t xml:space="preserve">;2:355–74. </w:t>
      </w:r>
    </w:p>
    <w:p w14:paraId="43579B8B"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14. </w:t>
      </w:r>
      <w:r w:rsidRPr="004D453A">
        <w:rPr>
          <w:rFonts w:ascii="Arial" w:hAnsi="Arial" w:cs="Arial"/>
          <w:noProof/>
          <w:sz w:val="20"/>
        </w:rPr>
        <w:tab/>
        <w:t xml:space="preserve">Govers MJ, Termont DS, Lapré JA, Kleibeuker JH, Vonk RJ, Van der Meer R. Calcium in milk products precipitates intestinal fatty acids and secondary bile acids and thus inhibits colonic cytotoxicity in humans. </w:t>
      </w:r>
      <w:r w:rsidRPr="004D453A">
        <w:rPr>
          <w:rFonts w:ascii="Arial" w:hAnsi="Arial" w:cs="Arial"/>
          <w:i/>
          <w:iCs/>
          <w:noProof/>
          <w:sz w:val="20"/>
        </w:rPr>
        <w:t>Cancer Res</w:t>
      </w:r>
      <w:r w:rsidRPr="004D453A">
        <w:rPr>
          <w:rFonts w:ascii="Arial" w:hAnsi="Arial" w:cs="Arial"/>
          <w:noProof/>
          <w:sz w:val="20"/>
        </w:rPr>
        <w:t xml:space="preserve"> </w:t>
      </w:r>
      <w:r w:rsidRPr="004D453A">
        <w:rPr>
          <w:rFonts w:ascii="Arial" w:hAnsi="Arial" w:cs="Arial"/>
          <w:b/>
          <w:bCs/>
          <w:noProof/>
          <w:sz w:val="20"/>
        </w:rPr>
        <w:t>1996</w:t>
      </w:r>
      <w:r w:rsidRPr="004D453A">
        <w:rPr>
          <w:rFonts w:ascii="Arial" w:hAnsi="Arial" w:cs="Arial"/>
          <w:noProof/>
          <w:sz w:val="20"/>
        </w:rPr>
        <w:t xml:space="preserve">;56:3270–5. </w:t>
      </w:r>
    </w:p>
    <w:p w14:paraId="12F6EBF4"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15. </w:t>
      </w:r>
      <w:r w:rsidRPr="004D453A">
        <w:rPr>
          <w:rFonts w:ascii="Arial" w:hAnsi="Arial" w:cs="Arial"/>
          <w:noProof/>
          <w:sz w:val="20"/>
        </w:rPr>
        <w:tab/>
        <w:t xml:space="preserve">Dash C, Goodman M, Flanders WD, Mink PJ, McCullough ML, Bostick RM. Using pathway-specific comprehensive exposure scores in epidemiology: application to oxidative balance in a pooled case-control study of incident, sporadic colorectal adenomas. </w:t>
      </w:r>
      <w:r w:rsidRPr="004D453A">
        <w:rPr>
          <w:rFonts w:ascii="Arial" w:hAnsi="Arial" w:cs="Arial"/>
          <w:i/>
          <w:iCs/>
          <w:noProof/>
          <w:sz w:val="20"/>
        </w:rPr>
        <w:t>Am J Epidemiol</w:t>
      </w:r>
      <w:r w:rsidRPr="004D453A">
        <w:rPr>
          <w:rFonts w:ascii="Arial" w:hAnsi="Arial" w:cs="Arial"/>
          <w:noProof/>
          <w:sz w:val="20"/>
        </w:rPr>
        <w:t xml:space="preserve"> </w:t>
      </w:r>
      <w:r w:rsidRPr="004D453A">
        <w:rPr>
          <w:rFonts w:ascii="Arial" w:hAnsi="Arial" w:cs="Arial"/>
          <w:b/>
          <w:bCs/>
          <w:noProof/>
          <w:sz w:val="20"/>
        </w:rPr>
        <w:t>2013</w:t>
      </w:r>
      <w:r w:rsidRPr="004D453A">
        <w:rPr>
          <w:rFonts w:ascii="Arial" w:hAnsi="Arial" w:cs="Arial"/>
          <w:noProof/>
          <w:sz w:val="20"/>
        </w:rPr>
        <w:t xml:space="preserve">;178:610–24. </w:t>
      </w:r>
    </w:p>
    <w:p w14:paraId="25C6BBEB"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16. </w:t>
      </w:r>
      <w:r w:rsidRPr="004D453A">
        <w:rPr>
          <w:rFonts w:ascii="Arial" w:hAnsi="Arial" w:cs="Arial"/>
          <w:noProof/>
          <w:sz w:val="20"/>
        </w:rPr>
        <w:tab/>
        <w:t xml:space="preserve">Kratz M, Baars T, Guyenet S. The relationship between high-fat dairy consumption and obesity, cardiovascular, and metabolic disease. </w:t>
      </w:r>
      <w:r w:rsidRPr="004D453A">
        <w:rPr>
          <w:rFonts w:ascii="Arial" w:hAnsi="Arial" w:cs="Arial"/>
          <w:i/>
          <w:iCs/>
          <w:noProof/>
          <w:sz w:val="20"/>
        </w:rPr>
        <w:t>Eur J Nutr</w:t>
      </w:r>
      <w:r w:rsidRPr="004D453A">
        <w:rPr>
          <w:rFonts w:ascii="Arial" w:hAnsi="Arial" w:cs="Arial"/>
          <w:noProof/>
          <w:sz w:val="20"/>
        </w:rPr>
        <w:t xml:space="preserve"> </w:t>
      </w:r>
      <w:r w:rsidRPr="004D453A">
        <w:rPr>
          <w:rFonts w:ascii="Arial" w:hAnsi="Arial" w:cs="Arial"/>
          <w:b/>
          <w:bCs/>
          <w:noProof/>
          <w:sz w:val="20"/>
        </w:rPr>
        <w:t>2013</w:t>
      </w:r>
      <w:r w:rsidRPr="004D453A">
        <w:rPr>
          <w:rFonts w:ascii="Arial" w:hAnsi="Arial" w:cs="Arial"/>
          <w:noProof/>
          <w:sz w:val="20"/>
        </w:rPr>
        <w:t xml:space="preserve">;52:1–24. </w:t>
      </w:r>
    </w:p>
    <w:p w14:paraId="5423FCC3" w14:textId="6EA0BC1F"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17. </w:t>
      </w:r>
      <w:r w:rsidRPr="004D453A">
        <w:rPr>
          <w:rFonts w:ascii="Arial" w:hAnsi="Arial" w:cs="Arial"/>
          <w:noProof/>
          <w:sz w:val="20"/>
        </w:rPr>
        <w:tab/>
        <w:t>Hussain T, Tan B, Liu G, Murtaza G, Rahu N, Saleem M,</w:t>
      </w:r>
      <w:r w:rsidR="00B5606A" w:rsidRPr="004D453A">
        <w:rPr>
          <w:rFonts w:ascii="Arial" w:hAnsi="Arial" w:cs="Arial"/>
          <w:i/>
          <w:noProof/>
          <w:sz w:val="20"/>
        </w:rPr>
        <w:t xml:space="preserve"> et al</w:t>
      </w:r>
      <w:r w:rsidRPr="004D453A">
        <w:rPr>
          <w:rFonts w:ascii="Arial" w:hAnsi="Arial" w:cs="Arial"/>
          <w:noProof/>
          <w:sz w:val="20"/>
        </w:rPr>
        <w:t xml:space="preserve">. Modulatory mechanism of polyphenols and Nrf2 Signaling Pathway in LPS challenged pregnancy disorders. </w:t>
      </w:r>
      <w:r w:rsidRPr="004D453A">
        <w:rPr>
          <w:rFonts w:ascii="Arial" w:hAnsi="Arial" w:cs="Arial"/>
          <w:i/>
          <w:iCs/>
          <w:noProof/>
          <w:sz w:val="20"/>
        </w:rPr>
        <w:t>Oxid Med Cell Longev</w:t>
      </w:r>
      <w:r w:rsidRPr="004D453A">
        <w:rPr>
          <w:rFonts w:ascii="Arial" w:hAnsi="Arial" w:cs="Arial"/>
          <w:noProof/>
          <w:sz w:val="20"/>
        </w:rPr>
        <w:t xml:space="preserve"> </w:t>
      </w:r>
      <w:r w:rsidRPr="004D453A">
        <w:rPr>
          <w:rFonts w:ascii="Arial" w:hAnsi="Arial" w:cs="Arial"/>
          <w:b/>
          <w:bCs/>
          <w:noProof/>
          <w:sz w:val="20"/>
        </w:rPr>
        <w:t>2017</w:t>
      </w:r>
      <w:r w:rsidRPr="004D453A">
        <w:rPr>
          <w:rFonts w:ascii="Arial" w:hAnsi="Arial" w:cs="Arial"/>
          <w:noProof/>
          <w:sz w:val="20"/>
        </w:rPr>
        <w:t xml:space="preserve">;2017:1–14. </w:t>
      </w:r>
    </w:p>
    <w:p w14:paraId="03A4AF3E"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18. </w:t>
      </w:r>
      <w:r w:rsidRPr="004D453A">
        <w:rPr>
          <w:rFonts w:ascii="Arial" w:hAnsi="Arial" w:cs="Arial"/>
          <w:noProof/>
          <w:sz w:val="20"/>
        </w:rPr>
        <w:tab/>
        <w:t xml:space="preserve">Johnson M, Pace RD, Mcelhenney WH. Green leafy vegetables in diets with a 25:1 omega-6/omega-3 fatty acid ratio modify the erythrocyte fatty acid profile of spontaneously hypertensive rats. </w:t>
      </w:r>
      <w:r w:rsidRPr="004D453A">
        <w:rPr>
          <w:rFonts w:ascii="Arial" w:hAnsi="Arial" w:cs="Arial"/>
          <w:i/>
          <w:iCs/>
          <w:noProof/>
          <w:sz w:val="20"/>
        </w:rPr>
        <w:t>Lipids Health Dis</w:t>
      </w:r>
      <w:r w:rsidRPr="004D453A">
        <w:rPr>
          <w:rFonts w:ascii="Arial" w:hAnsi="Arial" w:cs="Arial"/>
          <w:noProof/>
          <w:sz w:val="20"/>
        </w:rPr>
        <w:t xml:space="preserve"> </w:t>
      </w:r>
      <w:r w:rsidRPr="004D453A">
        <w:rPr>
          <w:rFonts w:ascii="Arial" w:hAnsi="Arial" w:cs="Arial"/>
          <w:b/>
          <w:bCs/>
          <w:noProof/>
          <w:sz w:val="20"/>
        </w:rPr>
        <w:t>2018</w:t>
      </w:r>
      <w:r w:rsidRPr="004D453A">
        <w:rPr>
          <w:rFonts w:ascii="Arial" w:hAnsi="Arial" w:cs="Arial"/>
          <w:noProof/>
          <w:sz w:val="20"/>
        </w:rPr>
        <w:t xml:space="preserve">;17. </w:t>
      </w:r>
    </w:p>
    <w:p w14:paraId="5FE38E4D"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19. </w:t>
      </w:r>
      <w:r w:rsidRPr="004D453A">
        <w:rPr>
          <w:rFonts w:ascii="Arial" w:hAnsi="Arial" w:cs="Arial"/>
          <w:noProof/>
          <w:sz w:val="20"/>
        </w:rPr>
        <w:tab/>
        <w:t xml:space="preserve">Sommerburg O, Keunen JE, Bird AC, van Kuijk FJ. Fruits and vegetables that are sources for lutein and zeaxanthin: the macular pigment in human eyes. </w:t>
      </w:r>
      <w:r w:rsidRPr="004D453A">
        <w:rPr>
          <w:rFonts w:ascii="Arial" w:hAnsi="Arial" w:cs="Arial"/>
          <w:i/>
          <w:iCs/>
          <w:noProof/>
          <w:sz w:val="20"/>
        </w:rPr>
        <w:t>Br J Ophthalmol</w:t>
      </w:r>
      <w:r w:rsidRPr="004D453A">
        <w:rPr>
          <w:rFonts w:ascii="Arial" w:hAnsi="Arial" w:cs="Arial"/>
          <w:noProof/>
          <w:sz w:val="20"/>
        </w:rPr>
        <w:t xml:space="preserve"> </w:t>
      </w:r>
      <w:r w:rsidRPr="004D453A">
        <w:rPr>
          <w:rFonts w:ascii="Arial" w:hAnsi="Arial" w:cs="Arial"/>
          <w:b/>
          <w:bCs/>
          <w:noProof/>
          <w:sz w:val="20"/>
        </w:rPr>
        <w:t>1998</w:t>
      </w:r>
      <w:r w:rsidRPr="004D453A">
        <w:rPr>
          <w:rFonts w:ascii="Arial" w:hAnsi="Arial" w:cs="Arial"/>
          <w:noProof/>
          <w:sz w:val="20"/>
        </w:rPr>
        <w:t xml:space="preserve">;82:907–10. </w:t>
      </w:r>
    </w:p>
    <w:p w14:paraId="37D70354"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20. </w:t>
      </w:r>
      <w:r w:rsidRPr="004D453A">
        <w:rPr>
          <w:rFonts w:ascii="Arial" w:hAnsi="Arial" w:cs="Arial"/>
          <w:noProof/>
          <w:sz w:val="20"/>
        </w:rPr>
        <w:tab/>
        <w:t xml:space="preserve">Brown AA, Hu FB. Dietary modulation of endothelial function: implications for cardiovascular disease. </w:t>
      </w:r>
      <w:r w:rsidRPr="004D453A">
        <w:rPr>
          <w:rFonts w:ascii="Arial" w:hAnsi="Arial" w:cs="Arial"/>
          <w:i/>
          <w:iCs/>
          <w:noProof/>
          <w:sz w:val="20"/>
        </w:rPr>
        <w:t>Am J Clin Nutr</w:t>
      </w:r>
      <w:r w:rsidRPr="004D453A">
        <w:rPr>
          <w:rFonts w:ascii="Arial" w:hAnsi="Arial" w:cs="Arial"/>
          <w:noProof/>
          <w:sz w:val="20"/>
        </w:rPr>
        <w:t xml:space="preserve"> </w:t>
      </w:r>
      <w:r w:rsidRPr="004D453A">
        <w:rPr>
          <w:rFonts w:ascii="Arial" w:hAnsi="Arial" w:cs="Arial"/>
          <w:b/>
          <w:bCs/>
          <w:noProof/>
          <w:sz w:val="20"/>
        </w:rPr>
        <w:t>2001</w:t>
      </w:r>
      <w:r w:rsidRPr="004D453A">
        <w:rPr>
          <w:rFonts w:ascii="Arial" w:hAnsi="Arial" w:cs="Arial"/>
          <w:noProof/>
          <w:sz w:val="20"/>
        </w:rPr>
        <w:t xml:space="preserve">;73:673–86. </w:t>
      </w:r>
    </w:p>
    <w:p w14:paraId="4EA781CF"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21. </w:t>
      </w:r>
      <w:r w:rsidRPr="004D453A">
        <w:rPr>
          <w:rFonts w:ascii="Arial" w:hAnsi="Arial" w:cs="Arial"/>
          <w:noProof/>
          <w:sz w:val="20"/>
        </w:rPr>
        <w:tab/>
        <w:t xml:space="preserve">Guardia T, Rotelli AE, Juarez AO, Pelzer LE. Anti-inflammatory properties of plant flavonoids. Effects of rutin, quercetin and hesperidin on adjuvant arthritis in rat. </w:t>
      </w:r>
      <w:r w:rsidRPr="004D453A">
        <w:rPr>
          <w:rFonts w:ascii="Arial" w:hAnsi="Arial" w:cs="Arial"/>
          <w:i/>
          <w:iCs/>
          <w:noProof/>
          <w:sz w:val="20"/>
        </w:rPr>
        <w:t>Farmaco</w:t>
      </w:r>
      <w:r w:rsidRPr="004D453A">
        <w:rPr>
          <w:rFonts w:ascii="Arial" w:hAnsi="Arial" w:cs="Arial"/>
          <w:noProof/>
          <w:sz w:val="20"/>
        </w:rPr>
        <w:t xml:space="preserve"> </w:t>
      </w:r>
      <w:r w:rsidRPr="004D453A">
        <w:rPr>
          <w:rFonts w:ascii="Arial" w:hAnsi="Arial" w:cs="Arial"/>
          <w:b/>
          <w:bCs/>
          <w:noProof/>
          <w:sz w:val="20"/>
        </w:rPr>
        <w:t>2001</w:t>
      </w:r>
      <w:r w:rsidRPr="004D453A">
        <w:rPr>
          <w:rFonts w:ascii="Arial" w:hAnsi="Arial" w:cs="Arial"/>
          <w:noProof/>
          <w:sz w:val="20"/>
        </w:rPr>
        <w:t xml:space="preserve">;56:683–7. </w:t>
      </w:r>
    </w:p>
    <w:p w14:paraId="0B2BC94E"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22. </w:t>
      </w:r>
      <w:r w:rsidRPr="004D453A">
        <w:rPr>
          <w:rFonts w:ascii="Arial" w:hAnsi="Arial" w:cs="Arial"/>
          <w:noProof/>
          <w:sz w:val="20"/>
        </w:rPr>
        <w:tab/>
        <w:t xml:space="preserve">Obeid R, Kirsch SH, Kasoha M, Eckert R, Herrmann W. Concentrations of unmetabolized folic </w:t>
      </w:r>
      <w:r w:rsidRPr="004D453A">
        <w:rPr>
          <w:rFonts w:ascii="Arial" w:hAnsi="Arial" w:cs="Arial"/>
          <w:noProof/>
          <w:sz w:val="20"/>
        </w:rPr>
        <w:lastRenderedPageBreak/>
        <w:t xml:space="preserve">acid and primary folate forms in plasma after folic acid treatment in older adults. </w:t>
      </w:r>
      <w:r w:rsidRPr="004D453A">
        <w:rPr>
          <w:rFonts w:ascii="Arial" w:hAnsi="Arial" w:cs="Arial"/>
          <w:i/>
          <w:iCs/>
          <w:noProof/>
          <w:sz w:val="20"/>
        </w:rPr>
        <w:t>Metabolism</w:t>
      </w:r>
      <w:r w:rsidRPr="004D453A">
        <w:rPr>
          <w:rFonts w:ascii="Arial" w:hAnsi="Arial" w:cs="Arial"/>
          <w:noProof/>
          <w:sz w:val="20"/>
        </w:rPr>
        <w:t xml:space="preserve"> </w:t>
      </w:r>
      <w:r w:rsidRPr="004D453A">
        <w:rPr>
          <w:rFonts w:ascii="Arial" w:hAnsi="Arial" w:cs="Arial"/>
          <w:b/>
          <w:bCs/>
          <w:noProof/>
          <w:sz w:val="20"/>
        </w:rPr>
        <w:t>2011</w:t>
      </w:r>
      <w:r w:rsidRPr="004D453A">
        <w:rPr>
          <w:rFonts w:ascii="Arial" w:hAnsi="Arial" w:cs="Arial"/>
          <w:noProof/>
          <w:sz w:val="20"/>
        </w:rPr>
        <w:t xml:space="preserve">;60:673–80. </w:t>
      </w:r>
    </w:p>
    <w:p w14:paraId="29D6666A" w14:textId="275DE7E0"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23. </w:t>
      </w:r>
      <w:r w:rsidRPr="004D453A">
        <w:rPr>
          <w:rFonts w:ascii="Arial" w:hAnsi="Arial" w:cs="Arial"/>
          <w:noProof/>
          <w:sz w:val="20"/>
        </w:rPr>
        <w:tab/>
        <w:t>Kelly K, Kennelly J, Ordonez M, Nelson R, Leonard K, Stabler S,</w:t>
      </w:r>
      <w:r w:rsidR="00B5606A" w:rsidRPr="004D453A">
        <w:rPr>
          <w:rFonts w:ascii="Arial" w:hAnsi="Arial" w:cs="Arial"/>
          <w:i/>
          <w:noProof/>
          <w:sz w:val="20"/>
        </w:rPr>
        <w:t xml:space="preserve"> et al</w:t>
      </w:r>
      <w:r w:rsidRPr="004D453A">
        <w:rPr>
          <w:rFonts w:ascii="Arial" w:hAnsi="Arial" w:cs="Arial"/>
          <w:noProof/>
          <w:sz w:val="20"/>
        </w:rPr>
        <w:t xml:space="preserve">. Excess folic acid increases lipid storage, weight gain, and adipose tissue inflammation in high fat diet-fed rats. </w:t>
      </w:r>
      <w:r w:rsidRPr="004D453A">
        <w:rPr>
          <w:rFonts w:ascii="Arial" w:hAnsi="Arial" w:cs="Arial"/>
          <w:i/>
          <w:iCs/>
          <w:noProof/>
          <w:sz w:val="20"/>
        </w:rPr>
        <w:t>Nutrients</w:t>
      </w:r>
      <w:r w:rsidRPr="004D453A">
        <w:rPr>
          <w:rFonts w:ascii="Arial" w:hAnsi="Arial" w:cs="Arial"/>
          <w:noProof/>
          <w:sz w:val="20"/>
        </w:rPr>
        <w:t xml:space="preserve"> </w:t>
      </w:r>
      <w:r w:rsidRPr="004D453A">
        <w:rPr>
          <w:rFonts w:ascii="Arial" w:hAnsi="Arial" w:cs="Arial"/>
          <w:b/>
          <w:bCs/>
          <w:noProof/>
          <w:sz w:val="20"/>
        </w:rPr>
        <w:t>2016</w:t>
      </w:r>
      <w:r w:rsidRPr="004D453A">
        <w:rPr>
          <w:rFonts w:ascii="Arial" w:hAnsi="Arial" w:cs="Arial"/>
          <w:noProof/>
          <w:sz w:val="20"/>
        </w:rPr>
        <w:t xml:space="preserve">;8:594. </w:t>
      </w:r>
    </w:p>
    <w:p w14:paraId="2123C960"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24. </w:t>
      </w:r>
      <w:r w:rsidRPr="004D453A">
        <w:rPr>
          <w:rFonts w:ascii="Arial" w:hAnsi="Arial" w:cs="Arial"/>
          <w:noProof/>
          <w:sz w:val="20"/>
        </w:rPr>
        <w:tab/>
        <w:t xml:space="preserve">Du S-Y, Zhang Y-L, Bai R-X, Ai Z-L, Xie B-S, Yang H-Y. Lutein prevents alcohol-induced liver disease in rats by modulating oxidative stress and inflammation. </w:t>
      </w:r>
      <w:r w:rsidRPr="004D453A">
        <w:rPr>
          <w:rFonts w:ascii="Arial" w:hAnsi="Arial" w:cs="Arial"/>
          <w:i/>
          <w:iCs/>
          <w:noProof/>
          <w:sz w:val="20"/>
        </w:rPr>
        <w:t>Int J Clin Exp Med</w:t>
      </w:r>
      <w:r w:rsidRPr="004D453A">
        <w:rPr>
          <w:rFonts w:ascii="Arial" w:hAnsi="Arial" w:cs="Arial"/>
          <w:noProof/>
          <w:sz w:val="20"/>
        </w:rPr>
        <w:t xml:space="preserve"> </w:t>
      </w:r>
      <w:r w:rsidRPr="004D453A">
        <w:rPr>
          <w:rFonts w:ascii="Arial" w:hAnsi="Arial" w:cs="Arial"/>
          <w:b/>
          <w:bCs/>
          <w:noProof/>
          <w:sz w:val="20"/>
        </w:rPr>
        <w:t>2015</w:t>
      </w:r>
      <w:r w:rsidRPr="004D453A">
        <w:rPr>
          <w:rFonts w:ascii="Arial" w:hAnsi="Arial" w:cs="Arial"/>
          <w:noProof/>
          <w:sz w:val="20"/>
        </w:rPr>
        <w:t xml:space="preserve">;8:8785–93. </w:t>
      </w:r>
    </w:p>
    <w:p w14:paraId="74F12BAF"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25. </w:t>
      </w:r>
      <w:r w:rsidRPr="004D453A">
        <w:rPr>
          <w:rFonts w:ascii="Arial" w:hAnsi="Arial" w:cs="Arial"/>
          <w:noProof/>
          <w:sz w:val="20"/>
        </w:rPr>
        <w:tab/>
        <w:t xml:space="preserve">Wang M-X, Jiao J-H, Li Z-Y, Liu R-R, Shi Q, Ma L. Lutein supplementation reduces plasma lipid peroxidation and C-reactive protein in healthy nonsmokers. </w:t>
      </w:r>
      <w:r w:rsidRPr="004D453A">
        <w:rPr>
          <w:rFonts w:ascii="Arial" w:hAnsi="Arial" w:cs="Arial"/>
          <w:i/>
          <w:iCs/>
          <w:noProof/>
          <w:sz w:val="20"/>
        </w:rPr>
        <w:t>Atherosclerosis</w:t>
      </w:r>
      <w:r w:rsidRPr="004D453A">
        <w:rPr>
          <w:rFonts w:ascii="Arial" w:hAnsi="Arial" w:cs="Arial"/>
          <w:noProof/>
          <w:sz w:val="20"/>
        </w:rPr>
        <w:t xml:space="preserve"> </w:t>
      </w:r>
      <w:r w:rsidRPr="004D453A">
        <w:rPr>
          <w:rFonts w:ascii="Arial" w:hAnsi="Arial" w:cs="Arial"/>
          <w:b/>
          <w:bCs/>
          <w:noProof/>
          <w:sz w:val="20"/>
        </w:rPr>
        <w:t>2013</w:t>
      </w:r>
      <w:r w:rsidRPr="004D453A">
        <w:rPr>
          <w:rFonts w:ascii="Arial" w:hAnsi="Arial" w:cs="Arial"/>
          <w:noProof/>
          <w:sz w:val="20"/>
        </w:rPr>
        <w:t xml:space="preserve">;227:380–5. </w:t>
      </w:r>
    </w:p>
    <w:p w14:paraId="6325C12C"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26. </w:t>
      </w:r>
      <w:r w:rsidRPr="004D453A">
        <w:rPr>
          <w:rFonts w:ascii="Arial" w:hAnsi="Arial" w:cs="Arial"/>
          <w:noProof/>
          <w:sz w:val="20"/>
        </w:rPr>
        <w:tab/>
        <w:t xml:space="preserve">Johnson EJ. Role of lutein and zeaxanthin in visual and cognitive function throughout the lifespan. </w:t>
      </w:r>
      <w:r w:rsidRPr="004D453A">
        <w:rPr>
          <w:rFonts w:ascii="Arial" w:hAnsi="Arial" w:cs="Arial"/>
          <w:i/>
          <w:iCs/>
          <w:noProof/>
          <w:sz w:val="20"/>
        </w:rPr>
        <w:t>Nutr Rev</w:t>
      </w:r>
      <w:r w:rsidRPr="004D453A">
        <w:rPr>
          <w:rFonts w:ascii="Arial" w:hAnsi="Arial" w:cs="Arial"/>
          <w:noProof/>
          <w:sz w:val="20"/>
        </w:rPr>
        <w:t xml:space="preserve"> </w:t>
      </w:r>
      <w:r w:rsidRPr="004D453A">
        <w:rPr>
          <w:rFonts w:ascii="Arial" w:hAnsi="Arial" w:cs="Arial"/>
          <w:b/>
          <w:bCs/>
          <w:noProof/>
          <w:sz w:val="20"/>
        </w:rPr>
        <w:t>2014</w:t>
      </w:r>
      <w:r w:rsidRPr="004D453A">
        <w:rPr>
          <w:rFonts w:ascii="Arial" w:hAnsi="Arial" w:cs="Arial"/>
          <w:noProof/>
          <w:sz w:val="20"/>
        </w:rPr>
        <w:t xml:space="preserve">;72:605–12. </w:t>
      </w:r>
    </w:p>
    <w:p w14:paraId="3A70A4B4"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27. </w:t>
      </w:r>
      <w:r w:rsidRPr="004D453A">
        <w:rPr>
          <w:rFonts w:ascii="Arial" w:hAnsi="Arial" w:cs="Arial"/>
          <w:noProof/>
          <w:sz w:val="20"/>
        </w:rPr>
        <w:tab/>
        <w:t xml:space="preserve">Nidhi B, Sharavana G, Ramaprasad TR, Vallikannan B. Lutein derived fragments exhibit higher antioxidant and anti-inflammatory properties than lutein in lipopolysaccharide induced inflammation in rats. </w:t>
      </w:r>
      <w:r w:rsidRPr="004D453A">
        <w:rPr>
          <w:rFonts w:ascii="Arial" w:hAnsi="Arial" w:cs="Arial"/>
          <w:i/>
          <w:iCs/>
          <w:noProof/>
          <w:sz w:val="20"/>
        </w:rPr>
        <w:t>Food Funct</w:t>
      </w:r>
      <w:r w:rsidRPr="004D453A">
        <w:rPr>
          <w:rFonts w:ascii="Arial" w:hAnsi="Arial" w:cs="Arial"/>
          <w:noProof/>
          <w:sz w:val="20"/>
        </w:rPr>
        <w:t xml:space="preserve"> </w:t>
      </w:r>
      <w:r w:rsidRPr="004D453A">
        <w:rPr>
          <w:rFonts w:ascii="Arial" w:hAnsi="Arial" w:cs="Arial"/>
          <w:b/>
          <w:bCs/>
          <w:noProof/>
          <w:sz w:val="20"/>
        </w:rPr>
        <w:t>2015</w:t>
      </w:r>
      <w:r w:rsidRPr="004D453A">
        <w:rPr>
          <w:rFonts w:ascii="Arial" w:hAnsi="Arial" w:cs="Arial"/>
          <w:noProof/>
          <w:sz w:val="20"/>
        </w:rPr>
        <w:t xml:space="preserve">;6:450–60. </w:t>
      </w:r>
    </w:p>
    <w:p w14:paraId="0E6B6090" w14:textId="58954488"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28. </w:t>
      </w:r>
      <w:r w:rsidRPr="004D453A">
        <w:rPr>
          <w:rFonts w:ascii="Arial" w:hAnsi="Arial" w:cs="Arial"/>
          <w:noProof/>
          <w:sz w:val="20"/>
        </w:rPr>
        <w:tab/>
        <w:t>Hartman TJ, Albert PS, Zhang Z, Bagshaw D, Kris-Etherton PM, Ulbrecht J,</w:t>
      </w:r>
      <w:r w:rsidR="00B5606A" w:rsidRPr="004D453A">
        <w:rPr>
          <w:rFonts w:ascii="Arial" w:hAnsi="Arial" w:cs="Arial"/>
          <w:i/>
          <w:noProof/>
          <w:sz w:val="20"/>
        </w:rPr>
        <w:t xml:space="preserve"> et al</w:t>
      </w:r>
      <w:r w:rsidRPr="004D453A">
        <w:rPr>
          <w:rFonts w:ascii="Arial" w:hAnsi="Arial" w:cs="Arial"/>
          <w:noProof/>
          <w:sz w:val="20"/>
        </w:rPr>
        <w:t xml:space="preserve">. Consumption of a legume-enriched, low-glycemic index diet is associated with biomarkers of insulin resistance and inflammation among men at risk for colorectal cancer. </w:t>
      </w:r>
      <w:r w:rsidRPr="004D453A">
        <w:rPr>
          <w:rFonts w:ascii="Arial" w:hAnsi="Arial" w:cs="Arial"/>
          <w:i/>
          <w:iCs/>
          <w:noProof/>
          <w:sz w:val="20"/>
        </w:rPr>
        <w:t>J Nutr</w:t>
      </w:r>
      <w:r w:rsidRPr="004D453A">
        <w:rPr>
          <w:rFonts w:ascii="Arial" w:hAnsi="Arial" w:cs="Arial"/>
          <w:noProof/>
          <w:sz w:val="20"/>
        </w:rPr>
        <w:t xml:space="preserve"> </w:t>
      </w:r>
      <w:r w:rsidRPr="004D453A">
        <w:rPr>
          <w:rFonts w:ascii="Arial" w:hAnsi="Arial" w:cs="Arial"/>
          <w:b/>
          <w:bCs/>
          <w:noProof/>
          <w:sz w:val="20"/>
        </w:rPr>
        <w:t>2010</w:t>
      </w:r>
      <w:r w:rsidRPr="004D453A">
        <w:rPr>
          <w:rFonts w:ascii="Arial" w:hAnsi="Arial" w:cs="Arial"/>
          <w:noProof/>
          <w:sz w:val="20"/>
        </w:rPr>
        <w:t xml:space="preserve">;140:60–7. </w:t>
      </w:r>
    </w:p>
    <w:p w14:paraId="48643F9E"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29. </w:t>
      </w:r>
      <w:r w:rsidRPr="004D453A">
        <w:rPr>
          <w:rFonts w:ascii="Arial" w:hAnsi="Arial" w:cs="Arial"/>
          <w:noProof/>
          <w:sz w:val="20"/>
        </w:rPr>
        <w:tab/>
        <w:t xml:space="preserve">Wall R, Ross RP, Fitzgerald GF, Stanton C. Fatty acids from fish: the anti-inflammatory potential of long-chain omega-3 fatty acids. </w:t>
      </w:r>
      <w:r w:rsidRPr="004D453A">
        <w:rPr>
          <w:rFonts w:ascii="Arial" w:hAnsi="Arial" w:cs="Arial"/>
          <w:i/>
          <w:iCs/>
          <w:noProof/>
          <w:sz w:val="20"/>
        </w:rPr>
        <w:t>Nutr Rev</w:t>
      </w:r>
      <w:r w:rsidRPr="004D453A">
        <w:rPr>
          <w:rFonts w:ascii="Arial" w:hAnsi="Arial" w:cs="Arial"/>
          <w:noProof/>
          <w:sz w:val="20"/>
        </w:rPr>
        <w:t xml:space="preserve"> </w:t>
      </w:r>
      <w:r w:rsidRPr="004D453A">
        <w:rPr>
          <w:rFonts w:ascii="Arial" w:hAnsi="Arial" w:cs="Arial"/>
          <w:b/>
          <w:bCs/>
          <w:noProof/>
          <w:sz w:val="20"/>
        </w:rPr>
        <w:t>2010</w:t>
      </w:r>
      <w:r w:rsidRPr="004D453A">
        <w:rPr>
          <w:rFonts w:ascii="Arial" w:hAnsi="Arial" w:cs="Arial"/>
          <w:noProof/>
          <w:sz w:val="20"/>
        </w:rPr>
        <w:t xml:space="preserve">;68:280–9. </w:t>
      </w:r>
    </w:p>
    <w:p w14:paraId="48E958EE"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30. </w:t>
      </w:r>
      <w:r w:rsidRPr="004D453A">
        <w:rPr>
          <w:rFonts w:ascii="Arial" w:hAnsi="Arial" w:cs="Arial"/>
          <w:noProof/>
          <w:sz w:val="20"/>
        </w:rPr>
        <w:tab/>
        <w:t xml:space="preserve">Casas-Agustench P, Bulló M, Salas-Salvadó J. Nuts, inflammation and insulin resistance. </w:t>
      </w:r>
      <w:r w:rsidRPr="004D453A">
        <w:rPr>
          <w:rFonts w:ascii="Arial" w:hAnsi="Arial" w:cs="Arial"/>
          <w:i/>
          <w:iCs/>
          <w:noProof/>
          <w:sz w:val="20"/>
        </w:rPr>
        <w:t>Asia Pac J Clin Nutr</w:t>
      </w:r>
      <w:r w:rsidRPr="004D453A">
        <w:rPr>
          <w:rFonts w:ascii="Arial" w:hAnsi="Arial" w:cs="Arial"/>
          <w:noProof/>
          <w:sz w:val="20"/>
        </w:rPr>
        <w:t xml:space="preserve"> </w:t>
      </w:r>
      <w:r w:rsidRPr="004D453A">
        <w:rPr>
          <w:rFonts w:ascii="Arial" w:hAnsi="Arial" w:cs="Arial"/>
          <w:b/>
          <w:bCs/>
          <w:noProof/>
          <w:sz w:val="20"/>
        </w:rPr>
        <w:t>2010</w:t>
      </w:r>
      <w:r w:rsidRPr="004D453A">
        <w:rPr>
          <w:rFonts w:ascii="Arial" w:hAnsi="Arial" w:cs="Arial"/>
          <w:noProof/>
          <w:sz w:val="20"/>
        </w:rPr>
        <w:t xml:space="preserve">;19:124–30. </w:t>
      </w:r>
    </w:p>
    <w:p w14:paraId="3B0575B5"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31. </w:t>
      </w:r>
      <w:r w:rsidRPr="004D453A">
        <w:rPr>
          <w:rFonts w:ascii="Arial" w:hAnsi="Arial" w:cs="Arial"/>
          <w:noProof/>
          <w:sz w:val="20"/>
        </w:rPr>
        <w:tab/>
        <w:t xml:space="preserve">Ghanim H, Mohanty P, Pathak R, Chaudhuri A, Chang LS, Dandona P. Orange juice or fructose intake does not induce oxidative and inflammatory response. </w:t>
      </w:r>
      <w:r w:rsidRPr="004D453A">
        <w:rPr>
          <w:rFonts w:ascii="Arial" w:hAnsi="Arial" w:cs="Arial"/>
          <w:i/>
          <w:iCs/>
          <w:noProof/>
          <w:sz w:val="20"/>
        </w:rPr>
        <w:t>Diabetes Care</w:t>
      </w:r>
      <w:r w:rsidRPr="004D453A">
        <w:rPr>
          <w:rFonts w:ascii="Arial" w:hAnsi="Arial" w:cs="Arial"/>
          <w:noProof/>
          <w:sz w:val="20"/>
        </w:rPr>
        <w:t xml:space="preserve"> </w:t>
      </w:r>
      <w:r w:rsidRPr="004D453A">
        <w:rPr>
          <w:rFonts w:ascii="Arial" w:hAnsi="Arial" w:cs="Arial"/>
          <w:b/>
          <w:bCs/>
          <w:noProof/>
          <w:sz w:val="20"/>
        </w:rPr>
        <w:t>2007</w:t>
      </w:r>
      <w:r w:rsidRPr="004D453A">
        <w:rPr>
          <w:rFonts w:ascii="Arial" w:hAnsi="Arial" w:cs="Arial"/>
          <w:noProof/>
          <w:sz w:val="20"/>
        </w:rPr>
        <w:t xml:space="preserve">;30:1406–11. </w:t>
      </w:r>
    </w:p>
    <w:p w14:paraId="5B817306" w14:textId="7172EC2C"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32. </w:t>
      </w:r>
      <w:r w:rsidRPr="004D453A">
        <w:rPr>
          <w:rFonts w:ascii="Arial" w:hAnsi="Arial" w:cs="Arial"/>
          <w:noProof/>
          <w:sz w:val="20"/>
        </w:rPr>
        <w:tab/>
        <w:t>Knekt P, Kumpulainen J, Järvinen R, Rissanen H, Heliövaara M, Reunanen A,</w:t>
      </w:r>
      <w:r w:rsidR="00B5606A" w:rsidRPr="004D453A">
        <w:rPr>
          <w:rFonts w:ascii="Arial" w:hAnsi="Arial" w:cs="Arial"/>
          <w:i/>
          <w:noProof/>
          <w:sz w:val="20"/>
        </w:rPr>
        <w:t xml:space="preserve"> et al</w:t>
      </w:r>
      <w:r w:rsidRPr="004D453A">
        <w:rPr>
          <w:rFonts w:ascii="Arial" w:hAnsi="Arial" w:cs="Arial"/>
          <w:noProof/>
          <w:sz w:val="20"/>
        </w:rPr>
        <w:t xml:space="preserve">. Flavonoid intake and risk of chronic diseases. </w:t>
      </w:r>
      <w:r w:rsidRPr="004D453A">
        <w:rPr>
          <w:rFonts w:ascii="Arial" w:hAnsi="Arial" w:cs="Arial"/>
          <w:i/>
          <w:iCs/>
          <w:noProof/>
          <w:sz w:val="20"/>
        </w:rPr>
        <w:t>Am J Clin Nutr</w:t>
      </w:r>
      <w:r w:rsidRPr="004D453A">
        <w:rPr>
          <w:rFonts w:ascii="Arial" w:hAnsi="Arial" w:cs="Arial"/>
          <w:noProof/>
          <w:sz w:val="20"/>
        </w:rPr>
        <w:t xml:space="preserve"> </w:t>
      </w:r>
      <w:r w:rsidRPr="004D453A">
        <w:rPr>
          <w:rFonts w:ascii="Arial" w:hAnsi="Arial" w:cs="Arial"/>
          <w:b/>
          <w:bCs/>
          <w:noProof/>
          <w:sz w:val="20"/>
        </w:rPr>
        <w:t>2002</w:t>
      </w:r>
      <w:r w:rsidRPr="004D453A">
        <w:rPr>
          <w:rFonts w:ascii="Arial" w:hAnsi="Arial" w:cs="Arial"/>
          <w:noProof/>
          <w:sz w:val="20"/>
        </w:rPr>
        <w:t xml:space="preserve">;76:560–8. </w:t>
      </w:r>
    </w:p>
    <w:p w14:paraId="102697F5" w14:textId="60DB3ADC"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33. </w:t>
      </w:r>
      <w:r w:rsidRPr="004D453A">
        <w:rPr>
          <w:rFonts w:ascii="Arial" w:hAnsi="Arial" w:cs="Arial"/>
          <w:noProof/>
          <w:sz w:val="20"/>
        </w:rPr>
        <w:tab/>
        <w:t>Fortis-Barrera Á, Alarcón-Aguilar FJ, Banderas-Dorantes T, Díaz-Flores M, Román-Ramos R, Cruz M,</w:t>
      </w:r>
      <w:r w:rsidR="00B5606A" w:rsidRPr="004D453A">
        <w:rPr>
          <w:rFonts w:ascii="Arial" w:hAnsi="Arial" w:cs="Arial"/>
          <w:i/>
          <w:noProof/>
          <w:sz w:val="20"/>
        </w:rPr>
        <w:t xml:space="preserve"> et al</w:t>
      </w:r>
      <w:r w:rsidRPr="004D453A">
        <w:rPr>
          <w:rFonts w:ascii="Arial" w:hAnsi="Arial" w:cs="Arial"/>
          <w:noProof/>
          <w:sz w:val="20"/>
        </w:rPr>
        <w:t xml:space="preserve">. Cucurbita ficifolia Bouché (Cucurbitaceae) and D-chiro-inositol modulate the redox state and inflammation in 3T3-L1 adipocytes. </w:t>
      </w:r>
      <w:r w:rsidRPr="004D453A">
        <w:rPr>
          <w:rFonts w:ascii="Arial" w:hAnsi="Arial" w:cs="Arial"/>
          <w:i/>
          <w:iCs/>
          <w:noProof/>
          <w:sz w:val="20"/>
        </w:rPr>
        <w:t>J Pharm Pharmacol</w:t>
      </w:r>
      <w:r w:rsidRPr="004D453A">
        <w:rPr>
          <w:rFonts w:ascii="Arial" w:hAnsi="Arial" w:cs="Arial"/>
          <w:noProof/>
          <w:sz w:val="20"/>
        </w:rPr>
        <w:t xml:space="preserve"> </w:t>
      </w:r>
      <w:r w:rsidRPr="004D453A">
        <w:rPr>
          <w:rFonts w:ascii="Arial" w:hAnsi="Arial" w:cs="Arial"/>
          <w:b/>
          <w:bCs/>
          <w:noProof/>
          <w:sz w:val="20"/>
        </w:rPr>
        <w:t>2013</w:t>
      </w:r>
      <w:r w:rsidRPr="004D453A">
        <w:rPr>
          <w:rFonts w:ascii="Arial" w:hAnsi="Arial" w:cs="Arial"/>
          <w:noProof/>
          <w:sz w:val="20"/>
        </w:rPr>
        <w:t xml:space="preserve">;65:1563–76. </w:t>
      </w:r>
    </w:p>
    <w:p w14:paraId="33A03F43"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34. </w:t>
      </w:r>
      <w:r w:rsidRPr="004D453A">
        <w:rPr>
          <w:rFonts w:ascii="Arial" w:hAnsi="Arial" w:cs="Arial"/>
          <w:noProof/>
          <w:sz w:val="20"/>
        </w:rPr>
        <w:tab/>
        <w:t xml:space="preserve">Sharma D, Rawat I, Goel HC. Anticancer and anti-inflammatory activities of some dietary cucurbits. </w:t>
      </w:r>
      <w:r w:rsidRPr="004D453A">
        <w:rPr>
          <w:rFonts w:ascii="Arial" w:hAnsi="Arial" w:cs="Arial"/>
          <w:i/>
          <w:iCs/>
          <w:noProof/>
          <w:sz w:val="20"/>
        </w:rPr>
        <w:t>Indian J Exp Biol</w:t>
      </w:r>
      <w:r w:rsidRPr="004D453A">
        <w:rPr>
          <w:rFonts w:ascii="Arial" w:hAnsi="Arial" w:cs="Arial"/>
          <w:noProof/>
          <w:sz w:val="20"/>
        </w:rPr>
        <w:t xml:space="preserve"> </w:t>
      </w:r>
      <w:r w:rsidRPr="004D453A">
        <w:rPr>
          <w:rFonts w:ascii="Arial" w:hAnsi="Arial" w:cs="Arial"/>
          <w:b/>
          <w:bCs/>
          <w:noProof/>
          <w:sz w:val="20"/>
        </w:rPr>
        <w:t>2015</w:t>
      </w:r>
      <w:r w:rsidRPr="004D453A">
        <w:rPr>
          <w:rFonts w:ascii="Arial" w:hAnsi="Arial" w:cs="Arial"/>
          <w:noProof/>
          <w:sz w:val="20"/>
        </w:rPr>
        <w:t xml:space="preserve">;53:216–21. </w:t>
      </w:r>
    </w:p>
    <w:p w14:paraId="25A7BC17"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35. </w:t>
      </w:r>
      <w:r w:rsidRPr="004D453A">
        <w:rPr>
          <w:rFonts w:ascii="Arial" w:hAnsi="Arial" w:cs="Arial"/>
          <w:noProof/>
          <w:sz w:val="20"/>
        </w:rPr>
        <w:tab/>
        <w:t xml:space="preserve">Hale LP, Chichlowski M, Trinh CT, Greer PK. Dietary supplementation with fresh pineapple juice decreases inflammation and colonic neoplasia in IL-10-deficient mice with colitis. </w:t>
      </w:r>
      <w:r w:rsidRPr="004D453A">
        <w:rPr>
          <w:rFonts w:ascii="Arial" w:hAnsi="Arial" w:cs="Arial"/>
          <w:i/>
          <w:iCs/>
          <w:noProof/>
          <w:sz w:val="20"/>
        </w:rPr>
        <w:t>Inflamm Bowel Dis</w:t>
      </w:r>
      <w:r w:rsidRPr="004D453A">
        <w:rPr>
          <w:rFonts w:ascii="Arial" w:hAnsi="Arial" w:cs="Arial"/>
          <w:noProof/>
          <w:sz w:val="20"/>
        </w:rPr>
        <w:t xml:space="preserve"> </w:t>
      </w:r>
      <w:r w:rsidRPr="004D453A">
        <w:rPr>
          <w:rFonts w:ascii="Arial" w:hAnsi="Arial" w:cs="Arial"/>
          <w:b/>
          <w:bCs/>
          <w:noProof/>
          <w:sz w:val="20"/>
        </w:rPr>
        <w:t>2010</w:t>
      </w:r>
      <w:r w:rsidRPr="004D453A">
        <w:rPr>
          <w:rFonts w:ascii="Arial" w:hAnsi="Arial" w:cs="Arial"/>
          <w:noProof/>
          <w:sz w:val="20"/>
        </w:rPr>
        <w:t xml:space="preserve">;16:2012–21. </w:t>
      </w:r>
    </w:p>
    <w:p w14:paraId="2EE79486"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36. </w:t>
      </w:r>
      <w:r w:rsidRPr="004D453A">
        <w:rPr>
          <w:rFonts w:ascii="Arial" w:hAnsi="Arial" w:cs="Arial"/>
          <w:noProof/>
          <w:sz w:val="20"/>
        </w:rPr>
        <w:tab/>
        <w:t xml:space="preserve">Böhm F, Settergren M, Pernow J. Vitamin C blocks vascular dysfunction and release of interleukin-6 induced by endothelin-1 in humans in vivo. </w:t>
      </w:r>
      <w:r w:rsidRPr="004D453A">
        <w:rPr>
          <w:rFonts w:ascii="Arial" w:hAnsi="Arial" w:cs="Arial"/>
          <w:i/>
          <w:iCs/>
          <w:noProof/>
          <w:sz w:val="20"/>
        </w:rPr>
        <w:t>Atherosclerosis</w:t>
      </w:r>
      <w:r w:rsidRPr="004D453A">
        <w:rPr>
          <w:rFonts w:ascii="Arial" w:hAnsi="Arial" w:cs="Arial"/>
          <w:noProof/>
          <w:sz w:val="20"/>
        </w:rPr>
        <w:t xml:space="preserve"> </w:t>
      </w:r>
      <w:r w:rsidRPr="004D453A">
        <w:rPr>
          <w:rFonts w:ascii="Arial" w:hAnsi="Arial" w:cs="Arial"/>
          <w:b/>
          <w:bCs/>
          <w:noProof/>
          <w:sz w:val="20"/>
        </w:rPr>
        <w:t>2007</w:t>
      </w:r>
      <w:r w:rsidRPr="004D453A">
        <w:rPr>
          <w:rFonts w:ascii="Arial" w:hAnsi="Arial" w:cs="Arial"/>
          <w:noProof/>
          <w:sz w:val="20"/>
        </w:rPr>
        <w:t xml:space="preserve">;190:408–15. </w:t>
      </w:r>
    </w:p>
    <w:p w14:paraId="0539AE2D"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37. </w:t>
      </w:r>
      <w:r w:rsidRPr="004D453A">
        <w:rPr>
          <w:rFonts w:ascii="Arial" w:hAnsi="Arial" w:cs="Arial"/>
          <w:noProof/>
          <w:sz w:val="20"/>
        </w:rPr>
        <w:tab/>
        <w:t xml:space="preserve">Alam MA, Subhan N, Rahman MM, Uddin SJ, Reza HM, Sarker SD. Effect of citrus flavonoids, naringin and naringenin, on metabolic syndrome and their mechanisms of action. </w:t>
      </w:r>
      <w:r w:rsidRPr="004D453A">
        <w:rPr>
          <w:rFonts w:ascii="Arial" w:hAnsi="Arial" w:cs="Arial"/>
          <w:i/>
          <w:iCs/>
          <w:noProof/>
          <w:sz w:val="20"/>
        </w:rPr>
        <w:t>Adv Nutr</w:t>
      </w:r>
      <w:r w:rsidRPr="004D453A">
        <w:rPr>
          <w:rFonts w:ascii="Arial" w:hAnsi="Arial" w:cs="Arial"/>
          <w:noProof/>
          <w:sz w:val="20"/>
        </w:rPr>
        <w:t xml:space="preserve"> </w:t>
      </w:r>
      <w:r w:rsidRPr="004D453A">
        <w:rPr>
          <w:rFonts w:ascii="Arial" w:hAnsi="Arial" w:cs="Arial"/>
          <w:b/>
          <w:bCs/>
          <w:noProof/>
          <w:sz w:val="20"/>
        </w:rPr>
        <w:t>2014</w:t>
      </w:r>
      <w:r w:rsidRPr="004D453A">
        <w:rPr>
          <w:rFonts w:ascii="Arial" w:hAnsi="Arial" w:cs="Arial"/>
          <w:noProof/>
          <w:sz w:val="20"/>
        </w:rPr>
        <w:t xml:space="preserve">;5:404–17. </w:t>
      </w:r>
    </w:p>
    <w:p w14:paraId="10DBB17E" w14:textId="4B4FE5E5"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38. </w:t>
      </w:r>
      <w:r w:rsidRPr="004D453A">
        <w:rPr>
          <w:rFonts w:ascii="Arial" w:hAnsi="Arial" w:cs="Arial"/>
          <w:noProof/>
          <w:sz w:val="20"/>
        </w:rPr>
        <w:tab/>
        <w:t>Jia Q, Cheng W, Yue Y, Hu Y, Zhang J, Pan X,</w:t>
      </w:r>
      <w:r w:rsidR="00B5606A" w:rsidRPr="004D453A">
        <w:rPr>
          <w:rFonts w:ascii="Arial" w:hAnsi="Arial" w:cs="Arial"/>
          <w:i/>
          <w:noProof/>
          <w:sz w:val="20"/>
        </w:rPr>
        <w:t xml:space="preserve"> et al</w:t>
      </w:r>
      <w:r w:rsidRPr="004D453A">
        <w:rPr>
          <w:rFonts w:ascii="Arial" w:hAnsi="Arial" w:cs="Arial"/>
          <w:noProof/>
          <w:sz w:val="20"/>
        </w:rPr>
        <w:t xml:space="preserve">. Cucurbitacin E inhibits TNF-α-induced inflammatory cytokine production in human synoviocyte MH7A cells via suppression of PI3K/Akt/NF-κB pathways. </w:t>
      </w:r>
      <w:r w:rsidRPr="004D453A">
        <w:rPr>
          <w:rFonts w:ascii="Arial" w:hAnsi="Arial" w:cs="Arial"/>
          <w:i/>
          <w:iCs/>
          <w:noProof/>
          <w:sz w:val="20"/>
        </w:rPr>
        <w:t>Int Immunopharmacol</w:t>
      </w:r>
      <w:r w:rsidRPr="004D453A">
        <w:rPr>
          <w:rFonts w:ascii="Arial" w:hAnsi="Arial" w:cs="Arial"/>
          <w:noProof/>
          <w:sz w:val="20"/>
        </w:rPr>
        <w:t xml:space="preserve"> </w:t>
      </w:r>
      <w:r w:rsidRPr="004D453A">
        <w:rPr>
          <w:rFonts w:ascii="Arial" w:hAnsi="Arial" w:cs="Arial"/>
          <w:b/>
          <w:bCs/>
          <w:noProof/>
          <w:sz w:val="20"/>
        </w:rPr>
        <w:t>2015</w:t>
      </w:r>
      <w:r w:rsidRPr="004D453A">
        <w:rPr>
          <w:rFonts w:ascii="Arial" w:hAnsi="Arial" w:cs="Arial"/>
          <w:noProof/>
          <w:sz w:val="20"/>
        </w:rPr>
        <w:t xml:space="preserve">;29:884–90. </w:t>
      </w:r>
    </w:p>
    <w:p w14:paraId="5734EAA4" w14:textId="53334F71"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39. </w:t>
      </w:r>
      <w:r w:rsidRPr="004D453A">
        <w:rPr>
          <w:rFonts w:ascii="Arial" w:hAnsi="Arial" w:cs="Arial"/>
          <w:noProof/>
          <w:sz w:val="20"/>
        </w:rPr>
        <w:tab/>
        <w:t>van Woudenbergh GJ, Kuijsten A, Tigcheler B, Sijbrands EJG, van Rooij FJA, Hofman A,</w:t>
      </w:r>
      <w:r w:rsidR="00B5606A" w:rsidRPr="004D453A">
        <w:rPr>
          <w:rFonts w:ascii="Arial" w:hAnsi="Arial" w:cs="Arial"/>
          <w:i/>
          <w:noProof/>
          <w:sz w:val="20"/>
        </w:rPr>
        <w:t xml:space="preserve"> et al</w:t>
      </w:r>
      <w:r w:rsidRPr="004D453A">
        <w:rPr>
          <w:rFonts w:ascii="Arial" w:hAnsi="Arial" w:cs="Arial"/>
          <w:noProof/>
          <w:sz w:val="20"/>
        </w:rPr>
        <w:t xml:space="preserve">. Meat consumption and its association with C-reactive protein and incident type 2 diabetes: the Rotterdam Study. </w:t>
      </w:r>
      <w:r w:rsidRPr="004D453A">
        <w:rPr>
          <w:rFonts w:ascii="Arial" w:hAnsi="Arial" w:cs="Arial"/>
          <w:i/>
          <w:iCs/>
          <w:noProof/>
          <w:sz w:val="20"/>
        </w:rPr>
        <w:t>Diabetes Care</w:t>
      </w:r>
      <w:r w:rsidRPr="004D453A">
        <w:rPr>
          <w:rFonts w:ascii="Arial" w:hAnsi="Arial" w:cs="Arial"/>
          <w:noProof/>
          <w:sz w:val="20"/>
        </w:rPr>
        <w:t xml:space="preserve"> </w:t>
      </w:r>
      <w:r w:rsidRPr="004D453A">
        <w:rPr>
          <w:rFonts w:ascii="Arial" w:hAnsi="Arial" w:cs="Arial"/>
          <w:b/>
          <w:bCs/>
          <w:noProof/>
          <w:sz w:val="20"/>
        </w:rPr>
        <w:t>2012</w:t>
      </w:r>
      <w:r w:rsidRPr="004D453A">
        <w:rPr>
          <w:rFonts w:ascii="Arial" w:hAnsi="Arial" w:cs="Arial"/>
          <w:noProof/>
          <w:sz w:val="20"/>
        </w:rPr>
        <w:t xml:space="preserve">;35:1499–505. </w:t>
      </w:r>
    </w:p>
    <w:p w14:paraId="241A7470" w14:textId="727B864D"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40. </w:t>
      </w:r>
      <w:r w:rsidRPr="004D453A">
        <w:rPr>
          <w:rFonts w:ascii="Arial" w:hAnsi="Arial" w:cs="Arial"/>
          <w:noProof/>
          <w:sz w:val="20"/>
        </w:rPr>
        <w:tab/>
        <w:t>van Bussel BC, Henry RM, Ferreira I, van Greevenbroek MM, van der Kallen CJ, Twisk JW,</w:t>
      </w:r>
      <w:r w:rsidR="00B5606A" w:rsidRPr="004D453A">
        <w:rPr>
          <w:rFonts w:ascii="Arial" w:hAnsi="Arial" w:cs="Arial"/>
          <w:i/>
          <w:noProof/>
          <w:sz w:val="20"/>
        </w:rPr>
        <w:t xml:space="preserve"> et al</w:t>
      </w:r>
      <w:r w:rsidRPr="004D453A">
        <w:rPr>
          <w:rFonts w:ascii="Arial" w:hAnsi="Arial" w:cs="Arial"/>
          <w:noProof/>
          <w:sz w:val="20"/>
        </w:rPr>
        <w:t xml:space="preserve">. A Healthy diet is associated with less endothelial dysfunction and less low-grade inflammation over a 7-Year period in adults at risk of cardiovascular disease. </w:t>
      </w:r>
      <w:r w:rsidRPr="004D453A">
        <w:rPr>
          <w:rFonts w:ascii="Arial" w:hAnsi="Arial" w:cs="Arial"/>
          <w:i/>
          <w:iCs/>
          <w:noProof/>
          <w:sz w:val="20"/>
        </w:rPr>
        <w:t>J Nutr</w:t>
      </w:r>
      <w:r w:rsidRPr="004D453A">
        <w:rPr>
          <w:rFonts w:ascii="Arial" w:hAnsi="Arial" w:cs="Arial"/>
          <w:noProof/>
          <w:sz w:val="20"/>
        </w:rPr>
        <w:t xml:space="preserve"> </w:t>
      </w:r>
      <w:r w:rsidRPr="004D453A">
        <w:rPr>
          <w:rFonts w:ascii="Arial" w:hAnsi="Arial" w:cs="Arial"/>
          <w:b/>
          <w:bCs/>
          <w:noProof/>
          <w:sz w:val="20"/>
        </w:rPr>
        <w:t>2015</w:t>
      </w:r>
      <w:r w:rsidRPr="004D453A">
        <w:rPr>
          <w:rFonts w:ascii="Arial" w:hAnsi="Arial" w:cs="Arial"/>
          <w:noProof/>
          <w:sz w:val="20"/>
        </w:rPr>
        <w:t xml:space="preserve">;145:532–40. </w:t>
      </w:r>
    </w:p>
    <w:p w14:paraId="25F1C4E1"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41. </w:t>
      </w:r>
      <w:r w:rsidRPr="004D453A">
        <w:rPr>
          <w:rFonts w:ascii="Arial" w:hAnsi="Arial" w:cs="Arial"/>
          <w:noProof/>
          <w:sz w:val="20"/>
        </w:rPr>
        <w:tab/>
        <w:t xml:space="preserve">White DL, Collinson A. Red meat, dietary heme iron, and risk of type 2 diabetes: the involvement of advanced lipoxidation endproducts. </w:t>
      </w:r>
      <w:r w:rsidRPr="004D453A">
        <w:rPr>
          <w:rFonts w:ascii="Arial" w:hAnsi="Arial" w:cs="Arial"/>
          <w:i/>
          <w:iCs/>
          <w:noProof/>
          <w:sz w:val="20"/>
        </w:rPr>
        <w:t>Adv Nutr</w:t>
      </w:r>
      <w:r w:rsidRPr="004D453A">
        <w:rPr>
          <w:rFonts w:ascii="Arial" w:hAnsi="Arial" w:cs="Arial"/>
          <w:noProof/>
          <w:sz w:val="20"/>
        </w:rPr>
        <w:t xml:space="preserve"> </w:t>
      </w:r>
      <w:r w:rsidRPr="004D453A">
        <w:rPr>
          <w:rFonts w:ascii="Arial" w:hAnsi="Arial" w:cs="Arial"/>
          <w:b/>
          <w:bCs/>
          <w:noProof/>
          <w:sz w:val="20"/>
        </w:rPr>
        <w:t>2013</w:t>
      </w:r>
      <w:r w:rsidRPr="004D453A">
        <w:rPr>
          <w:rFonts w:ascii="Arial" w:hAnsi="Arial" w:cs="Arial"/>
          <w:noProof/>
          <w:sz w:val="20"/>
        </w:rPr>
        <w:t xml:space="preserve">;4:403–11. </w:t>
      </w:r>
    </w:p>
    <w:p w14:paraId="471ABD8F" w14:textId="07DC398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42. </w:t>
      </w:r>
      <w:r w:rsidRPr="004D453A">
        <w:rPr>
          <w:rFonts w:ascii="Arial" w:hAnsi="Arial" w:cs="Arial"/>
          <w:noProof/>
          <w:sz w:val="20"/>
        </w:rPr>
        <w:tab/>
        <w:t>Chassaing B, Koren O, Goodrich JK, Poole AC, Srinivasan S, Ley RE,</w:t>
      </w:r>
      <w:r w:rsidR="00B5606A" w:rsidRPr="004D453A">
        <w:rPr>
          <w:rFonts w:ascii="Arial" w:hAnsi="Arial" w:cs="Arial"/>
          <w:i/>
          <w:noProof/>
          <w:sz w:val="20"/>
        </w:rPr>
        <w:t xml:space="preserve"> et al</w:t>
      </w:r>
      <w:r w:rsidRPr="004D453A">
        <w:rPr>
          <w:rFonts w:ascii="Arial" w:hAnsi="Arial" w:cs="Arial"/>
          <w:noProof/>
          <w:sz w:val="20"/>
        </w:rPr>
        <w:t xml:space="preserve">. Dietary emulsifiers impact the mouse gut microbiota promoting colitis and metabolic syndrome. </w:t>
      </w:r>
      <w:r w:rsidRPr="004D453A">
        <w:rPr>
          <w:rFonts w:ascii="Arial" w:hAnsi="Arial" w:cs="Arial"/>
          <w:i/>
          <w:iCs/>
          <w:noProof/>
          <w:sz w:val="20"/>
        </w:rPr>
        <w:t>Nature</w:t>
      </w:r>
      <w:r w:rsidRPr="004D453A">
        <w:rPr>
          <w:rFonts w:ascii="Arial" w:hAnsi="Arial" w:cs="Arial"/>
          <w:noProof/>
          <w:sz w:val="20"/>
        </w:rPr>
        <w:t xml:space="preserve"> </w:t>
      </w:r>
      <w:r w:rsidRPr="004D453A">
        <w:rPr>
          <w:rFonts w:ascii="Arial" w:hAnsi="Arial" w:cs="Arial"/>
          <w:b/>
          <w:bCs/>
          <w:noProof/>
          <w:sz w:val="20"/>
        </w:rPr>
        <w:t>2015</w:t>
      </w:r>
      <w:r w:rsidRPr="004D453A">
        <w:rPr>
          <w:rFonts w:ascii="Arial" w:hAnsi="Arial" w:cs="Arial"/>
          <w:noProof/>
          <w:sz w:val="20"/>
        </w:rPr>
        <w:t xml:space="preserve">;519:92–6. </w:t>
      </w:r>
    </w:p>
    <w:p w14:paraId="67E6FE46"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43. </w:t>
      </w:r>
      <w:r w:rsidRPr="004D453A">
        <w:rPr>
          <w:rFonts w:ascii="Arial" w:hAnsi="Arial" w:cs="Arial"/>
          <w:noProof/>
          <w:sz w:val="20"/>
        </w:rPr>
        <w:tab/>
        <w:t xml:space="preserve">Rao A V. Lycopene, tomatoes, and the prevention of coronary heart disease. </w:t>
      </w:r>
      <w:r w:rsidRPr="004D453A">
        <w:rPr>
          <w:rFonts w:ascii="Arial" w:hAnsi="Arial" w:cs="Arial"/>
          <w:i/>
          <w:iCs/>
          <w:noProof/>
          <w:sz w:val="20"/>
        </w:rPr>
        <w:t>Exp Biol Med</w:t>
      </w:r>
      <w:r w:rsidRPr="004D453A">
        <w:rPr>
          <w:rFonts w:ascii="Arial" w:hAnsi="Arial" w:cs="Arial"/>
          <w:noProof/>
          <w:sz w:val="20"/>
        </w:rPr>
        <w:t xml:space="preserve"> </w:t>
      </w:r>
      <w:r w:rsidRPr="004D453A">
        <w:rPr>
          <w:rFonts w:ascii="Arial" w:hAnsi="Arial" w:cs="Arial"/>
          <w:b/>
          <w:bCs/>
          <w:noProof/>
          <w:sz w:val="20"/>
        </w:rPr>
        <w:t>2002</w:t>
      </w:r>
      <w:r w:rsidRPr="004D453A">
        <w:rPr>
          <w:rFonts w:ascii="Arial" w:hAnsi="Arial" w:cs="Arial"/>
          <w:noProof/>
          <w:sz w:val="20"/>
        </w:rPr>
        <w:t xml:space="preserve">;227:908–13. </w:t>
      </w:r>
    </w:p>
    <w:p w14:paraId="23B5AFC7"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44. </w:t>
      </w:r>
      <w:r w:rsidRPr="004D453A">
        <w:rPr>
          <w:rFonts w:ascii="Arial" w:hAnsi="Arial" w:cs="Arial"/>
          <w:noProof/>
          <w:sz w:val="20"/>
        </w:rPr>
        <w:tab/>
        <w:t xml:space="preserve">Burton-Freeman BM, Sesso HD. Whole food versus supplement: comparing the clinical evidence </w:t>
      </w:r>
      <w:r w:rsidRPr="004D453A">
        <w:rPr>
          <w:rFonts w:ascii="Arial" w:hAnsi="Arial" w:cs="Arial"/>
          <w:noProof/>
          <w:sz w:val="20"/>
        </w:rPr>
        <w:lastRenderedPageBreak/>
        <w:t xml:space="preserve">of tomato intake and lycopene supplementation on cardiovascular risk factors. </w:t>
      </w:r>
      <w:r w:rsidRPr="004D453A">
        <w:rPr>
          <w:rFonts w:ascii="Arial" w:hAnsi="Arial" w:cs="Arial"/>
          <w:i/>
          <w:iCs/>
          <w:noProof/>
          <w:sz w:val="20"/>
        </w:rPr>
        <w:t>Adv Nutr</w:t>
      </w:r>
      <w:r w:rsidRPr="004D453A">
        <w:rPr>
          <w:rFonts w:ascii="Arial" w:hAnsi="Arial" w:cs="Arial"/>
          <w:noProof/>
          <w:sz w:val="20"/>
        </w:rPr>
        <w:t xml:space="preserve"> </w:t>
      </w:r>
      <w:r w:rsidRPr="004D453A">
        <w:rPr>
          <w:rFonts w:ascii="Arial" w:hAnsi="Arial" w:cs="Arial"/>
          <w:b/>
          <w:bCs/>
          <w:noProof/>
          <w:sz w:val="20"/>
        </w:rPr>
        <w:t>2014</w:t>
      </w:r>
      <w:r w:rsidRPr="004D453A">
        <w:rPr>
          <w:rFonts w:ascii="Arial" w:hAnsi="Arial" w:cs="Arial"/>
          <w:noProof/>
          <w:sz w:val="20"/>
        </w:rPr>
        <w:t xml:space="preserve">;5:457–85. </w:t>
      </w:r>
    </w:p>
    <w:p w14:paraId="0C2531CC"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45. </w:t>
      </w:r>
      <w:r w:rsidRPr="004D453A">
        <w:rPr>
          <w:rFonts w:ascii="Arial" w:hAnsi="Arial" w:cs="Arial"/>
          <w:noProof/>
          <w:sz w:val="20"/>
        </w:rPr>
        <w:tab/>
        <w:t xml:space="preserve">Jacob K, Periago MJ, Böhm V, Berruezo GR. Influence of lycopene and vitamin C from tomato juice on biomarkers of oxidative stress and inflammation. </w:t>
      </w:r>
      <w:r w:rsidRPr="004D453A">
        <w:rPr>
          <w:rFonts w:ascii="Arial" w:hAnsi="Arial" w:cs="Arial"/>
          <w:i/>
          <w:iCs/>
          <w:noProof/>
          <w:sz w:val="20"/>
        </w:rPr>
        <w:t>Br J Nutr</w:t>
      </w:r>
      <w:r w:rsidRPr="004D453A">
        <w:rPr>
          <w:rFonts w:ascii="Arial" w:hAnsi="Arial" w:cs="Arial"/>
          <w:noProof/>
          <w:sz w:val="20"/>
        </w:rPr>
        <w:t xml:space="preserve"> </w:t>
      </w:r>
      <w:r w:rsidRPr="004D453A">
        <w:rPr>
          <w:rFonts w:ascii="Arial" w:hAnsi="Arial" w:cs="Arial"/>
          <w:b/>
          <w:bCs/>
          <w:noProof/>
          <w:sz w:val="20"/>
        </w:rPr>
        <w:t>2017</w:t>
      </w:r>
      <w:r w:rsidRPr="004D453A">
        <w:rPr>
          <w:rFonts w:ascii="Arial" w:hAnsi="Arial" w:cs="Arial"/>
          <w:noProof/>
          <w:sz w:val="20"/>
        </w:rPr>
        <w:t xml:space="preserve">;99:137–46. </w:t>
      </w:r>
    </w:p>
    <w:p w14:paraId="09F4240C"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46. </w:t>
      </w:r>
      <w:r w:rsidRPr="004D453A">
        <w:rPr>
          <w:rFonts w:ascii="Arial" w:hAnsi="Arial" w:cs="Arial"/>
          <w:noProof/>
          <w:sz w:val="20"/>
        </w:rPr>
        <w:tab/>
        <w:t xml:space="preserve">Markovits N, Amotz A, Levy Y. The effect of tomato-derived lycopene on low carotenoids and enhanced systemic inflammation and Oxidation in severe Obesity. </w:t>
      </w:r>
      <w:r w:rsidRPr="004D453A">
        <w:rPr>
          <w:rFonts w:ascii="Arial" w:hAnsi="Arial" w:cs="Arial"/>
          <w:i/>
          <w:iCs/>
          <w:noProof/>
          <w:sz w:val="20"/>
        </w:rPr>
        <w:t>IMAJ</w:t>
      </w:r>
      <w:r w:rsidRPr="004D453A">
        <w:rPr>
          <w:rFonts w:ascii="Arial" w:hAnsi="Arial" w:cs="Arial"/>
          <w:noProof/>
          <w:sz w:val="20"/>
        </w:rPr>
        <w:t xml:space="preserve"> </w:t>
      </w:r>
      <w:r w:rsidRPr="004D453A">
        <w:rPr>
          <w:rFonts w:ascii="Arial" w:hAnsi="Arial" w:cs="Arial"/>
          <w:b/>
          <w:bCs/>
          <w:noProof/>
          <w:sz w:val="20"/>
        </w:rPr>
        <w:t>2009</w:t>
      </w:r>
      <w:r w:rsidRPr="004D453A">
        <w:rPr>
          <w:rFonts w:ascii="Arial" w:hAnsi="Arial" w:cs="Arial"/>
          <w:noProof/>
          <w:sz w:val="20"/>
        </w:rPr>
        <w:t xml:space="preserve">;11:598–601. </w:t>
      </w:r>
    </w:p>
    <w:p w14:paraId="76179807" w14:textId="2697A5C5"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47. </w:t>
      </w:r>
      <w:r w:rsidRPr="004D453A">
        <w:rPr>
          <w:rFonts w:ascii="Arial" w:hAnsi="Arial" w:cs="Arial"/>
          <w:noProof/>
          <w:sz w:val="20"/>
        </w:rPr>
        <w:tab/>
        <w:t>Furukawa S, Fujita T, Shimabukuro M, Iwaki M, Yamada Y, Nakajima Y,</w:t>
      </w:r>
      <w:r w:rsidR="00B5606A" w:rsidRPr="004D453A">
        <w:rPr>
          <w:rFonts w:ascii="Arial" w:hAnsi="Arial" w:cs="Arial"/>
          <w:i/>
          <w:noProof/>
          <w:sz w:val="20"/>
        </w:rPr>
        <w:t xml:space="preserve"> et al</w:t>
      </w:r>
      <w:r w:rsidRPr="004D453A">
        <w:rPr>
          <w:rFonts w:ascii="Arial" w:hAnsi="Arial" w:cs="Arial"/>
          <w:noProof/>
          <w:sz w:val="20"/>
        </w:rPr>
        <w:t xml:space="preserve">. Increased oxidative stress in obesity and its impact on metabolic syndrome. </w:t>
      </w:r>
      <w:r w:rsidRPr="004D453A">
        <w:rPr>
          <w:rFonts w:ascii="Arial" w:hAnsi="Arial" w:cs="Arial"/>
          <w:i/>
          <w:iCs/>
          <w:noProof/>
          <w:sz w:val="20"/>
        </w:rPr>
        <w:t>J Clin Invest</w:t>
      </w:r>
      <w:r w:rsidRPr="004D453A">
        <w:rPr>
          <w:rFonts w:ascii="Arial" w:hAnsi="Arial" w:cs="Arial"/>
          <w:noProof/>
          <w:sz w:val="20"/>
        </w:rPr>
        <w:t xml:space="preserve"> </w:t>
      </w:r>
      <w:r w:rsidRPr="004D453A">
        <w:rPr>
          <w:rFonts w:ascii="Arial" w:hAnsi="Arial" w:cs="Arial"/>
          <w:b/>
          <w:bCs/>
          <w:noProof/>
          <w:sz w:val="20"/>
        </w:rPr>
        <w:t>2004</w:t>
      </w:r>
      <w:r w:rsidRPr="004D453A">
        <w:rPr>
          <w:rFonts w:ascii="Arial" w:hAnsi="Arial" w:cs="Arial"/>
          <w:noProof/>
          <w:sz w:val="20"/>
        </w:rPr>
        <w:t xml:space="preserve">;114:1752–61. </w:t>
      </w:r>
    </w:p>
    <w:p w14:paraId="0230432D" w14:textId="22BF331C"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48. </w:t>
      </w:r>
      <w:r w:rsidRPr="004D453A">
        <w:rPr>
          <w:rFonts w:ascii="Arial" w:hAnsi="Arial" w:cs="Arial"/>
          <w:noProof/>
          <w:sz w:val="20"/>
        </w:rPr>
        <w:tab/>
        <w:t>Calder PC, Ahluwalia N, Brouns F, Buetler T, Clement K, Cunningham K,</w:t>
      </w:r>
      <w:r w:rsidR="00B5606A" w:rsidRPr="004D453A">
        <w:rPr>
          <w:rFonts w:ascii="Arial" w:hAnsi="Arial" w:cs="Arial"/>
          <w:i/>
          <w:noProof/>
          <w:sz w:val="20"/>
        </w:rPr>
        <w:t xml:space="preserve"> et al</w:t>
      </w:r>
      <w:r w:rsidRPr="004D453A">
        <w:rPr>
          <w:rFonts w:ascii="Arial" w:hAnsi="Arial" w:cs="Arial"/>
          <w:noProof/>
          <w:sz w:val="20"/>
        </w:rPr>
        <w:t xml:space="preserve">. Dietary factors and low-grade inflammation in relation to overweight and obesity. </w:t>
      </w:r>
      <w:r w:rsidRPr="004D453A">
        <w:rPr>
          <w:rFonts w:ascii="Arial" w:hAnsi="Arial" w:cs="Arial"/>
          <w:i/>
          <w:iCs/>
          <w:noProof/>
          <w:sz w:val="20"/>
        </w:rPr>
        <w:t>Br J Nutr</w:t>
      </w:r>
      <w:r w:rsidRPr="004D453A">
        <w:rPr>
          <w:rFonts w:ascii="Arial" w:hAnsi="Arial" w:cs="Arial"/>
          <w:noProof/>
          <w:sz w:val="20"/>
        </w:rPr>
        <w:t xml:space="preserve"> </w:t>
      </w:r>
      <w:r w:rsidRPr="004D453A">
        <w:rPr>
          <w:rFonts w:ascii="Arial" w:hAnsi="Arial" w:cs="Arial"/>
          <w:b/>
          <w:bCs/>
          <w:noProof/>
          <w:sz w:val="20"/>
        </w:rPr>
        <w:t>2011</w:t>
      </w:r>
      <w:r w:rsidRPr="004D453A">
        <w:rPr>
          <w:rFonts w:ascii="Arial" w:hAnsi="Arial" w:cs="Arial"/>
          <w:noProof/>
          <w:sz w:val="20"/>
        </w:rPr>
        <w:t xml:space="preserve">;106:S5–78. </w:t>
      </w:r>
    </w:p>
    <w:p w14:paraId="108DC7ED"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49. </w:t>
      </w:r>
      <w:r w:rsidRPr="004D453A">
        <w:rPr>
          <w:rFonts w:ascii="Arial" w:hAnsi="Arial" w:cs="Arial"/>
          <w:noProof/>
          <w:sz w:val="20"/>
        </w:rPr>
        <w:tab/>
        <w:t xml:space="preserve">Wu D, Zhai Q, Shi X. Alcohol-induced oxidative stress and cell responses. </w:t>
      </w:r>
      <w:r w:rsidRPr="004D453A">
        <w:rPr>
          <w:rFonts w:ascii="Arial" w:hAnsi="Arial" w:cs="Arial"/>
          <w:i/>
          <w:iCs/>
          <w:noProof/>
          <w:sz w:val="20"/>
        </w:rPr>
        <w:t>J Gastroenterol Hepatol</w:t>
      </w:r>
      <w:r w:rsidRPr="004D453A">
        <w:rPr>
          <w:rFonts w:ascii="Arial" w:hAnsi="Arial" w:cs="Arial"/>
          <w:noProof/>
          <w:sz w:val="20"/>
        </w:rPr>
        <w:t xml:space="preserve"> </w:t>
      </w:r>
      <w:r w:rsidRPr="004D453A">
        <w:rPr>
          <w:rFonts w:ascii="Arial" w:hAnsi="Arial" w:cs="Arial"/>
          <w:b/>
          <w:bCs/>
          <w:noProof/>
          <w:sz w:val="20"/>
        </w:rPr>
        <w:t>2006</w:t>
      </w:r>
      <w:r w:rsidRPr="004D453A">
        <w:rPr>
          <w:rFonts w:ascii="Arial" w:hAnsi="Arial" w:cs="Arial"/>
          <w:noProof/>
          <w:sz w:val="20"/>
        </w:rPr>
        <w:t xml:space="preserve">;21:26–9. </w:t>
      </w:r>
    </w:p>
    <w:p w14:paraId="2A3B99E1"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50. </w:t>
      </w:r>
      <w:r w:rsidRPr="004D453A">
        <w:rPr>
          <w:rFonts w:ascii="Arial" w:hAnsi="Arial" w:cs="Arial"/>
          <w:noProof/>
          <w:sz w:val="20"/>
        </w:rPr>
        <w:tab/>
        <w:t xml:space="preserve">Kumar Das S, Vasudevan DM. Alcohol-induced oxidative stress. </w:t>
      </w:r>
      <w:r w:rsidRPr="004D453A">
        <w:rPr>
          <w:rFonts w:ascii="Arial" w:hAnsi="Arial" w:cs="Arial"/>
          <w:i/>
          <w:iCs/>
          <w:noProof/>
          <w:sz w:val="20"/>
        </w:rPr>
        <w:t>Life Sci</w:t>
      </w:r>
      <w:r w:rsidRPr="004D453A">
        <w:rPr>
          <w:rFonts w:ascii="Arial" w:hAnsi="Arial" w:cs="Arial"/>
          <w:noProof/>
          <w:sz w:val="20"/>
        </w:rPr>
        <w:t xml:space="preserve"> </w:t>
      </w:r>
      <w:r w:rsidRPr="004D453A">
        <w:rPr>
          <w:rFonts w:ascii="Arial" w:hAnsi="Arial" w:cs="Arial"/>
          <w:b/>
          <w:bCs/>
          <w:noProof/>
          <w:sz w:val="20"/>
        </w:rPr>
        <w:t>2007</w:t>
      </w:r>
      <w:r w:rsidRPr="004D453A">
        <w:rPr>
          <w:rFonts w:ascii="Arial" w:hAnsi="Arial" w:cs="Arial"/>
          <w:noProof/>
          <w:sz w:val="20"/>
        </w:rPr>
        <w:t xml:space="preserve">;81:177–87. </w:t>
      </w:r>
    </w:p>
    <w:p w14:paraId="4B8B21DB"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51. </w:t>
      </w:r>
      <w:r w:rsidRPr="004D453A">
        <w:rPr>
          <w:rFonts w:ascii="Arial" w:hAnsi="Arial" w:cs="Arial"/>
          <w:noProof/>
          <w:sz w:val="20"/>
        </w:rPr>
        <w:tab/>
        <w:t xml:space="preserve">Mathews MJ, Liebenberg L, Mathews EH. The mechanism by which moderate alcohol consumption influences coronary heart disease. </w:t>
      </w:r>
      <w:r w:rsidRPr="004D453A">
        <w:rPr>
          <w:rFonts w:ascii="Arial" w:hAnsi="Arial" w:cs="Arial"/>
          <w:i/>
          <w:iCs/>
          <w:noProof/>
          <w:sz w:val="20"/>
        </w:rPr>
        <w:t>Nutr J</w:t>
      </w:r>
      <w:r w:rsidRPr="004D453A">
        <w:rPr>
          <w:rFonts w:ascii="Arial" w:hAnsi="Arial" w:cs="Arial"/>
          <w:noProof/>
          <w:sz w:val="20"/>
        </w:rPr>
        <w:t xml:space="preserve"> </w:t>
      </w:r>
      <w:r w:rsidRPr="004D453A">
        <w:rPr>
          <w:rFonts w:ascii="Arial" w:hAnsi="Arial" w:cs="Arial"/>
          <w:b/>
          <w:bCs/>
          <w:noProof/>
          <w:sz w:val="20"/>
        </w:rPr>
        <w:t>2015</w:t>
      </w:r>
      <w:r w:rsidRPr="004D453A">
        <w:rPr>
          <w:rFonts w:ascii="Arial" w:hAnsi="Arial" w:cs="Arial"/>
          <w:noProof/>
          <w:sz w:val="20"/>
        </w:rPr>
        <w:t xml:space="preserve">;14:33. </w:t>
      </w:r>
    </w:p>
    <w:p w14:paraId="339EB596"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52. </w:t>
      </w:r>
      <w:r w:rsidRPr="004D453A">
        <w:rPr>
          <w:rFonts w:ascii="Arial" w:hAnsi="Arial" w:cs="Arial"/>
          <w:noProof/>
          <w:sz w:val="20"/>
        </w:rPr>
        <w:tab/>
        <w:t xml:space="preserve">McCarty M. Interleukin-6 as a central mediator of cardiovascular risk associated with chronic inflammation, smoking, diabetes, and visceral obsesity: down-regulation with essential fatty acids, ethanol and pentoxifylline. </w:t>
      </w:r>
      <w:r w:rsidRPr="004D453A">
        <w:rPr>
          <w:rFonts w:ascii="Arial" w:hAnsi="Arial" w:cs="Arial"/>
          <w:i/>
          <w:iCs/>
          <w:noProof/>
          <w:sz w:val="20"/>
        </w:rPr>
        <w:t>Med Hypotheses</w:t>
      </w:r>
      <w:r w:rsidRPr="004D453A">
        <w:rPr>
          <w:rFonts w:ascii="Arial" w:hAnsi="Arial" w:cs="Arial"/>
          <w:noProof/>
          <w:sz w:val="20"/>
        </w:rPr>
        <w:t xml:space="preserve"> </w:t>
      </w:r>
      <w:r w:rsidRPr="004D453A">
        <w:rPr>
          <w:rFonts w:ascii="Arial" w:hAnsi="Arial" w:cs="Arial"/>
          <w:b/>
          <w:bCs/>
          <w:noProof/>
          <w:sz w:val="20"/>
        </w:rPr>
        <w:t>1999</w:t>
      </w:r>
      <w:r w:rsidRPr="004D453A">
        <w:rPr>
          <w:rFonts w:ascii="Arial" w:hAnsi="Arial" w:cs="Arial"/>
          <w:noProof/>
          <w:sz w:val="20"/>
        </w:rPr>
        <w:t xml:space="preserve">;52:465–77. </w:t>
      </w:r>
    </w:p>
    <w:p w14:paraId="6AA90BF7"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53. </w:t>
      </w:r>
      <w:r w:rsidRPr="004D453A">
        <w:rPr>
          <w:rFonts w:ascii="Arial" w:hAnsi="Arial" w:cs="Arial"/>
          <w:noProof/>
          <w:sz w:val="20"/>
        </w:rPr>
        <w:tab/>
        <w:t xml:space="preserve">Gomez-Cabrera M-C, Domenech E, Viña J. Moderate exercise is an antioxidant: upregulation of antioxidant genes by training. </w:t>
      </w:r>
      <w:r w:rsidRPr="004D453A">
        <w:rPr>
          <w:rFonts w:ascii="Arial" w:hAnsi="Arial" w:cs="Arial"/>
          <w:i/>
          <w:iCs/>
          <w:noProof/>
          <w:sz w:val="20"/>
        </w:rPr>
        <w:t>Free Radic Biol Med</w:t>
      </w:r>
      <w:r w:rsidRPr="004D453A">
        <w:rPr>
          <w:rFonts w:ascii="Arial" w:hAnsi="Arial" w:cs="Arial"/>
          <w:noProof/>
          <w:sz w:val="20"/>
        </w:rPr>
        <w:t xml:space="preserve"> </w:t>
      </w:r>
      <w:r w:rsidRPr="004D453A">
        <w:rPr>
          <w:rFonts w:ascii="Arial" w:hAnsi="Arial" w:cs="Arial"/>
          <w:b/>
          <w:bCs/>
          <w:noProof/>
          <w:sz w:val="20"/>
        </w:rPr>
        <w:t>2008</w:t>
      </w:r>
      <w:r w:rsidRPr="004D453A">
        <w:rPr>
          <w:rFonts w:ascii="Arial" w:hAnsi="Arial" w:cs="Arial"/>
          <w:noProof/>
          <w:sz w:val="20"/>
        </w:rPr>
        <w:t xml:space="preserve">;44:126–31. </w:t>
      </w:r>
    </w:p>
    <w:p w14:paraId="723CDFB7" w14:textId="77777777" w:rsidR="00961BD8" w:rsidRPr="004D453A" w:rsidRDefault="00961BD8" w:rsidP="00961BD8">
      <w:pPr>
        <w:widowControl w:val="0"/>
        <w:autoSpaceDE w:val="0"/>
        <w:autoSpaceDN w:val="0"/>
        <w:adjustRightInd w:val="0"/>
        <w:ind w:left="640" w:hanging="640"/>
        <w:rPr>
          <w:rFonts w:ascii="Arial" w:hAnsi="Arial" w:cs="Arial"/>
          <w:noProof/>
          <w:sz w:val="20"/>
        </w:rPr>
      </w:pPr>
      <w:r w:rsidRPr="004D453A">
        <w:rPr>
          <w:rFonts w:ascii="Arial" w:hAnsi="Arial" w:cs="Arial"/>
          <w:noProof/>
          <w:sz w:val="20"/>
        </w:rPr>
        <w:t xml:space="preserve">54. </w:t>
      </w:r>
      <w:r w:rsidRPr="004D453A">
        <w:rPr>
          <w:rFonts w:ascii="Arial" w:hAnsi="Arial" w:cs="Arial"/>
          <w:noProof/>
          <w:sz w:val="20"/>
        </w:rPr>
        <w:tab/>
        <w:t xml:space="preserve">van der Vaart H, Postma D, Timens W, Ten Hacken N. Acute effects of cigarette smoke on inflammation and oxidative stress: a review. </w:t>
      </w:r>
      <w:r w:rsidRPr="004D453A">
        <w:rPr>
          <w:rFonts w:ascii="Arial" w:hAnsi="Arial" w:cs="Arial"/>
          <w:i/>
          <w:iCs/>
          <w:noProof/>
          <w:sz w:val="20"/>
        </w:rPr>
        <w:t>Thorax</w:t>
      </w:r>
      <w:r w:rsidRPr="004D453A">
        <w:rPr>
          <w:rFonts w:ascii="Arial" w:hAnsi="Arial" w:cs="Arial"/>
          <w:noProof/>
          <w:sz w:val="20"/>
        </w:rPr>
        <w:t xml:space="preserve"> </w:t>
      </w:r>
      <w:r w:rsidRPr="004D453A">
        <w:rPr>
          <w:rFonts w:ascii="Arial" w:hAnsi="Arial" w:cs="Arial"/>
          <w:b/>
          <w:bCs/>
          <w:noProof/>
          <w:sz w:val="20"/>
        </w:rPr>
        <w:t>2004</w:t>
      </w:r>
      <w:r w:rsidRPr="004D453A">
        <w:rPr>
          <w:rFonts w:ascii="Arial" w:hAnsi="Arial" w:cs="Arial"/>
          <w:noProof/>
          <w:sz w:val="20"/>
        </w:rPr>
        <w:t xml:space="preserve">;59:713–21. </w:t>
      </w:r>
    </w:p>
    <w:p w14:paraId="4270BAA9" w14:textId="245F5948" w:rsidR="00A41E37" w:rsidRPr="00942CE4" w:rsidRDefault="00A41E37" w:rsidP="00961BD8">
      <w:pPr>
        <w:widowControl w:val="0"/>
        <w:autoSpaceDE w:val="0"/>
        <w:autoSpaceDN w:val="0"/>
        <w:adjustRightInd w:val="0"/>
        <w:ind w:left="640" w:hanging="640"/>
        <w:rPr>
          <w:rFonts w:ascii="Arial" w:hAnsi="Arial" w:cs="Arial"/>
          <w:color w:val="000000" w:themeColor="text1"/>
          <w:sz w:val="20"/>
          <w:szCs w:val="20"/>
        </w:rPr>
      </w:pPr>
      <w:r w:rsidRPr="00615CA1">
        <w:rPr>
          <w:rFonts w:ascii="Arial" w:hAnsi="Arial" w:cs="Arial"/>
          <w:color w:val="000000" w:themeColor="text1"/>
          <w:sz w:val="20"/>
          <w:szCs w:val="20"/>
        </w:rPr>
        <w:fldChar w:fldCharType="end"/>
      </w:r>
    </w:p>
    <w:sectPr w:rsidR="00A41E37" w:rsidRPr="00942CE4" w:rsidSect="00E95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1C4E7" w14:textId="77777777" w:rsidR="000A6080" w:rsidRDefault="000A6080" w:rsidP="00913FA7">
      <w:r>
        <w:separator/>
      </w:r>
    </w:p>
  </w:endnote>
  <w:endnote w:type="continuationSeparator" w:id="0">
    <w:p w14:paraId="4F01838D" w14:textId="77777777" w:rsidR="000A6080" w:rsidRDefault="000A6080" w:rsidP="0091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127248"/>
      <w:docPartObj>
        <w:docPartGallery w:val="Page Numbers (Bottom of Page)"/>
        <w:docPartUnique/>
      </w:docPartObj>
    </w:sdtPr>
    <w:sdtEndPr>
      <w:rPr>
        <w:rStyle w:val="PageNumber"/>
      </w:rPr>
    </w:sdtEndPr>
    <w:sdtContent>
      <w:p w14:paraId="74795D75" w14:textId="6B432268" w:rsidR="000A6080" w:rsidRDefault="000A6080" w:rsidP="00F31B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1DEF7E" w14:textId="77777777" w:rsidR="000A6080" w:rsidRDefault="000A6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2782592"/>
      <w:docPartObj>
        <w:docPartGallery w:val="Page Numbers (Bottom of Page)"/>
        <w:docPartUnique/>
      </w:docPartObj>
    </w:sdtPr>
    <w:sdtEndPr>
      <w:rPr>
        <w:rStyle w:val="PageNumber"/>
      </w:rPr>
    </w:sdtEndPr>
    <w:sdtContent>
      <w:p w14:paraId="6E59D7AE" w14:textId="5398C84B" w:rsidR="000A6080" w:rsidRDefault="000A6080" w:rsidP="00F31B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283A85" w14:textId="77777777" w:rsidR="000A6080" w:rsidRDefault="000A6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78CD2" w14:textId="77777777" w:rsidR="000A6080" w:rsidRDefault="000A6080" w:rsidP="00913FA7">
      <w:r>
        <w:separator/>
      </w:r>
    </w:p>
  </w:footnote>
  <w:footnote w:type="continuationSeparator" w:id="0">
    <w:p w14:paraId="3AC965E4" w14:textId="77777777" w:rsidR="000A6080" w:rsidRDefault="000A6080" w:rsidP="00913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1A8FF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92EA4"/>
    <w:multiLevelType w:val="hybridMultilevel"/>
    <w:tmpl w:val="EC14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6323C"/>
    <w:multiLevelType w:val="hybridMultilevel"/>
    <w:tmpl w:val="AB6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B2C1E"/>
    <w:multiLevelType w:val="hybridMultilevel"/>
    <w:tmpl w:val="7EBA0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B642D"/>
    <w:multiLevelType w:val="hybridMultilevel"/>
    <w:tmpl w:val="0922D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D15CD"/>
    <w:multiLevelType w:val="multilevel"/>
    <w:tmpl w:val="13EA41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305011"/>
    <w:multiLevelType w:val="hybridMultilevel"/>
    <w:tmpl w:val="81B22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E143F"/>
    <w:multiLevelType w:val="hybridMultilevel"/>
    <w:tmpl w:val="84F2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C0B20"/>
    <w:multiLevelType w:val="hybridMultilevel"/>
    <w:tmpl w:val="03DA18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0D5FD1"/>
    <w:multiLevelType w:val="hybridMultilevel"/>
    <w:tmpl w:val="1B68DB8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1F716645"/>
    <w:multiLevelType w:val="hybridMultilevel"/>
    <w:tmpl w:val="7B4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316BB"/>
    <w:multiLevelType w:val="hybridMultilevel"/>
    <w:tmpl w:val="8BC819CC"/>
    <w:lvl w:ilvl="0" w:tplc="04090015">
      <w:start w:val="1"/>
      <w:numFmt w:val="upperLetter"/>
      <w:lvlText w:val="%1."/>
      <w:lvlJc w:val="left"/>
      <w:pPr>
        <w:ind w:left="45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83E00"/>
    <w:multiLevelType w:val="hybridMultilevel"/>
    <w:tmpl w:val="FFE20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72C5E"/>
    <w:multiLevelType w:val="multilevel"/>
    <w:tmpl w:val="BAEA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20501"/>
    <w:multiLevelType w:val="hybridMultilevel"/>
    <w:tmpl w:val="827E7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D3DEF"/>
    <w:multiLevelType w:val="multilevel"/>
    <w:tmpl w:val="20E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E3336"/>
    <w:multiLevelType w:val="hybridMultilevel"/>
    <w:tmpl w:val="9C20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F3D91"/>
    <w:multiLevelType w:val="hybridMultilevel"/>
    <w:tmpl w:val="4DFA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B68A1"/>
    <w:multiLevelType w:val="hybridMultilevel"/>
    <w:tmpl w:val="24EE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6069A"/>
    <w:multiLevelType w:val="hybridMultilevel"/>
    <w:tmpl w:val="6F9C241E"/>
    <w:lvl w:ilvl="0" w:tplc="49B29228">
      <w:start w:val="1"/>
      <w:numFmt w:val="decimal"/>
      <w:lvlText w:val="%1."/>
      <w:lvlJc w:val="left"/>
      <w:pPr>
        <w:ind w:left="720" w:hanging="360"/>
      </w:pPr>
      <w:rPr>
        <w:rFonts w:ascii="Arial" w:hAnsi="Arial"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E7B32"/>
    <w:multiLevelType w:val="hybridMultilevel"/>
    <w:tmpl w:val="0C4E7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C0CFA"/>
    <w:multiLevelType w:val="hybridMultilevel"/>
    <w:tmpl w:val="EE803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704B5"/>
    <w:multiLevelType w:val="hybridMultilevel"/>
    <w:tmpl w:val="746E3F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8C51F2"/>
    <w:multiLevelType w:val="multilevel"/>
    <w:tmpl w:val="EE62BCF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F7A6156"/>
    <w:multiLevelType w:val="hybridMultilevel"/>
    <w:tmpl w:val="F500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70AFA"/>
    <w:multiLevelType w:val="hybridMultilevel"/>
    <w:tmpl w:val="6990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22CA8"/>
    <w:multiLevelType w:val="hybridMultilevel"/>
    <w:tmpl w:val="5FCEDBD0"/>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440" w:hanging="180"/>
      </w:pPr>
    </w:lvl>
    <w:lvl w:ilvl="3" w:tplc="42F638C0">
      <w:start w:val="1"/>
      <w:numFmt w:val="upperLetter"/>
      <w:lvlText w:val="%4."/>
      <w:lvlJc w:val="left"/>
      <w:pPr>
        <w:ind w:left="360" w:hanging="360"/>
      </w:pPr>
      <w:rPr>
        <w:rFonts w:eastAsia="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44BC2"/>
    <w:multiLevelType w:val="hybridMultilevel"/>
    <w:tmpl w:val="D5C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D7271"/>
    <w:multiLevelType w:val="hybridMultilevel"/>
    <w:tmpl w:val="0F24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F782F"/>
    <w:multiLevelType w:val="hybridMultilevel"/>
    <w:tmpl w:val="DC703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410059"/>
    <w:multiLevelType w:val="hybridMultilevel"/>
    <w:tmpl w:val="81B22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0485F"/>
    <w:multiLevelType w:val="hybridMultilevel"/>
    <w:tmpl w:val="3ADC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801AB"/>
    <w:multiLevelType w:val="hybridMultilevel"/>
    <w:tmpl w:val="4E20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5F290D"/>
    <w:multiLevelType w:val="hybridMultilevel"/>
    <w:tmpl w:val="3ACE7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3D17B3"/>
    <w:multiLevelType w:val="hybridMultilevel"/>
    <w:tmpl w:val="7FC40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C6857"/>
    <w:multiLevelType w:val="multilevel"/>
    <w:tmpl w:val="20E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CD04FD"/>
    <w:multiLevelType w:val="hybridMultilevel"/>
    <w:tmpl w:val="8B04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83C15"/>
    <w:multiLevelType w:val="hybridMultilevel"/>
    <w:tmpl w:val="607A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C22BF"/>
    <w:multiLevelType w:val="hybridMultilevel"/>
    <w:tmpl w:val="020E3D30"/>
    <w:lvl w:ilvl="0" w:tplc="36EA3AA4">
      <w:start w:val="4"/>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6D1E17"/>
    <w:multiLevelType w:val="hybridMultilevel"/>
    <w:tmpl w:val="357A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76E4F"/>
    <w:multiLevelType w:val="hybridMultilevel"/>
    <w:tmpl w:val="BCAC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C68D2"/>
    <w:multiLevelType w:val="hybridMultilevel"/>
    <w:tmpl w:val="827E7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5673D9"/>
    <w:multiLevelType w:val="hybridMultilevel"/>
    <w:tmpl w:val="403C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13026"/>
    <w:multiLevelType w:val="hybridMultilevel"/>
    <w:tmpl w:val="C5C83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DA1C75"/>
    <w:multiLevelType w:val="hybridMultilevel"/>
    <w:tmpl w:val="FE7EC332"/>
    <w:lvl w:ilvl="0" w:tplc="66DEE1E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15:restartNumberingAfterBreak="0">
    <w:nsid w:val="6E214931"/>
    <w:multiLevelType w:val="hybridMultilevel"/>
    <w:tmpl w:val="34C6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BF6CDE"/>
    <w:multiLevelType w:val="multilevel"/>
    <w:tmpl w:val="B88C5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8A4B9C"/>
    <w:multiLevelType w:val="hybridMultilevel"/>
    <w:tmpl w:val="37869EF6"/>
    <w:lvl w:ilvl="0" w:tplc="1B3AC58A">
      <w:start w:val="1"/>
      <w:numFmt w:val="decimal"/>
      <w:lvlText w:val="%1."/>
      <w:lvlJc w:val="left"/>
      <w:pPr>
        <w:ind w:left="720" w:hanging="360"/>
      </w:pPr>
      <w:rPr>
        <w:b w:val="0"/>
      </w:rPr>
    </w:lvl>
    <w:lvl w:ilvl="1" w:tplc="B0F2B6F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D519B3"/>
    <w:multiLevelType w:val="hybridMultilevel"/>
    <w:tmpl w:val="0ACA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4"/>
  </w:num>
  <w:num w:numId="3">
    <w:abstractNumId w:val="0"/>
  </w:num>
  <w:num w:numId="4">
    <w:abstractNumId w:val="13"/>
  </w:num>
  <w:num w:numId="5">
    <w:abstractNumId w:val="29"/>
  </w:num>
  <w:num w:numId="6">
    <w:abstractNumId w:val="34"/>
  </w:num>
  <w:num w:numId="7">
    <w:abstractNumId w:val="12"/>
  </w:num>
  <w:num w:numId="8">
    <w:abstractNumId w:val="27"/>
  </w:num>
  <w:num w:numId="9">
    <w:abstractNumId w:val="21"/>
  </w:num>
  <w:num w:numId="10">
    <w:abstractNumId w:val="16"/>
  </w:num>
  <w:num w:numId="11">
    <w:abstractNumId w:val="1"/>
  </w:num>
  <w:num w:numId="12">
    <w:abstractNumId w:val="30"/>
  </w:num>
  <w:num w:numId="13">
    <w:abstractNumId w:val="4"/>
  </w:num>
  <w:num w:numId="14">
    <w:abstractNumId w:val="20"/>
  </w:num>
  <w:num w:numId="15">
    <w:abstractNumId w:val="41"/>
  </w:num>
  <w:num w:numId="16">
    <w:abstractNumId w:val="14"/>
  </w:num>
  <w:num w:numId="17">
    <w:abstractNumId w:val="6"/>
  </w:num>
  <w:num w:numId="18">
    <w:abstractNumId w:val="11"/>
  </w:num>
  <w:num w:numId="19">
    <w:abstractNumId w:val="19"/>
  </w:num>
  <w:num w:numId="20">
    <w:abstractNumId w:val="38"/>
  </w:num>
  <w:num w:numId="21">
    <w:abstractNumId w:val="37"/>
  </w:num>
  <w:num w:numId="22">
    <w:abstractNumId w:val="43"/>
  </w:num>
  <w:num w:numId="23">
    <w:abstractNumId w:val="31"/>
  </w:num>
  <w:num w:numId="24">
    <w:abstractNumId w:val="24"/>
  </w:num>
  <w:num w:numId="25">
    <w:abstractNumId w:val="25"/>
  </w:num>
  <w:num w:numId="26">
    <w:abstractNumId w:val="10"/>
  </w:num>
  <w:num w:numId="27">
    <w:abstractNumId w:val="48"/>
  </w:num>
  <w:num w:numId="28">
    <w:abstractNumId w:val="23"/>
    <w:lvlOverride w:ilvl="0"/>
    <w:lvlOverride w:ilvl="1">
      <w:startOverride w:val="1"/>
    </w:lvlOverride>
  </w:num>
  <w:num w:numId="29">
    <w:abstractNumId w:val="35"/>
    <w:lvlOverride w:ilvl="0">
      <w:startOverride w:val="3"/>
    </w:lvlOverride>
  </w:num>
  <w:num w:numId="30">
    <w:abstractNumId w:val="15"/>
  </w:num>
  <w:num w:numId="31">
    <w:abstractNumId w:val="36"/>
  </w:num>
  <w:num w:numId="32">
    <w:abstractNumId w:val="18"/>
  </w:num>
  <w:num w:numId="33">
    <w:abstractNumId w:val="17"/>
  </w:num>
  <w:num w:numId="34">
    <w:abstractNumId w:val="28"/>
  </w:num>
  <w:num w:numId="35">
    <w:abstractNumId w:val="7"/>
  </w:num>
  <w:num w:numId="36">
    <w:abstractNumId w:val="42"/>
  </w:num>
  <w:num w:numId="37">
    <w:abstractNumId w:val="46"/>
  </w:num>
  <w:num w:numId="38">
    <w:abstractNumId w:val="40"/>
  </w:num>
  <w:num w:numId="39">
    <w:abstractNumId w:val="2"/>
  </w:num>
  <w:num w:numId="40">
    <w:abstractNumId w:val="45"/>
  </w:num>
  <w:num w:numId="41">
    <w:abstractNumId w:val="33"/>
  </w:num>
  <w:num w:numId="42">
    <w:abstractNumId w:val="3"/>
  </w:num>
  <w:num w:numId="43">
    <w:abstractNumId w:val="47"/>
  </w:num>
  <w:num w:numId="44">
    <w:abstractNumId w:val="39"/>
  </w:num>
  <w:num w:numId="45">
    <w:abstractNumId w:val="9"/>
  </w:num>
  <w:num w:numId="46">
    <w:abstractNumId w:val="8"/>
  </w:num>
  <w:num w:numId="47">
    <w:abstractNumId w:val="32"/>
  </w:num>
  <w:num w:numId="48">
    <w:abstractNumId w:val="2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F3"/>
    <w:rsid w:val="0001261F"/>
    <w:rsid w:val="000155EB"/>
    <w:rsid w:val="000272DE"/>
    <w:rsid w:val="00030FA4"/>
    <w:rsid w:val="00034351"/>
    <w:rsid w:val="000573A5"/>
    <w:rsid w:val="00067CA6"/>
    <w:rsid w:val="0007729A"/>
    <w:rsid w:val="000A6080"/>
    <w:rsid w:val="000A6C1C"/>
    <w:rsid w:val="000B1368"/>
    <w:rsid w:val="000B7944"/>
    <w:rsid w:val="000D4257"/>
    <w:rsid w:val="000D6AF9"/>
    <w:rsid w:val="000E67AF"/>
    <w:rsid w:val="00123418"/>
    <w:rsid w:val="001241A8"/>
    <w:rsid w:val="00153BD1"/>
    <w:rsid w:val="00154969"/>
    <w:rsid w:val="00165C59"/>
    <w:rsid w:val="001674FD"/>
    <w:rsid w:val="0017472A"/>
    <w:rsid w:val="00182FFD"/>
    <w:rsid w:val="00184F9C"/>
    <w:rsid w:val="001A15DD"/>
    <w:rsid w:val="001B63DC"/>
    <w:rsid w:val="001F0C7E"/>
    <w:rsid w:val="001F19DB"/>
    <w:rsid w:val="00255A08"/>
    <w:rsid w:val="00267ADD"/>
    <w:rsid w:val="002748E5"/>
    <w:rsid w:val="00275071"/>
    <w:rsid w:val="002778B7"/>
    <w:rsid w:val="002934D9"/>
    <w:rsid w:val="00297419"/>
    <w:rsid w:val="002E09D6"/>
    <w:rsid w:val="00303F8C"/>
    <w:rsid w:val="003112F2"/>
    <w:rsid w:val="003304D8"/>
    <w:rsid w:val="00341FF0"/>
    <w:rsid w:val="00347DA1"/>
    <w:rsid w:val="00351106"/>
    <w:rsid w:val="0039160F"/>
    <w:rsid w:val="003B1705"/>
    <w:rsid w:val="003D3B40"/>
    <w:rsid w:val="003D3DAA"/>
    <w:rsid w:val="003E361B"/>
    <w:rsid w:val="003E4612"/>
    <w:rsid w:val="00404507"/>
    <w:rsid w:val="00407285"/>
    <w:rsid w:val="00414030"/>
    <w:rsid w:val="00421505"/>
    <w:rsid w:val="00423A2E"/>
    <w:rsid w:val="00433F72"/>
    <w:rsid w:val="004433F3"/>
    <w:rsid w:val="00443D23"/>
    <w:rsid w:val="0044594F"/>
    <w:rsid w:val="004479E0"/>
    <w:rsid w:val="0045676A"/>
    <w:rsid w:val="00471038"/>
    <w:rsid w:val="004710CE"/>
    <w:rsid w:val="00492783"/>
    <w:rsid w:val="00496C80"/>
    <w:rsid w:val="004A5AAA"/>
    <w:rsid w:val="004B6AA0"/>
    <w:rsid w:val="004D244D"/>
    <w:rsid w:val="004D453A"/>
    <w:rsid w:val="004D728F"/>
    <w:rsid w:val="005036ED"/>
    <w:rsid w:val="00543A7F"/>
    <w:rsid w:val="00590BAD"/>
    <w:rsid w:val="0059192D"/>
    <w:rsid w:val="0059573E"/>
    <w:rsid w:val="005B0C26"/>
    <w:rsid w:val="005C4D61"/>
    <w:rsid w:val="00605CB2"/>
    <w:rsid w:val="00610EF7"/>
    <w:rsid w:val="00615A78"/>
    <w:rsid w:val="00615CA1"/>
    <w:rsid w:val="0067123F"/>
    <w:rsid w:val="00684883"/>
    <w:rsid w:val="00692A77"/>
    <w:rsid w:val="00695191"/>
    <w:rsid w:val="006A7B4A"/>
    <w:rsid w:val="006C5AA5"/>
    <w:rsid w:val="006C7F14"/>
    <w:rsid w:val="006D2C5C"/>
    <w:rsid w:val="007208A6"/>
    <w:rsid w:val="00766734"/>
    <w:rsid w:val="0077187F"/>
    <w:rsid w:val="00773BAB"/>
    <w:rsid w:val="0077715B"/>
    <w:rsid w:val="007A694D"/>
    <w:rsid w:val="007A710C"/>
    <w:rsid w:val="007B5031"/>
    <w:rsid w:val="007C1669"/>
    <w:rsid w:val="007C20A0"/>
    <w:rsid w:val="007D1339"/>
    <w:rsid w:val="007F47B9"/>
    <w:rsid w:val="007F6826"/>
    <w:rsid w:val="007F6A02"/>
    <w:rsid w:val="00800908"/>
    <w:rsid w:val="008303BF"/>
    <w:rsid w:val="00852A7B"/>
    <w:rsid w:val="0086321A"/>
    <w:rsid w:val="008661BD"/>
    <w:rsid w:val="00867B34"/>
    <w:rsid w:val="00883D76"/>
    <w:rsid w:val="00896323"/>
    <w:rsid w:val="00913FA7"/>
    <w:rsid w:val="00917447"/>
    <w:rsid w:val="00942CE4"/>
    <w:rsid w:val="009453F0"/>
    <w:rsid w:val="00951487"/>
    <w:rsid w:val="00961BD8"/>
    <w:rsid w:val="00967F7D"/>
    <w:rsid w:val="0097460C"/>
    <w:rsid w:val="009864D2"/>
    <w:rsid w:val="009B24E0"/>
    <w:rsid w:val="009B5BB1"/>
    <w:rsid w:val="009C57D6"/>
    <w:rsid w:val="009C66BF"/>
    <w:rsid w:val="009D576B"/>
    <w:rsid w:val="009E6F26"/>
    <w:rsid w:val="009F2F4A"/>
    <w:rsid w:val="009F6BAB"/>
    <w:rsid w:val="00A2603D"/>
    <w:rsid w:val="00A40890"/>
    <w:rsid w:val="00A41E37"/>
    <w:rsid w:val="00A434DC"/>
    <w:rsid w:val="00A55985"/>
    <w:rsid w:val="00A835AD"/>
    <w:rsid w:val="00AA531F"/>
    <w:rsid w:val="00AA6034"/>
    <w:rsid w:val="00AC21BE"/>
    <w:rsid w:val="00AC7EFA"/>
    <w:rsid w:val="00AE4012"/>
    <w:rsid w:val="00AF09AE"/>
    <w:rsid w:val="00AF5D97"/>
    <w:rsid w:val="00B11721"/>
    <w:rsid w:val="00B5606A"/>
    <w:rsid w:val="00B5735B"/>
    <w:rsid w:val="00B64E7C"/>
    <w:rsid w:val="00B65713"/>
    <w:rsid w:val="00B666DB"/>
    <w:rsid w:val="00B670CC"/>
    <w:rsid w:val="00B751BA"/>
    <w:rsid w:val="00B810D0"/>
    <w:rsid w:val="00B82A78"/>
    <w:rsid w:val="00B9290C"/>
    <w:rsid w:val="00BA3039"/>
    <w:rsid w:val="00BA6023"/>
    <w:rsid w:val="00BB179C"/>
    <w:rsid w:val="00BC77D0"/>
    <w:rsid w:val="00C248BD"/>
    <w:rsid w:val="00C436BF"/>
    <w:rsid w:val="00C50A72"/>
    <w:rsid w:val="00C67A9C"/>
    <w:rsid w:val="00C726EB"/>
    <w:rsid w:val="00C9195D"/>
    <w:rsid w:val="00C97FEB"/>
    <w:rsid w:val="00CA5B1C"/>
    <w:rsid w:val="00CB6622"/>
    <w:rsid w:val="00CB779F"/>
    <w:rsid w:val="00CB7AE1"/>
    <w:rsid w:val="00CC7595"/>
    <w:rsid w:val="00CF17DA"/>
    <w:rsid w:val="00CF6298"/>
    <w:rsid w:val="00D178E6"/>
    <w:rsid w:val="00D30AE9"/>
    <w:rsid w:val="00D31547"/>
    <w:rsid w:val="00D53481"/>
    <w:rsid w:val="00D674DE"/>
    <w:rsid w:val="00D92A23"/>
    <w:rsid w:val="00DA0A8A"/>
    <w:rsid w:val="00DA2105"/>
    <w:rsid w:val="00DA324E"/>
    <w:rsid w:val="00DB28C9"/>
    <w:rsid w:val="00DB2F4C"/>
    <w:rsid w:val="00DD4C79"/>
    <w:rsid w:val="00E00B9E"/>
    <w:rsid w:val="00E03B19"/>
    <w:rsid w:val="00E13E41"/>
    <w:rsid w:val="00E16CA7"/>
    <w:rsid w:val="00E2164E"/>
    <w:rsid w:val="00E21FF8"/>
    <w:rsid w:val="00E2775E"/>
    <w:rsid w:val="00E41B39"/>
    <w:rsid w:val="00E457D7"/>
    <w:rsid w:val="00E50C7F"/>
    <w:rsid w:val="00E73909"/>
    <w:rsid w:val="00E77610"/>
    <w:rsid w:val="00E912DE"/>
    <w:rsid w:val="00E95E29"/>
    <w:rsid w:val="00ED2972"/>
    <w:rsid w:val="00EF1765"/>
    <w:rsid w:val="00F17781"/>
    <w:rsid w:val="00F31BFA"/>
    <w:rsid w:val="00F504EF"/>
    <w:rsid w:val="00F651D6"/>
    <w:rsid w:val="00F65354"/>
    <w:rsid w:val="00F66255"/>
    <w:rsid w:val="00F66E50"/>
    <w:rsid w:val="00F7666D"/>
    <w:rsid w:val="00F91F0E"/>
    <w:rsid w:val="00FA21D1"/>
    <w:rsid w:val="00FB456C"/>
    <w:rsid w:val="00FB45BC"/>
    <w:rsid w:val="00FC5E9A"/>
    <w:rsid w:val="00FD0311"/>
    <w:rsid w:val="00FE07D8"/>
    <w:rsid w:val="00FF5112"/>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14DE2"/>
  <w15:chartTrackingRefBased/>
  <w15:docId w15:val="{4D3E92F7-F07B-1140-8CE8-A3CCFABF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F3"/>
  </w:style>
  <w:style w:type="paragraph" w:styleId="Heading1">
    <w:name w:val="heading 1"/>
    <w:basedOn w:val="Normal"/>
    <w:next w:val="Normal"/>
    <w:link w:val="Heading1Char"/>
    <w:uiPriority w:val="9"/>
    <w:qFormat/>
    <w:rsid w:val="004433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33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33F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33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3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33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33F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433F3"/>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4433F3"/>
    <w:pPr>
      <w:spacing w:before="480" w:line="276" w:lineRule="auto"/>
      <w:outlineLvl w:val="9"/>
    </w:pPr>
    <w:rPr>
      <w:b/>
      <w:bCs/>
      <w:sz w:val="28"/>
      <w:szCs w:val="28"/>
    </w:rPr>
  </w:style>
  <w:style w:type="paragraph" w:styleId="TOC1">
    <w:name w:val="toc 1"/>
    <w:basedOn w:val="Normal"/>
    <w:next w:val="Normal"/>
    <w:autoRedefine/>
    <w:uiPriority w:val="39"/>
    <w:unhideWhenUsed/>
    <w:rsid w:val="004433F3"/>
    <w:pPr>
      <w:spacing w:before="120"/>
    </w:pPr>
    <w:rPr>
      <w:rFonts w:cstheme="minorHAnsi"/>
      <w:b/>
      <w:bCs/>
      <w:i/>
      <w:iCs/>
    </w:rPr>
  </w:style>
  <w:style w:type="paragraph" w:styleId="TOC2">
    <w:name w:val="toc 2"/>
    <w:basedOn w:val="Normal"/>
    <w:next w:val="Normal"/>
    <w:autoRedefine/>
    <w:uiPriority w:val="39"/>
    <w:unhideWhenUsed/>
    <w:rsid w:val="004433F3"/>
    <w:pPr>
      <w:tabs>
        <w:tab w:val="right" w:leader="dot" w:pos="9350"/>
      </w:tabs>
      <w:spacing w:before="120" w:line="480" w:lineRule="auto"/>
      <w:ind w:left="240"/>
    </w:pPr>
    <w:rPr>
      <w:rFonts w:ascii="Times New Roman" w:hAnsi="Times New Roman" w:cs="Times New Roman"/>
      <w:bCs/>
      <w:noProof/>
      <w:sz w:val="22"/>
      <w:szCs w:val="22"/>
    </w:rPr>
  </w:style>
  <w:style w:type="paragraph" w:styleId="TOC3">
    <w:name w:val="toc 3"/>
    <w:basedOn w:val="Normal"/>
    <w:next w:val="Normal"/>
    <w:autoRedefine/>
    <w:uiPriority w:val="39"/>
    <w:unhideWhenUsed/>
    <w:rsid w:val="004433F3"/>
    <w:pPr>
      <w:ind w:left="480"/>
    </w:pPr>
    <w:rPr>
      <w:rFonts w:cstheme="minorHAnsi"/>
      <w:sz w:val="20"/>
      <w:szCs w:val="20"/>
    </w:rPr>
  </w:style>
  <w:style w:type="paragraph" w:styleId="TOC4">
    <w:name w:val="toc 4"/>
    <w:basedOn w:val="Normal"/>
    <w:next w:val="Normal"/>
    <w:autoRedefine/>
    <w:uiPriority w:val="39"/>
    <w:unhideWhenUsed/>
    <w:rsid w:val="004433F3"/>
    <w:pPr>
      <w:ind w:left="720"/>
    </w:pPr>
    <w:rPr>
      <w:rFonts w:cstheme="minorHAnsi"/>
      <w:sz w:val="20"/>
      <w:szCs w:val="20"/>
    </w:rPr>
  </w:style>
  <w:style w:type="paragraph" w:styleId="TOC5">
    <w:name w:val="toc 5"/>
    <w:basedOn w:val="Normal"/>
    <w:next w:val="Normal"/>
    <w:autoRedefine/>
    <w:uiPriority w:val="39"/>
    <w:unhideWhenUsed/>
    <w:rsid w:val="004433F3"/>
    <w:pPr>
      <w:ind w:left="960"/>
    </w:pPr>
    <w:rPr>
      <w:rFonts w:cstheme="minorHAnsi"/>
      <w:sz w:val="20"/>
      <w:szCs w:val="20"/>
    </w:rPr>
  </w:style>
  <w:style w:type="paragraph" w:styleId="TOC6">
    <w:name w:val="toc 6"/>
    <w:basedOn w:val="Normal"/>
    <w:next w:val="Normal"/>
    <w:autoRedefine/>
    <w:uiPriority w:val="39"/>
    <w:unhideWhenUsed/>
    <w:rsid w:val="004433F3"/>
    <w:pPr>
      <w:ind w:left="1200"/>
    </w:pPr>
    <w:rPr>
      <w:rFonts w:cstheme="minorHAnsi"/>
      <w:sz w:val="20"/>
      <w:szCs w:val="20"/>
    </w:rPr>
  </w:style>
  <w:style w:type="paragraph" w:styleId="TOC7">
    <w:name w:val="toc 7"/>
    <w:basedOn w:val="Normal"/>
    <w:next w:val="Normal"/>
    <w:autoRedefine/>
    <w:uiPriority w:val="39"/>
    <w:unhideWhenUsed/>
    <w:rsid w:val="004433F3"/>
    <w:pPr>
      <w:ind w:left="1440"/>
    </w:pPr>
    <w:rPr>
      <w:rFonts w:cstheme="minorHAnsi"/>
      <w:sz w:val="20"/>
      <w:szCs w:val="20"/>
    </w:rPr>
  </w:style>
  <w:style w:type="paragraph" w:styleId="TOC8">
    <w:name w:val="toc 8"/>
    <w:basedOn w:val="Normal"/>
    <w:next w:val="Normal"/>
    <w:autoRedefine/>
    <w:uiPriority w:val="39"/>
    <w:unhideWhenUsed/>
    <w:rsid w:val="004433F3"/>
    <w:pPr>
      <w:ind w:left="1680"/>
    </w:pPr>
    <w:rPr>
      <w:rFonts w:cstheme="minorHAnsi"/>
      <w:sz w:val="20"/>
      <w:szCs w:val="20"/>
    </w:rPr>
  </w:style>
  <w:style w:type="paragraph" w:styleId="TOC9">
    <w:name w:val="toc 9"/>
    <w:basedOn w:val="Normal"/>
    <w:next w:val="Normal"/>
    <w:autoRedefine/>
    <w:uiPriority w:val="39"/>
    <w:unhideWhenUsed/>
    <w:rsid w:val="004433F3"/>
    <w:pPr>
      <w:ind w:left="1920"/>
    </w:pPr>
    <w:rPr>
      <w:rFonts w:cstheme="minorHAnsi"/>
      <w:sz w:val="20"/>
      <w:szCs w:val="20"/>
    </w:rPr>
  </w:style>
  <w:style w:type="character" w:styleId="Hyperlink">
    <w:name w:val="Hyperlink"/>
    <w:basedOn w:val="DefaultParagraphFont"/>
    <w:uiPriority w:val="99"/>
    <w:unhideWhenUsed/>
    <w:rsid w:val="004433F3"/>
    <w:rPr>
      <w:color w:val="0563C1" w:themeColor="hyperlink"/>
      <w:u w:val="single"/>
    </w:rPr>
  </w:style>
  <w:style w:type="paragraph" w:styleId="ListParagraph">
    <w:name w:val="List Paragraph"/>
    <w:basedOn w:val="Normal"/>
    <w:uiPriority w:val="34"/>
    <w:qFormat/>
    <w:rsid w:val="004433F3"/>
    <w:pPr>
      <w:ind w:left="720"/>
      <w:contextualSpacing/>
    </w:pPr>
  </w:style>
  <w:style w:type="paragraph" w:styleId="NormalWeb">
    <w:name w:val="Normal (Web)"/>
    <w:basedOn w:val="Normal"/>
    <w:uiPriority w:val="99"/>
    <w:unhideWhenUsed/>
    <w:rsid w:val="004433F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433F3"/>
  </w:style>
  <w:style w:type="paragraph" w:styleId="CommentText">
    <w:name w:val="annotation text"/>
    <w:basedOn w:val="Normal"/>
    <w:link w:val="CommentTextChar"/>
    <w:uiPriority w:val="99"/>
    <w:unhideWhenUsed/>
    <w:rsid w:val="004433F3"/>
    <w:rPr>
      <w:rFonts w:ascii="Times New Roman" w:hAnsi="Times New Roman" w:cs="Times New Roman"/>
    </w:rPr>
  </w:style>
  <w:style w:type="character" w:customStyle="1" w:styleId="CommentTextChar">
    <w:name w:val="Comment Text Char"/>
    <w:basedOn w:val="DefaultParagraphFont"/>
    <w:link w:val="CommentText"/>
    <w:uiPriority w:val="99"/>
    <w:rsid w:val="004433F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433F3"/>
    <w:rPr>
      <w:b/>
      <w:bCs/>
      <w:sz w:val="20"/>
      <w:szCs w:val="20"/>
    </w:rPr>
  </w:style>
  <w:style w:type="character" w:customStyle="1" w:styleId="CommentSubjectChar">
    <w:name w:val="Comment Subject Char"/>
    <w:basedOn w:val="CommentTextChar"/>
    <w:link w:val="CommentSubject"/>
    <w:uiPriority w:val="99"/>
    <w:semiHidden/>
    <w:rsid w:val="004433F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433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33F3"/>
    <w:rPr>
      <w:rFonts w:ascii="Times New Roman" w:hAnsi="Times New Roman" w:cs="Times New Roman"/>
      <w:sz w:val="18"/>
      <w:szCs w:val="18"/>
    </w:rPr>
  </w:style>
  <w:style w:type="table" w:styleId="TableGrid">
    <w:name w:val="Table Grid"/>
    <w:basedOn w:val="TableNormal"/>
    <w:rsid w:val="0044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433F3"/>
    <w:pPr>
      <w:ind w:left="720" w:hanging="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433F3"/>
    <w:rPr>
      <w:rFonts w:ascii="Times New Roman" w:eastAsia="Times New Roman" w:hAnsi="Times New Roman" w:cs="Times New Roman"/>
    </w:rPr>
  </w:style>
  <w:style w:type="paragraph" w:customStyle="1" w:styleId="p1">
    <w:name w:val="p1"/>
    <w:basedOn w:val="Normal"/>
    <w:rsid w:val="004433F3"/>
    <w:rPr>
      <w:rFonts w:ascii="Helvetica" w:hAnsi="Helvetica" w:cs="Times New Roman"/>
      <w:sz w:val="17"/>
      <w:szCs w:val="17"/>
    </w:rPr>
  </w:style>
  <w:style w:type="character" w:customStyle="1" w:styleId="s1">
    <w:name w:val="s1"/>
    <w:basedOn w:val="DefaultParagraphFont"/>
    <w:rsid w:val="004433F3"/>
    <w:rPr>
      <w:rFonts w:ascii="Helvetica" w:hAnsi="Helvetica" w:hint="default"/>
      <w:sz w:val="13"/>
      <w:szCs w:val="13"/>
    </w:rPr>
  </w:style>
  <w:style w:type="character" w:customStyle="1" w:styleId="s2">
    <w:name w:val="s2"/>
    <w:basedOn w:val="DefaultParagraphFont"/>
    <w:rsid w:val="004433F3"/>
    <w:rPr>
      <w:rFonts w:ascii="Times" w:hAnsi="Times" w:hint="default"/>
      <w:sz w:val="8"/>
      <w:szCs w:val="8"/>
    </w:rPr>
  </w:style>
  <w:style w:type="character" w:styleId="CommentReference">
    <w:name w:val="annotation reference"/>
    <w:basedOn w:val="DefaultParagraphFont"/>
    <w:uiPriority w:val="99"/>
    <w:unhideWhenUsed/>
    <w:rsid w:val="004433F3"/>
    <w:rPr>
      <w:sz w:val="18"/>
      <w:szCs w:val="18"/>
    </w:rPr>
  </w:style>
  <w:style w:type="paragraph" w:customStyle="1" w:styleId="DataField11pt-Single">
    <w:name w:val="Data Field 11pt-Single"/>
    <w:basedOn w:val="Normal"/>
    <w:link w:val="DataField11pt-SingleChar"/>
    <w:rsid w:val="004433F3"/>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4433F3"/>
    <w:rPr>
      <w:rFonts w:ascii="Arial" w:eastAsia="Times New Roman" w:hAnsi="Arial" w:cs="Arial"/>
      <w:sz w:val="22"/>
      <w:szCs w:val="20"/>
    </w:rPr>
  </w:style>
  <w:style w:type="paragraph" w:customStyle="1" w:styleId="HeadingNote">
    <w:name w:val="Heading Note"/>
    <w:basedOn w:val="Normal"/>
    <w:rsid w:val="004433F3"/>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4433F3"/>
    <w:pPr>
      <w:tabs>
        <w:tab w:val="left" w:pos="270"/>
      </w:tabs>
      <w:autoSpaceDE w:val="0"/>
      <w:autoSpaceDN w:val="0"/>
    </w:pPr>
    <w:rPr>
      <w:rFonts w:ascii="Arial" w:eastAsia="Times New Roman" w:hAnsi="Arial" w:cs="Arial"/>
      <w:sz w:val="16"/>
      <w:szCs w:val="16"/>
    </w:rPr>
  </w:style>
  <w:style w:type="character" w:styleId="Strong">
    <w:name w:val="Strong"/>
    <w:basedOn w:val="DefaultParagraphFont"/>
    <w:qFormat/>
    <w:rsid w:val="004433F3"/>
    <w:rPr>
      <w:b/>
      <w:bCs/>
    </w:rPr>
  </w:style>
  <w:style w:type="character" w:styleId="Emphasis">
    <w:name w:val="Emphasis"/>
    <w:basedOn w:val="DefaultParagraphFont"/>
    <w:uiPriority w:val="20"/>
    <w:qFormat/>
    <w:rsid w:val="004433F3"/>
    <w:rPr>
      <w:i/>
      <w:iCs/>
    </w:rPr>
  </w:style>
  <w:style w:type="paragraph" w:customStyle="1" w:styleId="FormFieldCaption1">
    <w:name w:val="Form Field Caption1"/>
    <w:basedOn w:val="FormFieldCaption"/>
    <w:qFormat/>
    <w:rsid w:val="004433F3"/>
    <w:pPr>
      <w:spacing w:after="160"/>
    </w:pPr>
  </w:style>
  <w:style w:type="paragraph" w:styleId="Title">
    <w:name w:val="Title"/>
    <w:basedOn w:val="Normal"/>
    <w:next w:val="Normal"/>
    <w:link w:val="TitleChar"/>
    <w:qFormat/>
    <w:rsid w:val="004433F3"/>
    <w:pPr>
      <w:pBdr>
        <w:top w:val="single" w:sz="4" w:space="1" w:color="auto"/>
      </w:pBdr>
      <w:autoSpaceDE w:val="0"/>
      <w:autoSpaceDN w:val="0"/>
      <w:spacing w:before="240"/>
      <w:jc w:val="center"/>
    </w:pPr>
    <w:rPr>
      <w:rFonts w:ascii="Arial" w:eastAsia="Times New Roman" w:hAnsi="Arial" w:cs="Times New Roman"/>
      <w:b/>
      <w:sz w:val="22"/>
    </w:rPr>
  </w:style>
  <w:style w:type="character" w:customStyle="1" w:styleId="TitleChar">
    <w:name w:val="Title Char"/>
    <w:basedOn w:val="DefaultParagraphFont"/>
    <w:link w:val="Title"/>
    <w:rsid w:val="004433F3"/>
    <w:rPr>
      <w:rFonts w:ascii="Arial" w:eastAsia="Times New Roman" w:hAnsi="Arial" w:cs="Times New Roman"/>
      <w:b/>
      <w:sz w:val="22"/>
    </w:rPr>
  </w:style>
  <w:style w:type="paragraph" w:customStyle="1" w:styleId="DataField">
    <w:name w:val="Data Field"/>
    <w:rsid w:val="004433F3"/>
    <w:pPr>
      <w:widowControl w:val="0"/>
    </w:pPr>
    <w:rPr>
      <w:rFonts w:ascii="Arial" w:eastAsia="Times New Roman" w:hAnsi="Arial" w:cs="Arial"/>
      <w:sz w:val="22"/>
      <w:szCs w:val="22"/>
    </w:rPr>
  </w:style>
  <w:style w:type="paragraph" w:styleId="NoSpacing">
    <w:name w:val="No Spacing"/>
    <w:uiPriority w:val="1"/>
    <w:qFormat/>
    <w:rsid w:val="004433F3"/>
    <w:rPr>
      <w:rFonts w:ascii="Calibri" w:eastAsia="Calibri" w:hAnsi="Calibri" w:cs="Times New Roman"/>
      <w:sz w:val="22"/>
      <w:szCs w:val="22"/>
    </w:rPr>
  </w:style>
  <w:style w:type="paragraph" w:styleId="Header">
    <w:name w:val="header"/>
    <w:basedOn w:val="Normal"/>
    <w:link w:val="HeaderChar"/>
    <w:uiPriority w:val="99"/>
    <w:unhideWhenUsed/>
    <w:rsid w:val="004433F3"/>
    <w:pPr>
      <w:tabs>
        <w:tab w:val="center" w:pos="4680"/>
        <w:tab w:val="right" w:pos="9360"/>
      </w:tabs>
    </w:pPr>
  </w:style>
  <w:style w:type="character" w:customStyle="1" w:styleId="HeaderChar">
    <w:name w:val="Header Char"/>
    <w:basedOn w:val="DefaultParagraphFont"/>
    <w:link w:val="Header"/>
    <w:uiPriority w:val="99"/>
    <w:rsid w:val="004433F3"/>
  </w:style>
  <w:style w:type="paragraph" w:styleId="Footer">
    <w:name w:val="footer"/>
    <w:basedOn w:val="Normal"/>
    <w:link w:val="FooterChar"/>
    <w:uiPriority w:val="99"/>
    <w:unhideWhenUsed/>
    <w:rsid w:val="004433F3"/>
    <w:pPr>
      <w:tabs>
        <w:tab w:val="center" w:pos="4680"/>
        <w:tab w:val="right" w:pos="9360"/>
      </w:tabs>
    </w:pPr>
  </w:style>
  <w:style w:type="character" w:customStyle="1" w:styleId="FooterChar">
    <w:name w:val="Footer Char"/>
    <w:basedOn w:val="DefaultParagraphFont"/>
    <w:link w:val="Footer"/>
    <w:uiPriority w:val="99"/>
    <w:rsid w:val="004433F3"/>
  </w:style>
  <w:style w:type="character" w:styleId="PageNumber">
    <w:name w:val="page number"/>
    <w:basedOn w:val="DefaultParagraphFont"/>
    <w:uiPriority w:val="99"/>
    <w:semiHidden/>
    <w:unhideWhenUsed/>
    <w:rsid w:val="004433F3"/>
  </w:style>
  <w:style w:type="paragraph" w:styleId="List">
    <w:name w:val="List"/>
    <w:basedOn w:val="Normal"/>
    <w:uiPriority w:val="99"/>
    <w:unhideWhenUsed/>
    <w:rsid w:val="004433F3"/>
    <w:pPr>
      <w:ind w:left="360" w:hanging="360"/>
      <w:contextualSpacing/>
    </w:pPr>
  </w:style>
  <w:style w:type="paragraph" w:styleId="BodyText">
    <w:name w:val="Body Text"/>
    <w:basedOn w:val="Normal"/>
    <w:link w:val="BodyTextChar"/>
    <w:uiPriority w:val="99"/>
    <w:unhideWhenUsed/>
    <w:rsid w:val="004433F3"/>
    <w:pPr>
      <w:spacing w:after="120"/>
    </w:pPr>
  </w:style>
  <w:style w:type="character" w:customStyle="1" w:styleId="BodyTextChar">
    <w:name w:val="Body Text Char"/>
    <w:basedOn w:val="DefaultParagraphFont"/>
    <w:link w:val="BodyText"/>
    <w:uiPriority w:val="99"/>
    <w:rsid w:val="004433F3"/>
  </w:style>
  <w:style w:type="paragraph" w:styleId="BodyTextFirstIndent">
    <w:name w:val="Body Text First Indent"/>
    <w:basedOn w:val="BodyText"/>
    <w:link w:val="BodyTextFirstIndentChar"/>
    <w:uiPriority w:val="99"/>
    <w:unhideWhenUsed/>
    <w:rsid w:val="004433F3"/>
    <w:pPr>
      <w:spacing w:after="0"/>
      <w:ind w:firstLine="360"/>
    </w:pPr>
  </w:style>
  <w:style w:type="character" w:customStyle="1" w:styleId="BodyTextFirstIndentChar">
    <w:name w:val="Body Text First Indent Char"/>
    <w:basedOn w:val="BodyTextChar"/>
    <w:link w:val="BodyTextFirstIndent"/>
    <w:uiPriority w:val="99"/>
    <w:rsid w:val="004433F3"/>
  </w:style>
  <w:style w:type="character" w:styleId="LineNumber">
    <w:name w:val="line number"/>
    <w:basedOn w:val="DefaultParagraphFont"/>
    <w:uiPriority w:val="99"/>
    <w:semiHidden/>
    <w:unhideWhenUsed/>
    <w:rsid w:val="004433F3"/>
  </w:style>
  <w:style w:type="paragraph" w:styleId="Revision">
    <w:name w:val="Revision"/>
    <w:hidden/>
    <w:uiPriority w:val="99"/>
    <w:semiHidden/>
    <w:rsid w:val="004433F3"/>
    <w:rPr>
      <w:rFonts w:ascii="Times New Roman" w:eastAsia="Times New Roman" w:hAnsi="Times New Roman" w:cs="Times New Roman"/>
    </w:rPr>
  </w:style>
  <w:style w:type="character" w:styleId="PlaceholderText">
    <w:name w:val="Placeholder Text"/>
    <w:basedOn w:val="DefaultParagraphFont"/>
    <w:uiPriority w:val="99"/>
    <w:semiHidden/>
    <w:rsid w:val="004433F3"/>
    <w:rPr>
      <w:color w:val="808080"/>
    </w:rPr>
  </w:style>
  <w:style w:type="character" w:customStyle="1" w:styleId="UnresolvedMention1">
    <w:name w:val="Unresolved Mention1"/>
    <w:basedOn w:val="DefaultParagraphFont"/>
    <w:uiPriority w:val="99"/>
    <w:semiHidden/>
    <w:unhideWhenUsed/>
    <w:rsid w:val="004433F3"/>
    <w:rPr>
      <w:color w:val="605E5C"/>
      <w:shd w:val="clear" w:color="auto" w:fill="E1DFDD"/>
    </w:rPr>
  </w:style>
  <w:style w:type="paragraph" w:styleId="ListBullet">
    <w:name w:val="List Bullet"/>
    <w:basedOn w:val="Normal"/>
    <w:uiPriority w:val="99"/>
    <w:unhideWhenUsed/>
    <w:rsid w:val="004433F3"/>
    <w:pPr>
      <w:numPr>
        <w:numId w:val="3"/>
      </w:numPr>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433F3"/>
    <w:rPr>
      <w:color w:val="954F72" w:themeColor="followedHyperlink"/>
      <w:u w:val="single"/>
    </w:rPr>
  </w:style>
  <w:style w:type="character" w:customStyle="1" w:styleId="s3">
    <w:name w:val="s3"/>
    <w:basedOn w:val="DefaultParagraphFont"/>
    <w:rsid w:val="004433F3"/>
  </w:style>
  <w:style w:type="character" w:customStyle="1" w:styleId="s6">
    <w:name w:val="s6"/>
    <w:basedOn w:val="DefaultParagraphFont"/>
    <w:rsid w:val="004433F3"/>
  </w:style>
  <w:style w:type="character" w:customStyle="1" w:styleId="s7">
    <w:name w:val="s7"/>
    <w:basedOn w:val="DefaultParagraphFont"/>
    <w:rsid w:val="004433F3"/>
  </w:style>
  <w:style w:type="paragraph" w:styleId="Caption">
    <w:name w:val="caption"/>
    <w:basedOn w:val="Normal"/>
    <w:next w:val="Normal"/>
    <w:uiPriority w:val="35"/>
    <w:unhideWhenUsed/>
    <w:qFormat/>
    <w:rsid w:val="004433F3"/>
    <w:pPr>
      <w:spacing w:after="200"/>
    </w:pPr>
    <w:rPr>
      <w:i/>
      <w:iCs/>
      <w:color w:val="44546A" w:themeColor="text2"/>
      <w:sz w:val="18"/>
      <w:szCs w:val="18"/>
    </w:rPr>
  </w:style>
  <w:style w:type="paragraph" w:styleId="TableofFigures">
    <w:name w:val="table of figures"/>
    <w:basedOn w:val="Normal"/>
    <w:next w:val="Normal"/>
    <w:uiPriority w:val="99"/>
    <w:unhideWhenUsed/>
    <w:rsid w:val="004433F3"/>
    <w:rPr>
      <w:rFonts w:ascii="Times" w:hAnsi="Times"/>
      <w:sz w:val="22"/>
    </w:rPr>
  </w:style>
  <w:style w:type="paragraph" w:customStyle="1" w:styleId="TableTitle">
    <w:name w:val="Table Title"/>
    <w:basedOn w:val="Normal"/>
    <w:qFormat/>
    <w:rsid w:val="004433F3"/>
    <w:pPr>
      <w:ind w:left="144" w:hanging="144"/>
    </w:pPr>
    <w:rPr>
      <w:rFonts w:ascii="Times New Roman" w:hAnsi="Times New Roman" w:cs="Times New Roman"/>
      <w:color w:val="000000" w:themeColor="text1"/>
      <w:sz w:val="16"/>
      <w:szCs w:val="16"/>
    </w:rPr>
  </w:style>
  <w:style w:type="character" w:customStyle="1" w:styleId="textcell">
    <w:name w:val="textcell"/>
    <w:basedOn w:val="DefaultParagraphFont"/>
    <w:rsid w:val="00FF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4129">
      <w:bodyDiv w:val="1"/>
      <w:marLeft w:val="0"/>
      <w:marRight w:val="0"/>
      <w:marTop w:val="0"/>
      <w:marBottom w:val="0"/>
      <w:divBdr>
        <w:top w:val="none" w:sz="0" w:space="0" w:color="auto"/>
        <w:left w:val="none" w:sz="0" w:space="0" w:color="auto"/>
        <w:bottom w:val="none" w:sz="0" w:space="0" w:color="auto"/>
        <w:right w:val="none" w:sz="0" w:space="0" w:color="auto"/>
      </w:divBdr>
    </w:div>
    <w:div w:id="249974258">
      <w:bodyDiv w:val="1"/>
      <w:marLeft w:val="0"/>
      <w:marRight w:val="0"/>
      <w:marTop w:val="0"/>
      <w:marBottom w:val="0"/>
      <w:divBdr>
        <w:top w:val="none" w:sz="0" w:space="0" w:color="auto"/>
        <w:left w:val="none" w:sz="0" w:space="0" w:color="auto"/>
        <w:bottom w:val="none" w:sz="0" w:space="0" w:color="auto"/>
        <w:right w:val="none" w:sz="0" w:space="0" w:color="auto"/>
      </w:divBdr>
    </w:div>
    <w:div w:id="794913474">
      <w:bodyDiv w:val="1"/>
      <w:marLeft w:val="0"/>
      <w:marRight w:val="0"/>
      <w:marTop w:val="0"/>
      <w:marBottom w:val="0"/>
      <w:divBdr>
        <w:top w:val="none" w:sz="0" w:space="0" w:color="auto"/>
        <w:left w:val="none" w:sz="0" w:space="0" w:color="auto"/>
        <w:bottom w:val="none" w:sz="0" w:space="0" w:color="auto"/>
        <w:right w:val="none" w:sz="0" w:space="0" w:color="auto"/>
      </w:divBdr>
    </w:div>
    <w:div w:id="846208644">
      <w:bodyDiv w:val="1"/>
      <w:marLeft w:val="0"/>
      <w:marRight w:val="0"/>
      <w:marTop w:val="0"/>
      <w:marBottom w:val="0"/>
      <w:divBdr>
        <w:top w:val="none" w:sz="0" w:space="0" w:color="auto"/>
        <w:left w:val="none" w:sz="0" w:space="0" w:color="auto"/>
        <w:bottom w:val="none" w:sz="0" w:space="0" w:color="auto"/>
        <w:right w:val="none" w:sz="0" w:space="0" w:color="auto"/>
      </w:divBdr>
    </w:div>
    <w:div w:id="1031688220">
      <w:bodyDiv w:val="1"/>
      <w:marLeft w:val="0"/>
      <w:marRight w:val="0"/>
      <w:marTop w:val="0"/>
      <w:marBottom w:val="0"/>
      <w:divBdr>
        <w:top w:val="none" w:sz="0" w:space="0" w:color="auto"/>
        <w:left w:val="none" w:sz="0" w:space="0" w:color="auto"/>
        <w:bottom w:val="none" w:sz="0" w:space="0" w:color="auto"/>
        <w:right w:val="none" w:sz="0" w:space="0" w:color="auto"/>
      </w:divBdr>
    </w:div>
    <w:div w:id="1031760155">
      <w:bodyDiv w:val="1"/>
      <w:marLeft w:val="0"/>
      <w:marRight w:val="0"/>
      <w:marTop w:val="0"/>
      <w:marBottom w:val="0"/>
      <w:divBdr>
        <w:top w:val="none" w:sz="0" w:space="0" w:color="auto"/>
        <w:left w:val="none" w:sz="0" w:space="0" w:color="auto"/>
        <w:bottom w:val="none" w:sz="0" w:space="0" w:color="auto"/>
        <w:right w:val="none" w:sz="0" w:space="0" w:color="auto"/>
      </w:divBdr>
    </w:div>
    <w:div w:id="1714572269">
      <w:bodyDiv w:val="1"/>
      <w:marLeft w:val="0"/>
      <w:marRight w:val="0"/>
      <w:marTop w:val="0"/>
      <w:marBottom w:val="0"/>
      <w:divBdr>
        <w:top w:val="none" w:sz="0" w:space="0" w:color="auto"/>
        <w:left w:val="none" w:sz="0" w:space="0" w:color="auto"/>
        <w:bottom w:val="none" w:sz="0" w:space="0" w:color="auto"/>
        <w:right w:val="none" w:sz="0" w:space="0" w:color="auto"/>
      </w:divBdr>
    </w:div>
    <w:div w:id="1807310191">
      <w:bodyDiv w:val="1"/>
      <w:marLeft w:val="0"/>
      <w:marRight w:val="0"/>
      <w:marTop w:val="0"/>
      <w:marBottom w:val="0"/>
      <w:divBdr>
        <w:top w:val="none" w:sz="0" w:space="0" w:color="auto"/>
        <w:left w:val="none" w:sz="0" w:space="0" w:color="auto"/>
        <w:bottom w:val="none" w:sz="0" w:space="0" w:color="auto"/>
        <w:right w:val="none" w:sz="0" w:space="0" w:color="auto"/>
      </w:divBdr>
    </w:div>
    <w:div w:id="1920359032">
      <w:bodyDiv w:val="1"/>
      <w:marLeft w:val="0"/>
      <w:marRight w:val="0"/>
      <w:marTop w:val="0"/>
      <w:marBottom w:val="0"/>
      <w:divBdr>
        <w:top w:val="none" w:sz="0" w:space="0" w:color="auto"/>
        <w:left w:val="none" w:sz="0" w:space="0" w:color="auto"/>
        <w:bottom w:val="none" w:sz="0" w:space="0" w:color="auto"/>
        <w:right w:val="none" w:sz="0" w:space="0" w:color="auto"/>
      </w:divBdr>
    </w:div>
    <w:div w:id="21140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9CCD-58F3-F549-8C9A-49867C37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28524</Words>
  <Characters>162588</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Doratha (NIH/NCI) [F]</dc:creator>
  <cp:keywords/>
  <dc:description/>
  <cp:lastModifiedBy>Byrd, Doratha (NIH/NCI) [F]</cp:lastModifiedBy>
  <cp:revision>2</cp:revision>
  <cp:lastPrinted>2019-12-12T20:41:00Z</cp:lastPrinted>
  <dcterms:created xsi:type="dcterms:W3CDTF">2020-07-31T22:01:00Z</dcterms:created>
  <dcterms:modified xsi:type="dcterms:W3CDTF">2020-07-31T22:01:00Z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http://www.zotero.org/styles/american-association-for-cancer-research</vt:lpwstr>
  </property>
  <property fmtid="{D5CDD505-2E9C-101B-9397-08002B2CF9AE}" pid="3" name="Mendeley Recent Style Name 0_1">
    <vt:lpwstr>American Association for Cancer Research</vt:lpwstr>
  </property>
  <property fmtid="{D5CDD505-2E9C-101B-9397-08002B2CF9AE}" pid="4" name="Mendeley Recent Style Id 1_1">
    <vt:lpwstr>http://csl.mendeley.com/styles/483646381/american-association-for-cancer-research</vt:lpwstr>
  </property>
  <property fmtid="{D5CDD505-2E9C-101B-9397-08002B2CF9AE}" pid="5" name="Mendeley Recent Style Name 1_1">
    <vt:lpwstr>American Association for Cancer Research - CEBP - Doratha Byrd</vt:lpwstr>
  </property>
  <property fmtid="{D5CDD505-2E9C-101B-9397-08002B2CF9AE}" pid="6" name="Mendeley Recent Style Id 2_1">
    <vt:lpwstr>https://csl.mendeley.com/styles/483646381/american-association-for-cancer-research-2</vt:lpwstr>
  </property>
  <property fmtid="{D5CDD505-2E9C-101B-9397-08002B2CF9AE}" pid="7" name="Mendeley Recent Style Name 2_1">
    <vt:lpwstr>American Association for Cancer Research - Doratha Byrd</vt:lpwstr>
  </property>
  <property fmtid="{D5CDD505-2E9C-101B-9397-08002B2CF9AE}" pid="8" name="Mendeley Recent Style Id 3_1">
    <vt:lpwstr>http://www.zotero.org/styles/american-medical-association</vt:lpwstr>
  </property>
  <property fmtid="{D5CDD505-2E9C-101B-9397-08002B2CF9AE}" pid="9" name="Mendeley Recent Style Name 3_1">
    <vt:lpwstr>American Medical Association</vt:lpwstr>
  </property>
  <property fmtid="{D5CDD505-2E9C-101B-9397-08002B2CF9AE}" pid="10" name="Mendeley Recent Style Id 4_1">
    <vt:lpwstr>http://www.zotero.org/styles/american-political-science-association</vt:lpwstr>
  </property>
  <property fmtid="{D5CDD505-2E9C-101B-9397-08002B2CF9AE}" pid="11" name="Mendeley Recent Style Name 4_1">
    <vt:lpwstr>American Political Science Association</vt:lpwstr>
  </property>
  <property fmtid="{D5CDD505-2E9C-101B-9397-08002B2CF9AE}" pid="12" name="Mendeley Recent Style Id 5_1">
    <vt:lpwstr>http://www.zotero.org/styles/apa</vt:lpwstr>
  </property>
  <property fmtid="{D5CDD505-2E9C-101B-9397-08002B2CF9AE}" pid="13" name="Mendeley Recent Style Name 5_1">
    <vt:lpwstr>American Psychological Association 6th edition</vt:lpwstr>
  </property>
  <property fmtid="{D5CDD505-2E9C-101B-9397-08002B2CF9AE}" pid="14" name="Mendeley Recent Style Id 6_1">
    <vt:lpwstr>http://www.zotero.org/styles/american-sociological-association</vt:lpwstr>
  </property>
  <property fmtid="{D5CDD505-2E9C-101B-9397-08002B2CF9AE}" pid="15" name="Mendeley Recent Style Name 6_1">
    <vt:lpwstr>American Sociological Association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http://csl.mendeley.com/styles/483646381/vancouver-2</vt:lpwstr>
  </property>
  <property fmtid="{D5CDD505-2E9C-101B-9397-08002B2CF9AE}" pid="21" name="Mendeley Recent Style Name 9_1">
    <vt:lpwstr>Vancouver - Doratha Byrd</vt:lpwstr>
  </property>
  <property fmtid="{D5CDD505-2E9C-101B-9397-08002B2CF9AE}" pid="22" name="Mendeley Document_1">
    <vt:lpwstr>True</vt:lpwstr>
  </property>
  <property fmtid="{D5CDD505-2E9C-101B-9397-08002B2CF9AE}" pid="23" name="Mendeley Citation Style_1">
    <vt:lpwstr>http://csl.mendeley.com/styles/483646381/american-association-for-cancer-research</vt:lpwstr>
  </property>
  <property fmtid="{D5CDD505-2E9C-101B-9397-08002B2CF9AE}" pid="24" name="Mendeley Unique User Id_1">
    <vt:lpwstr>c82197be-ffd0-3cda-8ed2-e0ee46c27889</vt:lpwstr>
  </property>
</Properties>
</file>