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B11E" w14:textId="77777777" w:rsidR="001375B8" w:rsidRPr="00401515" w:rsidRDefault="002C6187" w:rsidP="004223BC">
      <w:pPr>
        <w:jc w:val="center"/>
        <w:rPr>
          <w:rFonts w:ascii="Times New Roman" w:hAnsi="Times New Roman"/>
          <w:b/>
          <w:bCs/>
          <w:sz w:val="24"/>
          <w:szCs w:val="24"/>
          <w:lang w:eastAsia="en-US" w:bidi="en-US"/>
        </w:rPr>
      </w:pPr>
      <w:r w:rsidRPr="00401515">
        <w:rPr>
          <w:rFonts w:ascii="Times New Roman" w:hAnsi="Times New Roman"/>
          <w:b/>
          <w:bCs/>
          <w:sz w:val="24"/>
          <w:szCs w:val="24"/>
          <w:lang w:eastAsia="en-US" w:bidi="en-US"/>
        </w:rPr>
        <w:t>Evaluation of Tobacco Smoke and Diet as Sources of Exposure to Two Heterocyclic Aromatic Amines for the U.S. Population: NHANES 2013</w:t>
      </w:r>
      <w:r w:rsidR="002B0B5C" w:rsidRPr="00401515">
        <w:rPr>
          <w:rFonts w:ascii="Times New Roman" w:hAnsi="Times New Roman"/>
          <w:b/>
          <w:bCs/>
          <w:sz w:val="24"/>
          <w:szCs w:val="24"/>
          <w:lang w:eastAsia="en-US" w:bidi="en-US"/>
        </w:rPr>
        <w:t>–</w:t>
      </w:r>
      <w:r w:rsidRPr="00401515">
        <w:rPr>
          <w:rFonts w:ascii="Times New Roman" w:hAnsi="Times New Roman"/>
          <w:b/>
          <w:bCs/>
          <w:sz w:val="24"/>
          <w:szCs w:val="24"/>
          <w:lang w:eastAsia="en-US" w:bidi="en-US"/>
        </w:rPr>
        <w:t>2014</w:t>
      </w:r>
    </w:p>
    <w:p w14:paraId="7D6DC162" w14:textId="77777777" w:rsidR="00461F79" w:rsidRPr="00401515" w:rsidRDefault="00461F79"/>
    <w:p w14:paraId="76A0C59C" w14:textId="202D11B4" w:rsidR="009856CF" w:rsidRPr="00401515" w:rsidRDefault="009856CF" w:rsidP="005E4FAD">
      <w:pPr>
        <w:spacing w:line="240" w:lineRule="auto"/>
        <w:rPr>
          <w:rFonts w:ascii="Times New Roman" w:hAnsi="Times New Roman"/>
          <w:bCs/>
          <w:sz w:val="24"/>
          <w:szCs w:val="24"/>
          <w:lang w:eastAsia="en-US" w:bidi="en-US"/>
        </w:rPr>
      </w:pPr>
      <w:r w:rsidRPr="00401515">
        <w:rPr>
          <w:rFonts w:ascii="Times New Roman" w:hAnsi="Times New Roman"/>
          <w:bCs/>
          <w:sz w:val="24"/>
          <w:szCs w:val="24"/>
          <w:lang w:eastAsia="en-US" w:bidi="en-US"/>
        </w:rPr>
        <w:t>Li Zhang</w:t>
      </w:r>
      <w:r w:rsidRPr="00401515">
        <w:rPr>
          <w:rFonts w:ascii="Times New Roman" w:hAnsi="Times New Roman"/>
          <w:bCs/>
          <w:sz w:val="24"/>
          <w:szCs w:val="24"/>
          <w:vertAlign w:val="superscript"/>
          <w:lang w:eastAsia="en-US" w:bidi="en-US"/>
        </w:rPr>
        <w:t>1</w:t>
      </w:r>
      <w:r w:rsidR="00A54DAB" w:rsidRPr="00401515">
        <w:rPr>
          <w:rFonts w:ascii="Times New Roman" w:hAnsi="Times New Roman"/>
          <w:bCs/>
          <w:sz w:val="24"/>
          <w:szCs w:val="24"/>
          <w:lang w:eastAsia="en-US" w:bidi="en-US"/>
        </w:rPr>
        <w:t>*</w:t>
      </w:r>
      <w:r w:rsidRPr="00401515">
        <w:rPr>
          <w:rFonts w:ascii="Times New Roman" w:hAnsi="Times New Roman"/>
          <w:bCs/>
          <w:sz w:val="24"/>
          <w:szCs w:val="24"/>
          <w:lang w:eastAsia="en-US" w:bidi="en-US"/>
        </w:rPr>
        <w:t>, Lanqing Wang</w:t>
      </w:r>
      <w:r w:rsidRPr="00401515">
        <w:rPr>
          <w:rFonts w:ascii="Times New Roman" w:hAnsi="Times New Roman"/>
          <w:bCs/>
          <w:sz w:val="24"/>
          <w:szCs w:val="24"/>
          <w:vertAlign w:val="superscript"/>
          <w:lang w:eastAsia="en-US" w:bidi="en-US"/>
        </w:rPr>
        <w:t>1</w:t>
      </w:r>
      <w:r w:rsidRPr="00401515">
        <w:rPr>
          <w:rFonts w:ascii="Times New Roman" w:hAnsi="Times New Roman"/>
          <w:bCs/>
          <w:sz w:val="24"/>
          <w:szCs w:val="24"/>
          <w:lang w:eastAsia="en-US" w:bidi="en-US"/>
        </w:rPr>
        <w:t>, Yao Li</w:t>
      </w:r>
      <w:r w:rsidRPr="00401515">
        <w:rPr>
          <w:rFonts w:ascii="Times New Roman" w:hAnsi="Times New Roman"/>
          <w:bCs/>
          <w:sz w:val="24"/>
          <w:szCs w:val="24"/>
          <w:vertAlign w:val="superscript"/>
          <w:lang w:eastAsia="en-US" w:bidi="en-US"/>
        </w:rPr>
        <w:t>1</w:t>
      </w:r>
      <w:r w:rsidRPr="00401515">
        <w:rPr>
          <w:rFonts w:ascii="Times New Roman" w:hAnsi="Times New Roman"/>
          <w:bCs/>
          <w:sz w:val="24"/>
          <w:szCs w:val="24"/>
          <w:lang w:eastAsia="en-US" w:bidi="en-US"/>
        </w:rPr>
        <w:t>, Yang Xia</w:t>
      </w:r>
      <w:r w:rsidRPr="00401515">
        <w:rPr>
          <w:rFonts w:ascii="Times New Roman" w:hAnsi="Times New Roman"/>
          <w:bCs/>
          <w:sz w:val="24"/>
          <w:szCs w:val="24"/>
          <w:vertAlign w:val="superscript"/>
          <w:lang w:eastAsia="en-US" w:bidi="en-US"/>
        </w:rPr>
        <w:t>1</w:t>
      </w:r>
      <w:r w:rsidRPr="00401515">
        <w:rPr>
          <w:rFonts w:ascii="Times New Roman" w:hAnsi="Times New Roman"/>
          <w:bCs/>
          <w:sz w:val="24"/>
          <w:szCs w:val="24"/>
          <w:lang w:eastAsia="en-US" w:bidi="en-US"/>
        </w:rPr>
        <w:t xml:space="preserve">, </w:t>
      </w:r>
      <w:r w:rsidR="00AE0AD5" w:rsidRPr="00401515">
        <w:rPr>
          <w:rFonts w:ascii="Times New Roman" w:hAnsi="Times New Roman"/>
          <w:bCs/>
          <w:sz w:val="24"/>
          <w:szCs w:val="24"/>
          <w:lang w:eastAsia="en-US" w:bidi="en-US"/>
        </w:rPr>
        <w:t>Cindy</w:t>
      </w:r>
      <w:r w:rsidR="00B10B0A">
        <w:rPr>
          <w:rFonts w:ascii="Times New Roman" w:hAnsi="Times New Roman"/>
          <w:bCs/>
          <w:sz w:val="24"/>
          <w:szCs w:val="24"/>
          <w:lang w:eastAsia="en-US" w:bidi="en-US"/>
        </w:rPr>
        <w:t xml:space="preserve"> M.</w:t>
      </w:r>
      <w:r w:rsidR="00AE0AD5" w:rsidRPr="00401515">
        <w:rPr>
          <w:rFonts w:ascii="Times New Roman" w:hAnsi="Times New Roman"/>
          <w:bCs/>
          <w:sz w:val="24"/>
          <w:szCs w:val="24"/>
          <w:lang w:eastAsia="en-US" w:bidi="en-US"/>
        </w:rPr>
        <w:t xml:space="preserve"> Chang</w:t>
      </w:r>
      <w:r w:rsidR="00AE0AD5" w:rsidRPr="00401515">
        <w:rPr>
          <w:rFonts w:ascii="Times New Roman" w:hAnsi="Times New Roman"/>
          <w:bCs/>
          <w:sz w:val="24"/>
          <w:szCs w:val="24"/>
          <w:vertAlign w:val="superscript"/>
          <w:lang w:eastAsia="en-US" w:bidi="en-US"/>
        </w:rPr>
        <w:t>2</w:t>
      </w:r>
      <w:r w:rsidR="00AE0AD5" w:rsidRPr="00401515">
        <w:rPr>
          <w:rFonts w:ascii="Times New Roman" w:hAnsi="Times New Roman"/>
          <w:bCs/>
          <w:sz w:val="24"/>
          <w:szCs w:val="24"/>
          <w:lang w:eastAsia="en-US" w:bidi="en-US"/>
        </w:rPr>
        <w:t xml:space="preserve">, </w:t>
      </w:r>
      <w:r w:rsidRPr="00401515">
        <w:rPr>
          <w:rFonts w:ascii="Times New Roman" w:hAnsi="Times New Roman"/>
          <w:bCs/>
          <w:sz w:val="24"/>
          <w:szCs w:val="24"/>
          <w:lang w:eastAsia="en-US" w:bidi="en-US"/>
        </w:rPr>
        <w:t>Baoyun Xia</w:t>
      </w:r>
      <w:r w:rsidRPr="00401515">
        <w:rPr>
          <w:rFonts w:ascii="Times New Roman" w:hAnsi="Times New Roman"/>
          <w:bCs/>
          <w:sz w:val="24"/>
          <w:szCs w:val="24"/>
          <w:vertAlign w:val="superscript"/>
          <w:lang w:eastAsia="en-US" w:bidi="en-US"/>
        </w:rPr>
        <w:t>1</w:t>
      </w:r>
      <w:r w:rsidRPr="00401515">
        <w:rPr>
          <w:rFonts w:ascii="Times New Roman" w:hAnsi="Times New Roman"/>
          <w:bCs/>
          <w:sz w:val="24"/>
          <w:szCs w:val="24"/>
          <w:lang w:eastAsia="en-US" w:bidi="en-US"/>
        </w:rPr>
        <w:t xml:space="preserve">, Connie </w:t>
      </w:r>
      <w:r w:rsidR="00B10B0A">
        <w:rPr>
          <w:rFonts w:ascii="Times New Roman" w:hAnsi="Times New Roman"/>
          <w:bCs/>
          <w:sz w:val="24"/>
          <w:szCs w:val="24"/>
          <w:lang w:eastAsia="en-US" w:bidi="en-US"/>
        </w:rPr>
        <w:t xml:space="preserve">S. </w:t>
      </w:r>
      <w:r w:rsidRPr="00401515">
        <w:rPr>
          <w:rFonts w:ascii="Times New Roman" w:hAnsi="Times New Roman"/>
          <w:bCs/>
          <w:sz w:val="24"/>
          <w:szCs w:val="24"/>
          <w:lang w:eastAsia="en-US" w:bidi="en-US"/>
        </w:rPr>
        <w:t>Sosnoff</w:t>
      </w:r>
      <w:r w:rsidRPr="00401515">
        <w:rPr>
          <w:rFonts w:ascii="Times New Roman" w:hAnsi="Times New Roman"/>
          <w:bCs/>
          <w:sz w:val="24"/>
          <w:szCs w:val="24"/>
          <w:vertAlign w:val="superscript"/>
          <w:lang w:eastAsia="en-US" w:bidi="en-US"/>
        </w:rPr>
        <w:t>1</w:t>
      </w:r>
      <w:r w:rsidRPr="00401515">
        <w:rPr>
          <w:rFonts w:ascii="Times New Roman" w:hAnsi="Times New Roman"/>
          <w:bCs/>
          <w:sz w:val="24"/>
          <w:szCs w:val="24"/>
          <w:lang w:eastAsia="en-US" w:bidi="en-US"/>
        </w:rPr>
        <w:t>,</w:t>
      </w:r>
      <w:r w:rsidR="00327538" w:rsidRPr="00401515">
        <w:rPr>
          <w:rFonts w:ascii="Times New Roman" w:hAnsi="Times New Roman"/>
          <w:bCs/>
          <w:sz w:val="24"/>
          <w:szCs w:val="24"/>
          <w:lang w:eastAsia="en-US" w:bidi="en-US"/>
        </w:rPr>
        <w:t xml:space="preserve"> </w:t>
      </w:r>
      <w:r w:rsidR="005E56E0" w:rsidRPr="005E56E0">
        <w:rPr>
          <w:rFonts w:ascii="Times New Roman" w:hAnsi="Times New Roman"/>
          <w:bCs/>
          <w:sz w:val="24"/>
          <w:szCs w:val="24"/>
          <w:lang w:eastAsia="en-US" w:bidi="en-US"/>
        </w:rPr>
        <w:t xml:space="preserve">Brittany </w:t>
      </w:r>
      <w:r w:rsidR="00324A17">
        <w:rPr>
          <w:rFonts w:ascii="Times New Roman" w:hAnsi="Times New Roman"/>
          <w:bCs/>
          <w:sz w:val="24"/>
          <w:szCs w:val="24"/>
          <w:lang w:eastAsia="en-US" w:bidi="en-US"/>
        </w:rPr>
        <w:t xml:space="preserve">N. </w:t>
      </w:r>
      <w:r w:rsidR="005E56E0" w:rsidRPr="005E56E0">
        <w:rPr>
          <w:rFonts w:ascii="Times New Roman" w:hAnsi="Times New Roman"/>
          <w:bCs/>
          <w:sz w:val="24"/>
          <w:szCs w:val="24"/>
          <w:lang w:eastAsia="en-US" w:bidi="en-US"/>
        </w:rPr>
        <w:t>Pine</w:t>
      </w:r>
      <w:r w:rsidR="005E56E0" w:rsidRPr="00401515">
        <w:rPr>
          <w:rFonts w:ascii="Times New Roman" w:hAnsi="Times New Roman"/>
          <w:bCs/>
          <w:sz w:val="24"/>
          <w:szCs w:val="24"/>
          <w:vertAlign w:val="superscript"/>
          <w:lang w:eastAsia="en-US" w:bidi="en-US"/>
        </w:rPr>
        <w:t>1</w:t>
      </w:r>
      <w:r w:rsidR="005E56E0" w:rsidRPr="005E56E0">
        <w:rPr>
          <w:rFonts w:ascii="Times New Roman" w:hAnsi="Times New Roman"/>
          <w:bCs/>
          <w:sz w:val="24"/>
          <w:szCs w:val="24"/>
          <w:lang w:eastAsia="en-US" w:bidi="en-US"/>
        </w:rPr>
        <w:t xml:space="preserve">, </w:t>
      </w:r>
      <w:r w:rsidR="005E56E0">
        <w:rPr>
          <w:rFonts w:ascii="Times New Roman" w:hAnsi="Times New Roman"/>
          <w:bCs/>
          <w:sz w:val="24"/>
          <w:szCs w:val="24"/>
          <w:lang w:eastAsia="en-US" w:bidi="en-US"/>
        </w:rPr>
        <w:t xml:space="preserve"> </w:t>
      </w:r>
      <w:r w:rsidR="00327538" w:rsidRPr="00401515">
        <w:rPr>
          <w:rFonts w:ascii="Times New Roman" w:hAnsi="Times New Roman"/>
          <w:bCs/>
          <w:sz w:val="24"/>
          <w:szCs w:val="24"/>
          <w:lang w:eastAsia="en-US" w:bidi="en-US"/>
        </w:rPr>
        <w:t>B. Rey deCastro</w:t>
      </w:r>
      <w:r w:rsidR="00327538" w:rsidRPr="00401515">
        <w:rPr>
          <w:rFonts w:ascii="Times New Roman" w:hAnsi="Times New Roman"/>
          <w:bCs/>
          <w:sz w:val="24"/>
          <w:szCs w:val="24"/>
          <w:vertAlign w:val="superscript"/>
          <w:lang w:eastAsia="en-US" w:bidi="en-US"/>
        </w:rPr>
        <w:t>1</w:t>
      </w:r>
      <w:r w:rsidR="00327538" w:rsidRPr="00401515">
        <w:rPr>
          <w:rFonts w:ascii="Times New Roman" w:hAnsi="Times New Roman"/>
          <w:bCs/>
          <w:sz w:val="24"/>
          <w:szCs w:val="24"/>
          <w:lang w:eastAsia="en-US" w:bidi="en-US"/>
        </w:rPr>
        <w:t xml:space="preserve">, </w:t>
      </w:r>
      <w:r w:rsidRPr="00401515">
        <w:rPr>
          <w:rFonts w:ascii="Times New Roman" w:hAnsi="Times New Roman"/>
          <w:bCs/>
          <w:sz w:val="24"/>
          <w:szCs w:val="24"/>
          <w:lang w:eastAsia="en-US" w:bidi="en-US"/>
        </w:rPr>
        <w:t xml:space="preserve"> and Benjamin </w:t>
      </w:r>
      <w:r w:rsidR="00B10B0A">
        <w:rPr>
          <w:rFonts w:ascii="Times New Roman" w:hAnsi="Times New Roman"/>
          <w:bCs/>
          <w:sz w:val="24"/>
          <w:szCs w:val="24"/>
          <w:lang w:eastAsia="en-US" w:bidi="en-US"/>
        </w:rPr>
        <w:t xml:space="preserve">C. </w:t>
      </w:r>
      <w:r w:rsidRPr="00401515">
        <w:rPr>
          <w:rFonts w:ascii="Times New Roman" w:hAnsi="Times New Roman"/>
          <w:bCs/>
          <w:sz w:val="24"/>
          <w:szCs w:val="24"/>
          <w:lang w:eastAsia="en-US" w:bidi="en-US"/>
        </w:rPr>
        <w:t>Blount</w:t>
      </w:r>
      <w:r w:rsidRPr="00401515">
        <w:rPr>
          <w:rFonts w:ascii="Times New Roman" w:hAnsi="Times New Roman"/>
          <w:bCs/>
          <w:sz w:val="24"/>
          <w:szCs w:val="24"/>
          <w:vertAlign w:val="superscript"/>
          <w:lang w:eastAsia="en-US" w:bidi="en-US"/>
        </w:rPr>
        <w:t>1</w:t>
      </w:r>
      <w:r w:rsidR="00A54DAB" w:rsidRPr="00401515">
        <w:rPr>
          <w:rFonts w:ascii="Times New Roman" w:hAnsi="Times New Roman"/>
          <w:bCs/>
          <w:sz w:val="24"/>
          <w:szCs w:val="24"/>
          <w:lang w:eastAsia="en-US" w:bidi="en-US"/>
        </w:rPr>
        <w:t>*</w:t>
      </w:r>
    </w:p>
    <w:p w14:paraId="10C9D900" w14:textId="77777777" w:rsidR="009856CF" w:rsidRPr="00401515" w:rsidRDefault="009856CF" w:rsidP="005E4FAD">
      <w:pPr>
        <w:spacing w:line="240" w:lineRule="auto"/>
        <w:rPr>
          <w:rFonts w:ascii="Times New Roman" w:hAnsi="Times New Roman"/>
          <w:bCs/>
          <w:sz w:val="24"/>
          <w:szCs w:val="24"/>
          <w:lang w:eastAsia="en-US" w:bidi="en-US"/>
        </w:rPr>
      </w:pPr>
      <w:r w:rsidRPr="00401515">
        <w:rPr>
          <w:rFonts w:ascii="Times New Roman" w:hAnsi="Times New Roman"/>
          <w:bCs/>
          <w:sz w:val="24"/>
          <w:szCs w:val="24"/>
          <w:lang w:eastAsia="en-US" w:bidi="en-US"/>
        </w:rPr>
        <w:t>1</w:t>
      </w:r>
      <w:r w:rsidR="005E4611" w:rsidRPr="00401515">
        <w:rPr>
          <w:rFonts w:ascii="Times New Roman" w:hAnsi="Times New Roman"/>
          <w:bCs/>
          <w:sz w:val="24"/>
          <w:szCs w:val="24"/>
          <w:lang w:eastAsia="en-US" w:bidi="en-US"/>
        </w:rPr>
        <w:t>.</w:t>
      </w:r>
      <w:r w:rsidRPr="00401515">
        <w:rPr>
          <w:rFonts w:ascii="Times New Roman" w:hAnsi="Times New Roman"/>
          <w:bCs/>
          <w:sz w:val="24"/>
          <w:szCs w:val="24"/>
          <w:lang w:eastAsia="en-US" w:bidi="en-US"/>
        </w:rPr>
        <w:t xml:space="preserve"> Division of Laboratory Sciences, National Center for Environmental Health, Centers for Disease Control and Prevention, 4770 Buford Highway Mail Stop F47, Atlanta, GA 30341.</w:t>
      </w:r>
    </w:p>
    <w:p w14:paraId="2A969B0F" w14:textId="77777777" w:rsidR="009856CF" w:rsidRPr="00401515" w:rsidRDefault="00AE0AD5" w:rsidP="005E4FAD">
      <w:pPr>
        <w:spacing w:line="240" w:lineRule="auto"/>
        <w:rPr>
          <w:rFonts w:ascii="Times New Roman" w:hAnsi="Times New Roman"/>
          <w:bCs/>
          <w:sz w:val="24"/>
          <w:szCs w:val="24"/>
          <w:lang w:eastAsia="en-US" w:bidi="en-US"/>
        </w:rPr>
      </w:pPr>
      <w:r w:rsidRPr="00401515">
        <w:rPr>
          <w:rFonts w:ascii="Times New Roman" w:hAnsi="Times New Roman"/>
          <w:bCs/>
          <w:sz w:val="24"/>
          <w:szCs w:val="24"/>
          <w:lang w:eastAsia="en-US" w:bidi="en-US"/>
        </w:rPr>
        <w:t>2. Office of Science, Center for Tobacco Products, U.S. Food and Drug Administration, Silver Spring, MD 20993</w:t>
      </w:r>
    </w:p>
    <w:p w14:paraId="6EC761EB" w14:textId="77777777" w:rsidR="00AE0AD5" w:rsidRPr="00401515" w:rsidRDefault="00AE0AD5" w:rsidP="005E4FAD">
      <w:pPr>
        <w:spacing w:line="240" w:lineRule="auto"/>
        <w:rPr>
          <w:rFonts w:ascii="Times New Roman" w:hAnsi="Times New Roman"/>
          <w:bCs/>
          <w:sz w:val="24"/>
          <w:szCs w:val="24"/>
          <w:lang w:eastAsia="en-US" w:bidi="en-US"/>
        </w:rPr>
      </w:pPr>
    </w:p>
    <w:p w14:paraId="72045B8B" w14:textId="77777777" w:rsidR="00AE0AD5" w:rsidRPr="00401515" w:rsidRDefault="00AE0AD5" w:rsidP="005E4FAD">
      <w:pPr>
        <w:spacing w:line="240" w:lineRule="auto"/>
        <w:rPr>
          <w:rFonts w:ascii="Times New Roman" w:hAnsi="Times New Roman"/>
          <w:bCs/>
          <w:sz w:val="24"/>
          <w:szCs w:val="24"/>
          <w:lang w:eastAsia="en-US" w:bidi="en-US"/>
        </w:rPr>
      </w:pPr>
    </w:p>
    <w:p w14:paraId="2C38E858" w14:textId="3A63D886" w:rsidR="009856CF" w:rsidRDefault="009856CF" w:rsidP="005E4FAD">
      <w:pPr>
        <w:spacing w:line="240" w:lineRule="auto"/>
        <w:rPr>
          <w:rFonts w:ascii="Times New Roman" w:hAnsi="Times New Roman"/>
          <w:bCs/>
          <w:sz w:val="24"/>
          <w:szCs w:val="24"/>
          <w:lang w:eastAsia="en-US" w:bidi="en-US"/>
        </w:rPr>
      </w:pPr>
      <w:r w:rsidRPr="00401515">
        <w:rPr>
          <w:rFonts w:ascii="Times New Roman" w:hAnsi="Times New Roman"/>
          <w:bCs/>
          <w:sz w:val="24"/>
          <w:szCs w:val="24"/>
          <w:lang w:eastAsia="en-US" w:bidi="en-US"/>
        </w:rPr>
        <w:t xml:space="preserve">*Corresponding Authors: </w:t>
      </w:r>
      <w:r w:rsidR="006E3DD5" w:rsidRPr="00401515">
        <w:rPr>
          <w:rFonts w:ascii="Times New Roman" w:hAnsi="Times New Roman"/>
          <w:bCs/>
          <w:sz w:val="24"/>
          <w:szCs w:val="24"/>
          <w:lang w:eastAsia="en-US" w:bidi="en-US"/>
        </w:rPr>
        <w:t xml:space="preserve">Li Zhang </w:t>
      </w:r>
      <w:r w:rsidRPr="00401515">
        <w:rPr>
          <w:rFonts w:ascii="Times New Roman" w:hAnsi="Times New Roman"/>
          <w:bCs/>
          <w:sz w:val="24"/>
          <w:szCs w:val="24"/>
          <w:lang w:eastAsia="en-US" w:bidi="en-US"/>
        </w:rPr>
        <w:t>and</w:t>
      </w:r>
      <w:r w:rsidR="006E3DD5" w:rsidRPr="00401515">
        <w:rPr>
          <w:rFonts w:ascii="Times New Roman" w:hAnsi="Times New Roman"/>
          <w:bCs/>
          <w:sz w:val="24"/>
          <w:szCs w:val="24"/>
          <w:lang w:eastAsia="en-US" w:bidi="en-US"/>
        </w:rPr>
        <w:t xml:space="preserve"> Benjamin Blount</w:t>
      </w:r>
      <w:r w:rsidRPr="00401515">
        <w:rPr>
          <w:rFonts w:ascii="Times New Roman" w:hAnsi="Times New Roman"/>
          <w:bCs/>
          <w:sz w:val="24"/>
          <w:szCs w:val="24"/>
          <w:lang w:eastAsia="en-US" w:bidi="en-US"/>
        </w:rPr>
        <w:t>, Division of Laboratory Sciences, National Center for Environmental Health, Centers for Disease Control and Prevention, 4770 Buford Highway MS F47, Atlanta, GA 30341. Phone: 770-488-4212. Email: LZhang6@cdc.gov</w:t>
      </w:r>
      <w:r w:rsidR="00FD392F" w:rsidRPr="00401515">
        <w:rPr>
          <w:rFonts w:ascii="Times New Roman" w:hAnsi="Times New Roman"/>
          <w:bCs/>
          <w:sz w:val="24"/>
          <w:szCs w:val="24"/>
          <w:lang w:eastAsia="en-US" w:bidi="en-US"/>
        </w:rPr>
        <w:t xml:space="preserve">, </w:t>
      </w:r>
      <w:hyperlink r:id="rId11" w:history="1">
        <w:r w:rsidR="00362FF8" w:rsidRPr="007F11B7">
          <w:rPr>
            <w:rStyle w:val="Hyperlink"/>
            <w:rFonts w:ascii="Times New Roman" w:hAnsi="Times New Roman"/>
            <w:bCs/>
            <w:sz w:val="24"/>
            <w:szCs w:val="24"/>
            <w:lang w:eastAsia="en-US" w:bidi="en-US"/>
          </w:rPr>
          <w:t>bkb3@cdc.gov</w:t>
        </w:r>
      </w:hyperlink>
    </w:p>
    <w:p w14:paraId="0F5037FD" w14:textId="0658E7C0" w:rsidR="00362FF8" w:rsidRDefault="00362FF8" w:rsidP="005E4FAD">
      <w:pPr>
        <w:spacing w:line="240" w:lineRule="auto"/>
        <w:rPr>
          <w:rFonts w:ascii="Times New Roman" w:hAnsi="Times New Roman"/>
          <w:bCs/>
          <w:sz w:val="24"/>
          <w:szCs w:val="24"/>
          <w:lang w:eastAsia="en-US" w:bidi="en-US"/>
        </w:rPr>
      </w:pPr>
    </w:p>
    <w:p w14:paraId="1BBF5817" w14:textId="788D2563" w:rsidR="00362FF8" w:rsidRDefault="00362FF8">
      <w:pPr>
        <w:rPr>
          <w:rFonts w:ascii="Times New Roman" w:hAnsi="Times New Roman"/>
          <w:bCs/>
          <w:sz w:val="24"/>
          <w:szCs w:val="24"/>
          <w:lang w:eastAsia="en-US" w:bidi="en-US"/>
        </w:rPr>
      </w:pPr>
      <w:r>
        <w:rPr>
          <w:rFonts w:ascii="Times New Roman" w:hAnsi="Times New Roman"/>
          <w:bCs/>
          <w:sz w:val="24"/>
          <w:szCs w:val="24"/>
          <w:lang w:eastAsia="en-US" w:bidi="en-US"/>
        </w:rPr>
        <w:br w:type="page"/>
      </w:r>
    </w:p>
    <w:p w14:paraId="4258EEE0" w14:textId="77777777" w:rsidR="00362FF8" w:rsidRPr="00362FF8" w:rsidRDefault="00362FF8" w:rsidP="00362FF8">
      <w:pPr>
        <w:spacing w:line="480" w:lineRule="auto"/>
        <w:rPr>
          <w:rFonts w:ascii="Times New Roman" w:hAnsi="Times New Roman"/>
          <w:b/>
          <w:bCs/>
          <w:i/>
          <w:color w:val="000000" w:themeColor="text1"/>
          <w:sz w:val="24"/>
          <w:szCs w:val="24"/>
          <w:lang w:eastAsia="en-US" w:bidi="en-US"/>
        </w:rPr>
      </w:pPr>
      <w:r w:rsidRPr="00362FF8">
        <w:rPr>
          <w:rFonts w:ascii="Times New Roman" w:hAnsi="Times New Roman"/>
          <w:b/>
          <w:bCs/>
          <w:i/>
          <w:color w:val="000000" w:themeColor="text1"/>
          <w:sz w:val="24"/>
          <w:szCs w:val="24"/>
          <w:lang w:eastAsia="en-US" w:bidi="en-US"/>
        </w:rPr>
        <w:lastRenderedPageBreak/>
        <w:t>Identifying Users of Combusted Tobacco and Non-Users of Tobacco</w:t>
      </w:r>
    </w:p>
    <w:p w14:paraId="68D0EE06" w14:textId="77777777" w:rsidR="00362FF8" w:rsidRPr="00362FF8" w:rsidRDefault="00362FF8" w:rsidP="00362FF8">
      <w:pPr>
        <w:spacing w:line="480" w:lineRule="auto"/>
        <w:ind w:firstLine="720"/>
        <w:rPr>
          <w:rFonts w:ascii="Times New Roman" w:hAnsi="Times New Roman" w:cs="Times New Roman"/>
          <w:bCs/>
          <w:color w:val="000000" w:themeColor="text1"/>
          <w:sz w:val="24"/>
          <w:szCs w:val="24"/>
          <w:lang w:eastAsia="en-US" w:bidi="en-US"/>
        </w:rPr>
      </w:pPr>
      <w:r w:rsidRPr="00362FF8">
        <w:rPr>
          <w:rFonts w:ascii="Times New Roman" w:hAnsi="Times New Roman"/>
          <w:bCs/>
          <w:color w:val="000000" w:themeColor="text1"/>
          <w:sz w:val="24"/>
          <w:szCs w:val="24"/>
          <w:lang w:eastAsia="en-US" w:bidi="en-US"/>
        </w:rPr>
        <w:t>Participants’ recent tobacco use was determined from self-report in response to an NHANES questionnaire (NHANES dataset: SMQRTU_H). NHANES participants were not included in statistical analyses</w:t>
      </w:r>
      <w:r w:rsidRPr="00362FF8" w:rsidDel="00C87F5A">
        <w:rPr>
          <w:rFonts w:ascii="Times New Roman" w:hAnsi="Times New Roman"/>
          <w:bCs/>
          <w:color w:val="000000" w:themeColor="text1"/>
          <w:sz w:val="24"/>
          <w:szCs w:val="24"/>
          <w:lang w:eastAsia="en-US" w:bidi="en-US"/>
        </w:rPr>
        <w:t xml:space="preserve"> </w:t>
      </w:r>
      <w:r w:rsidRPr="00362FF8">
        <w:rPr>
          <w:rFonts w:ascii="Times New Roman" w:hAnsi="Times New Roman"/>
          <w:bCs/>
          <w:color w:val="000000" w:themeColor="text1"/>
          <w:sz w:val="24"/>
          <w:szCs w:val="24"/>
          <w:lang w:eastAsia="en-US" w:bidi="en-US"/>
        </w:rPr>
        <w:t xml:space="preserve">if they recently used smokeless tobacco or nicotine replacement therapy, as indicated by responding “yes” to question SMDANY (tobacco use within 5 days prior to NHANES physical examination) and “yes” to at least one of SMQ851, SMQ863, SMQ690D – SMQ690F, or SMQ690H –SMQ690J (smokeless tobacco and nicotine delivery products). Users of smokeless tobacco and nicotine replacement therapy would have adversely biased the results since use of these products are alternative sources of nicotine </w:t>
      </w:r>
      <w:r w:rsidRPr="00362FF8">
        <w:rPr>
          <w:rFonts w:ascii="Times New Roman" w:hAnsi="Times New Roman" w:cs="Times New Roman"/>
          <w:bCs/>
          <w:color w:val="000000" w:themeColor="text1"/>
          <w:sz w:val="24"/>
          <w:szCs w:val="24"/>
          <w:lang w:eastAsia="en-US" w:bidi="en-US"/>
        </w:rPr>
        <w:t>—</w:t>
      </w:r>
      <w:r w:rsidRPr="00362FF8">
        <w:rPr>
          <w:rFonts w:ascii="Times New Roman" w:hAnsi="Times New Roman"/>
          <w:bCs/>
          <w:color w:val="000000" w:themeColor="text1"/>
          <w:sz w:val="24"/>
          <w:szCs w:val="24"/>
          <w:lang w:eastAsia="en-US" w:bidi="en-US"/>
        </w:rPr>
        <w:t xml:space="preserve"> and thereby its metabolite cotinine, which represents tobacco smoke exposure in the reported analyses) </w:t>
      </w:r>
      <w:r w:rsidRPr="00362FF8">
        <w:rPr>
          <w:rFonts w:ascii="Times New Roman" w:hAnsi="Times New Roman" w:cs="Times New Roman"/>
          <w:bCs/>
          <w:color w:val="000000" w:themeColor="text1"/>
          <w:sz w:val="24"/>
          <w:szCs w:val="24"/>
          <w:lang w:eastAsia="en-US" w:bidi="en-US"/>
        </w:rPr>
        <w:t>—</w:t>
      </w:r>
      <w:r w:rsidRPr="00362FF8">
        <w:rPr>
          <w:rFonts w:ascii="Times New Roman" w:hAnsi="Times New Roman"/>
          <w:bCs/>
          <w:color w:val="000000" w:themeColor="text1"/>
          <w:sz w:val="24"/>
          <w:szCs w:val="24"/>
          <w:lang w:eastAsia="en-US" w:bidi="en-US"/>
        </w:rPr>
        <w:t xml:space="preserve"> but does not involve the combustion necessary </w:t>
      </w:r>
      <w:r w:rsidRPr="00362FF8">
        <w:rPr>
          <w:rFonts w:ascii="Times New Roman" w:hAnsi="Times New Roman" w:cs="Times New Roman"/>
          <w:bCs/>
          <w:color w:val="000000" w:themeColor="text1"/>
          <w:sz w:val="24"/>
          <w:szCs w:val="24"/>
          <w:lang w:eastAsia="en-US" w:bidi="en-US"/>
        </w:rPr>
        <w:t xml:space="preserve">for the formation of AαC and </w:t>
      </w:r>
      <w:proofErr w:type="spellStart"/>
      <w:r w:rsidRPr="00362FF8">
        <w:rPr>
          <w:rFonts w:ascii="Times New Roman" w:hAnsi="Times New Roman" w:cs="Times New Roman"/>
          <w:bCs/>
          <w:color w:val="000000" w:themeColor="text1"/>
          <w:sz w:val="24"/>
          <w:szCs w:val="24"/>
          <w:lang w:eastAsia="en-US" w:bidi="en-US"/>
        </w:rPr>
        <w:t>MeA</w:t>
      </w:r>
      <w:proofErr w:type="spellEnd"/>
      <w:r w:rsidRPr="00362FF8">
        <w:rPr>
          <w:rFonts w:ascii="Times New Roman" w:hAnsi="Times New Roman" w:cs="Times New Roman"/>
          <w:bCs/>
          <w:color w:val="000000" w:themeColor="text1"/>
          <w:sz w:val="24"/>
          <w:szCs w:val="24"/>
          <w:lang w:eastAsia="en-US" w:bidi="en-US"/>
        </w:rPr>
        <w:t>αC</w:t>
      </w:r>
      <w:r w:rsidRPr="00362FF8">
        <w:rPr>
          <w:rFonts w:ascii="Times New Roman" w:hAnsi="Times New Roman"/>
          <w:bCs/>
          <w:color w:val="000000" w:themeColor="text1"/>
          <w:sz w:val="24"/>
          <w:szCs w:val="24"/>
          <w:lang w:eastAsia="en-US" w:bidi="en-US"/>
        </w:rPr>
        <w:t xml:space="preserve">. After excluding users of smokeless tobacco and nicotine replacement therapy, the remaining participants were identified as either exclusive users of combusted tobacco products (henceforth “exclusive smokers”) or </w:t>
      </w:r>
      <w:r w:rsidRPr="00362FF8">
        <w:rPr>
          <w:rFonts w:ascii="Times New Roman" w:hAnsi="Times New Roman" w:cs="Times New Roman"/>
          <w:bCs/>
          <w:color w:val="000000" w:themeColor="text1"/>
          <w:sz w:val="24"/>
          <w:szCs w:val="24"/>
          <w:lang w:eastAsia="en-US" w:bidi="en-US"/>
        </w:rPr>
        <w:t xml:space="preserve">non-users of any tobacco products. Participants who answered </w:t>
      </w:r>
      <w:r w:rsidRPr="00362FF8">
        <w:rPr>
          <w:rFonts w:ascii="Times New Roman" w:hAnsi="Times New Roman"/>
          <w:bCs/>
          <w:color w:val="000000" w:themeColor="text1"/>
          <w:sz w:val="24"/>
          <w:szCs w:val="24"/>
          <w:lang w:eastAsia="en-US" w:bidi="en-US"/>
        </w:rPr>
        <w:t xml:space="preserve">“yes” to SMDANY and “yes” to at least one of SMQ690A – SMQ690C and SMQ690G (cigarettes, pipes, cigars, hookahs/water pipes) were classified as exclusive smokers. </w:t>
      </w:r>
      <w:r w:rsidRPr="00362FF8">
        <w:rPr>
          <w:rFonts w:ascii="Times New Roman" w:hAnsi="Times New Roman" w:cs="Times New Roman"/>
          <w:bCs/>
          <w:color w:val="000000" w:themeColor="text1"/>
          <w:sz w:val="24"/>
          <w:szCs w:val="24"/>
          <w:lang w:eastAsia="en-US" w:bidi="en-US"/>
        </w:rPr>
        <w:t xml:space="preserve">Participants who answered “no” or were missing a response to </w:t>
      </w:r>
      <w:r w:rsidRPr="00362FF8">
        <w:rPr>
          <w:rFonts w:ascii="Times New Roman" w:hAnsi="Times New Roman"/>
          <w:bCs/>
          <w:color w:val="000000" w:themeColor="text1"/>
          <w:sz w:val="24"/>
          <w:szCs w:val="24"/>
          <w:lang w:eastAsia="en-US" w:bidi="en-US"/>
        </w:rPr>
        <w:t>SMDANY</w:t>
      </w:r>
      <w:r w:rsidRPr="00362FF8">
        <w:rPr>
          <w:rFonts w:ascii="Times New Roman" w:hAnsi="Times New Roman" w:cs="Times New Roman"/>
          <w:bCs/>
          <w:color w:val="000000" w:themeColor="text1"/>
          <w:sz w:val="24"/>
          <w:szCs w:val="24"/>
          <w:lang w:eastAsia="en-US" w:bidi="en-US"/>
        </w:rPr>
        <w:t xml:space="preserve"> and had serum cotinine ≤10 ng/mL were classified as non-users of tobacco products. Serum cotinine concentrations exceeding 10 ng/mL is consistent with active use of combusted tobacco products, and was the basis for stratifying statistical analyses reported herein. In summary, the attrition of participants from statistical analysis is as follows: missing serum cotinine data (146</w:t>
      </w:r>
      <w:r w:rsidRPr="00362FF8">
        <w:rPr>
          <w:rFonts w:ascii="Times New Roman" w:hAnsi="Times New Roman" w:cs="Times New Roman"/>
          <w:color w:val="000000" w:themeColor="text1"/>
        </w:rPr>
        <w:t xml:space="preserve"> </w:t>
      </w:r>
      <w:r w:rsidRPr="00362FF8">
        <w:rPr>
          <w:rFonts w:ascii="Times New Roman" w:hAnsi="Times New Roman" w:cs="Times New Roman"/>
          <w:bCs/>
          <w:color w:val="000000" w:themeColor="text1"/>
          <w:sz w:val="24"/>
          <w:szCs w:val="24"/>
          <w:lang w:eastAsia="en-US" w:bidi="en-US"/>
        </w:rPr>
        <w:t xml:space="preserve">participants), use of smokeless tobacco and nicotine replacement therapy (135 participants), or missing data for other variables involved in regression models (532 participants). This attrition resulted in 1,792 study participants eligible for statistical analysis for AαC and 1,793 study participants for </w:t>
      </w:r>
      <w:proofErr w:type="spellStart"/>
      <w:r w:rsidRPr="00362FF8">
        <w:rPr>
          <w:rFonts w:ascii="Times New Roman" w:hAnsi="Times New Roman" w:cs="Times New Roman"/>
          <w:bCs/>
          <w:color w:val="000000" w:themeColor="text1"/>
          <w:sz w:val="24"/>
          <w:szCs w:val="24"/>
          <w:lang w:eastAsia="en-US" w:bidi="en-US"/>
        </w:rPr>
        <w:t>MeA</w:t>
      </w:r>
      <w:proofErr w:type="spellEnd"/>
      <w:r w:rsidRPr="00362FF8">
        <w:rPr>
          <w:rFonts w:ascii="Times New Roman" w:hAnsi="Times New Roman" w:cs="Times New Roman"/>
          <w:bCs/>
          <w:color w:val="000000" w:themeColor="text1"/>
          <w:sz w:val="24"/>
          <w:szCs w:val="24"/>
          <w:lang w:eastAsia="en-US" w:bidi="en-US"/>
        </w:rPr>
        <w:t>αC. For the cigarettes smoked per day (CPD) regression model described below, 32 additional participants were excluded for missing CPD data leaving 1,760 study participants.</w:t>
      </w:r>
      <w:r w:rsidRPr="00362FF8" w:rsidDel="00CD023C">
        <w:rPr>
          <w:rFonts w:ascii="Times New Roman" w:hAnsi="Times New Roman" w:cs="Times New Roman"/>
          <w:bCs/>
          <w:color w:val="000000" w:themeColor="text1"/>
          <w:sz w:val="24"/>
          <w:szCs w:val="24"/>
          <w:lang w:eastAsia="en-US" w:bidi="en-US"/>
        </w:rPr>
        <w:t xml:space="preserve"> </w:t>
      </w:r>
    </w:p>
    <w:p w14:paraId="3248568A" w14:textId="77777777" w:rsidR="00362FF8" w:rsidRPr="00362FF8" w:rsidRDefault="00362FF8" w:rsidP="00362FF8">
      <w:pPr>
        <w:spacing w:line="480" w:lineRule="auto"/>
        <w:rPr>
          <w:rFonts w:ascii="Times New Roman" w:hAnsi="Times New Roman" w:cs="Times New Roman"/>
          <w:bCs/>
          <w:color w:val="000000" w:themeColor="text1"/>
          <w:sz w:val="24"/>
          <w:szCs w:val="24"/>
          <w:lang w:eastAsia="en-US" w:bidi="en-US"/>
        </w:rPr>
      </w:pPr>
    </w:p>
    <w:p w14:paraId="1C2CB75D" w14:textId="77777777" w:rsidR="00362FF8" w:rsidRPr="00362FF8" w:rsidRDefault="00362FF8" w:rsidP="00362FF8">
      <w:pPr>
        <w:spacing w:line="480" w:lineRule="auto"/>
        <w:rPr>
          <w:rFonts w:ascii="Times New Roman" w:hAnsi="Times New Roman"/>
          <w:b/>
          <w:bCs/>
          <w:i/>
          <w:color w:val="000000" w:themeColor="text1"/>
          <w:sz w:val="24"/>
          <w:szCs w:val="24"/>
          <w:lang w:eastAsia="en-US" w:bidi="en-US"/>
        </w:rPr>
      </w:pPr>
      <w:r w:rsidRPr="00362FF8">
        <w:rPr>
          <w:rFonts w:ascii="Times New Roman" w:hAnsi="Times New Roman"/>
          <w:b/>
          <w:bCs/>
          <w:i/>
          <w:color w:val="000000" w:themeColor="text1"/>
          <w:sz w:val="24"/>
          <w:szCs w:val="24"/>
          <w:lang w:eastAsia="en-US" w:bidi="en-US"/>
        </w:rPr>
        <w:t>Statistical Analysis</w:t>
      </w:r>
    </w:p>
    <w:p w14:paraId="7A832C58" w14:textId="77777777" w:rsidR="00362FF8" w:rsidRPr="00362FF8" w:rsidRDefault="00362FF8" w:rsidP="00362FF8">
      <w:pPr>
        <w:spacing w:line="480" w:lineRule="auto"/>
        <w:rPr>
          <w:rFonts w:ascii="Times New Roman" w:hAnsi="Times New Roman" w:cs="Times New Roman"/>
          <w:bCs/>
          <w:color w:val="000000" w:themeColor="text1"/>
          <w:sz w:val="24"/>
          <w:szCs w:val="24"/>
          <w:lang w:eastAsia="en-US" w:bidi="en-US"/>
        </w:rPr>
      </w:pPr>
      <w:r w:rsidRPr="00362FF8">
        <w:rPr>
          <w:rFonts w:ascii="Times New Roman" w:hAnsi="Times New Roman" w:cs="Times New Roman"/>
          <w:bCs/>
          <w:color w:val="000000" w:themeColor="text1"/>
          <w:sz w:val="24"/>
          <w:szCs w:val="24"/>
          <w:lang w:eastAsia="en-US" w:bidi="en-US"/>
        </w:rPr>
        <w:tab/>
        <w:t>NHANES recruits participants by using a multistage, probability sampling design. This complex design must be accounted for in order to estimate variances correctly and to achieve unbiased, nationally representative statistics. Robust estimation can be made by implementing survey sample weights (NHANES Special Sample weight; WTFSM) on each participant’s data and performing Taylor series linearization. This estimation approach was conducted in the statistical software applications SUDAAN</w:t>
      </w:r>
      <w:r w:rsidRPr="00362FF8">
        <w:rPr>
          <w:rFonts w:ascii="Times New Roman" w:hAnsi="Times New Roman" w:cs="Times New Roman"/>
          <w:bCs/>
          <w:color w:val="000000" w:themeColor="text1"/>
          <w:sz w:val="24"/>
          <w:szCs w:val="24"/>
          <w:vertAlign w:val="superscript"/>
          <w:lang w:eastAsia="en-US" w:bidi="en-US"/>
        </w:rPr>
        <w:t>®</w:t>
      </w:r>
      <w:r w:rsidRPr="00362FF8">
        <w:rPr>
          <w:rFonts w:ascii="Times New Roman" w:hAnsi="Times New Roman" w:cs="Times New Roman"/>
          <w:bCs/>
          <w:color w:val="000000" w:themeColor="text1"/>
          <w:sz w:val="24"/>
          <w:szCs w:val="24"/>
          <w:lang w:eastAsia="en-US" w:bidi="en-US"/>
        </w:rPr>
        <w:t>, Version 11.0.0 (Research Triangle Institute, Research Triangle Park, NC) and SAS® 9.4 (S</w:t>
      </w:r>
      <w:r w:rsidRPr="00362FF8">
        <w:rPr>
          <w:rFonts w:ascii="Times New Roman" w:hAnsi="Times New Roman"/>
          <w:bCs/>
          <w:color w:val="000000" w:themeColor="text1"/>
          <w:sz w:val="24"/>
          <w:szCs w:val="24"/>
          <w:lang w:eastAsia="en-US" w:bidi="en-US"/>
        </w:rPr>
        <w:t>AS Institute Inc. Cary, NC</w:t>
      </w:r>
      <w:r w:rsidRPr="00362FF8">
        <w:rPr>
          <w:rFonts w:ascii="Times New Roman" w:hAnsi="Times New Roman" w:cs="Times New Roman"/>
          <w:bCs/>
          <w:color w:val="000000" w:themeColor="text1"/>
          <w:sz w:val="24"/>
          <w:szCs w:val="24"/>
          <w:lang w:eastAsia="en-US" w:bidi="en-US"/>
        </w:rPr>
        <w:t xml:space="preserve">). Data from the NHANES 2013 – 2014 sampling cycle were analyzed with sample-weighted linear regression models that was stratified by tobacco use status (exclusive smokers vs. non-users). </w:t>
      </w:r>
      <w:r w:rsidRPr="00362FF8">
        <w:rPr>
          <w:rFonts w:ascii="Times New Roman" w:eastAsia="Calibri" w:hAnsi="Times New Roman" w:cs="Times New Roman"/>
          <w:color w:val="000000" w:themeColor="text1"/>
          <w:sz w:val="24"/>
          <w:szCs w:val="24"/>
        </w:rPr>
        <w:t xml:space="preserve">The distributions of urinary </w:t>
      </w:r>
      <w:r w:rsidRPr="00362FF8">
        <w:rPr>
          <w:rFonts w:ascii="Times New Roman" w:hAnsi="Times New Roman" w:cs="Times New Roman"/>
          <w:bCs/>
          <w:color w:val="000000" w:themeColor="text1"/>
          <w:sz w:val="24"/>
          <w:szCs w:val="24"/>
          <w:lang w:eastAsia="en-US" w:bidi="en-US"/>
        </w:rPr>
        <w:t xml:space="preserve">AαC and </w:t>
      </w:r>
      <w:proofErr w:type="spellStart"/>
      <w:r w:rsidRPr="00362FF8">
        <w:rPr>
          <w:rFonts w:ascii="Times New Roman" w:hAnsi="Times New Roman" w:cs="Times New Roman"/>
          <w:bCs/>
          <w:color w:val="000000" w:themeColor="text1"/>
          <w:sz w:val="24"/>
          <w:szCs w:val="24"/>
          <w:lang w:eastAsia="en-US" w:bidi="en-US"/>
        </w:rPr>
        <w:t>MeA</w:t>
      </w:r>
      <w:proofErr w:type="spellEnd"/>
      <w:r w:rsidRPr="00362FF8">
        <w:rPr>
          <w:rFonts w:ascii="Times New Roman" w:hAnsi="Times New Roman" w:cs="Times New Roman"/>
          <w:bCs/>
          <w:color w:val="000000" w:themeColor="text1"/>
          <w:sz w:val="24"/>
          <w:szCs w:val="24"/>
          <w:lang w:eastAsia="en-US" w:bidi="en-US"/>
        </w:rPr>
        <w:t>αC</w:t>
      </w:r>
      <w:r w:rsidRPr="00362FF8">
        <w:rPr>
          <w:rFonts w:ascii="Times New Roman" w:eastAsia="Calibri" w:hAnsi="Times New Roman" w:cs="Times New Roman"/>
          <w:color w:val="000000" w:themeColor="text1"/>
          <w:sz w:val="24"/>
          <w:szCs w:val="24"/>
        </w:rPr>
        <w:t xml:space="preserve"> measurements were strongly right-skewed, which would have adversely biased regression results. To improve their distributional symmetry, the urinary measurement data were transformed with the natural log for use as dependent variables in regression models. Parameters estimated from these models are reported herein, along with their 95 percent confidence intervals and </w:t>
      </w:r>
      <w:r w:rsidRPr="00362FF8">
        <w:rPr>
          <w:rFonts w:ascii="Times New Roman" w:eastAsia="Calibri" w:hAnsi="Times New Roman" w:cs="Times New Roman"/>
          <w:i/>
          <w:color w:val="000000" w:themeColor="text1"/>
          <w:sz w:val="24"/>
          <w:szCs w:val="24"/>
        </w:rPr>
        <w:t>p</w:t>
      </w:r>
      <w:r w:rsidRPr="00362FF8">
        <w:rPr>
          <w:rFonts w:ascii="Times New Roman" w:eastAsia="Calibri" w:hAnsi="Times New Roman" w:cs="Times New Roman"/>
          <w:color w:val="000000" w:themeColor="text1"/>
          <w:sz w:val="24"/>
          <w:szCs w:val="24"/>
        </w:rPr>
        <w:t>-values. The log-transformation of urinary concentration is interpretable as a scale of relative change, which may hinder interpretation of the parameter estimates.</w:t>
      </w:r>
      <w:r w:rsidRPr="00362FF8">
        <w:rPr>
          <w:rFonts w:ascii="Times New Roman" w:hAnsi="Times New Roman" w:cs="Times New Roman"/>
          <w:bCs/>
          <w:color w:val="000000" w:themeColor="text1"/>
          <w:sz w:val="24"/>
          <w:szCs w:val="24"/>
          <w:lang w:eastAsia="en-US" w:bidi="en-US"/>
        </w:rPr>
        <w:t xml:space="preserve"> To minimize this difficulty, we also report the parameters </w:t>
      </w:r>
      <m:oMath>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β</m:t>
            </m:r>
          </m:e>
          <m:sub>
            <m:r>
              <w:rPr>
                <w:rFonts w:ascii="Cambria Math" w:hAnsi="Cambria Math" w:cs="Times New Roman"/>
                <w:color w:val="000000" w:themeColor="text1"/>
                <w:sz w:val="24"/>
                <w:szCs w:val="24"/>
                <w:lang w:eastAsia="en-US" w:bidi="en-US"/>
              </w:rPr>
              <m:t>j</m:t>
            </m:r>
          </m:sub>
        </m:sSub>
      </m:oMath>
      <w:r w:rsidRPr="00362FF8">
        <w:rPr>
          <w:rFonts w:ascii="Times New Roman" w:hAnsi="Times New Roman" w:cs="Times New Roman"/>
          <w:bCs/>
          <w:color w:val="000000" w:themeColor="text1"/>
          <w:sz w:val="24"/>
          <w:szCs w:val="24"/>
          <w:lang w:eastAsia="en-US" w:bidi="en-US"/>
        </w:rPr>
        <w:t xml:space="preserve"> transformed so that they represent the absolute change in biomarker concentration </w:t>
      </w:r>
      <m:oMath>
        <m:r>
          <w:rPr>
            <w:rFonts w:ascii="Cambria Math" w:hAnsi="Cambria Math" w:cs="Times New Roman"/>
            <w:color w:val="000000" w:themeColor="text1"/>
            <w:sz w:val="24"/>
            <w:szCs w:val="24"/>
            <w:lang w:eastAsia="en-US" w:bidi="en-US"/>
          </w:rPr>
          <m:t>∆Y</m:t>
        </m:r>
      </m:oMath>
      <w:r w:rsidRPr="00362FF8">
        <w:rPr>
          <w:rFonts w:ascii="Times New Roman" w:hAnsi="Times New Roman" w:cs="Times New Roman"/>
          <w:bCs/>
          <w:color w:val="000000" w:themeColor="text1"/>
          <w:sz w:val="24"/>
          <w:szCs w:val="24"/>
          <w:lang w:eastAsia="en-US" w:bidi="en-US"/>
        </w:rPr>
        <w:t xml:space="preserve"> associated with an absolute increase in the </w:t>
      </w:r>
      <w:proofErr w:type="spellStart"/>
      <w:r w:rsidRPr="00362FF8">
        <w:rPr>
          <w:rFonts w:ascii="Times New Roman" w:hAnsi="Times New Roman" w:cs="Times New Roman"/>
          <w:bCs/>
          <w:i/>
          <w:color w:val="000000" w:themeColor="text1"/>
          <w:sz w:val="24"/>
          <w:szCs w:val="24"/>
          <w:lang w:eastAsia="en-US" w:bidi="en-US"/>
        </w:rPr>
        <w:t>j</w:t>
      </w:r>
      <w:r w:rsidRPr="00362FF8">
        <w:rPr>
          <w:rFonts w:ascii="Times New Roman" w:hAnsi="Times New Roman" w:cs="Times New Roman"/>
          <w:bCs/>
          <w:color w:val="000000" w:themeColor="text1"/>
          <w:sz w:val="24"/>
          <w:szCs w:val="24"/>
          <w:lang w:eastAsia="en-US" w:bidi="en-US"/>
        </w:rPr>
        <w:t>th</w:t>
      </w:r>
      <w:proofErr w:type="spellEnd"/>
      <w:r w:rsidRPr="00362FF8">
        <w:rPr>
          <w:rFonts w:ascii="Times New Roman" w:hAnsi="Times New Roman" w:cs="Times New Roman"/>
          <w:bCs/>
          <w:color w:val="000000" w:themeColor="text1"/>
          <w:sz w:val="24"/>
          <w:szCs w:val="24"/>
          <w:lang w:eastAsia="en-US" w:bidi="en-US"/>
        </w:rPr>
        <w:t xml:space="preserve"> predictor </w:t>
      </w:r>
      <m:oMath>
        <m:r>
          <w:rPr>
            <w:rFonts w:ascii="Cambria Math" w:hAnsi="Cambria Math" w:cs="Times New Roman"/>
            <w:color w:val="000000" w:themeColor="text1"/>
            <w:sz w:val="24"/>
            <w:szCs w:val="24"/>
            <w:lang w:eastAsia="en-US" w:bidi="en-US"/>
          </w:rPr>
          <m:t>∆</m:t>
        </m:r>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X</m:t>
            </m:r>
          </m:e>
          <m:sub>
            <m:r>
              <w:rPr>
                <w:rFonts w:ascii="Cambria Math" w:hAnsi="Cambria Math" w:cs="Times New Roman"/>
                <w:color w:val="000000" w:themeColor="text1"/>
                <w:sz w:val="24"/>
                <w:szCs w:val="24"/>
                <w:lang w:eastAsia="en-US" w:bidi="en-US"/>
              </w:rPr>
              <m:t>j</m:t>
            </m:r>
          </m:sub>
        </m:sSub>
      </m:oMath>
      <w:r w:rsidRPr="00362FF8">
        <w:rPr>
          <w:rFonts w:ascii="Times New Roman" w:hAnsi="Times New Roman" w:cs="Times New Roman"/>
          <w:bCs/>
          <w:color w:val="000000" w:themeColor="text1"/>
          <w:sz w:val="24"/>
          <w:szCs w:val="24"/>
          <w:lang w:eastAsia="en-US" w:bidi="en-US"/>
        </w:rPr>
        <w:t xml:space="preserve"> , as adapted from Rodríguez-Barranco, et al., 2017: </w:t>
      </w:r>
      <m:oMath>
        <m:r>
          <w:rPr>
            <w:rFonts w:ascii="Cambria Math" w:hAnsi="Cambria Math" w:cs="Times New Roman"/>
            <w:color w:val="000000" w:themeColor="text1"/>
            <w:sz w:val="24"/>
            <w:szCs w:val="24"/>
            <w:lang w:eastAsia="en-US" w:bidi="en-US"/>
          </w:rPr>
          <m:t>∆Y=</m:t>
        </m:r>
        <m:d>
          <m:dPr>
            <m:begChr m:val="["/>
            <m:endChr m:val="]"/>
            <m:ctrlPr>
              <w:rPr>
                <w:rFonts w:ascii="Cambria Math" w:hAnsi="Cambria Math" w:cs="Times New Roman"/>
                <w:bCs/>
                <w:i/>
                <w:color w:val="000000" w:themeColor="text1"/>
                <w:sz w:val="24"/>
                <w:szCs w:val="24"/>
                <w:lang w:eastAsia="en-US" w:bidi="en-US"/>
              </w:rPr>
            </m:ctrlPr>
          </m:dPr>
          <m:e>
            <m:r>
              <m:rPr>
                <m:nor/>
              </m:rPr>
              <w:rPr>
                <w:rFonts w:ascii="Cambria Math" w:hAnsi="Cambria Math" w:cs="Times New Roman"/>
                <w:bCs/>
                <w:color w:val="000000" w:themeColor="text1"/>
                <w:sz w:val="24"/>
                <w:szCs w:val="24"/>
                <w:lang w:eastAsia="en-US" w:bidi="en-US"/>
              </w:rPr>
              <m:t>exp</m:t>
            </m:r>
            <m:d>
              <m:dPr>
                <m:ctrlPr>
                  <w:rPr>
                    <w:rFonts w:ascii="Cambria Math" w:hAnsi="Cambria Math" w:cs="Times New Roman"/>
                    <w:bCs/>
                    <w:i/>
                    <w:color w:val="000000" w:themeColor="text1"/>
                    <w:sz w:val="24"/>
                    <w:szCs w:val="24"/>
                    <w:lang w:eastAsia="en-US" w:bidi="en-US"/>
                  </w:rPr>
                </m:ctrlPr>
              </m:dPr>
              <m:e>
                <m:r>
                  <w:rPr>
                    <w:rFonts w:ascii="Cambria Math" w:hAnsi="Cambria Math" w:cs="Times New Roman"/>
                    <w:color w:val="000000" w:themeColor="text1"/>
                    <w:sz w:val="24"/>
                    <w:szCs w:val="24"/>
                    <w:lang w:eastAsia="en-US" w:bidi="en-US"/>
                  </w:rPr>
                  <m:t>∆</m:t>
                </m:r>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X</m:t>
                    </m:r>
                  </m:e>
                  <m:sub>
                    <m:r>
                      <w:rPr>
                        <w:rFonts w:ascii="Cambria Math" w:hAnsi="Cambria Math" w:cs="Times New Roman"/>
                        <w:color w:val="000000" w:themeColor="text1"/>
                        <w:sz w:val="24"/>
                        <w:szCs w:val="24"/>
                        <w:lang w:eastAsia="en-US" w:bidi="en-US"/>
                      </w:rPr>
                      <m:t>j</m:t>
                    </m:r>
                  </m:sub>
                </m:sSub>
                <m:r>
                  <w:rPr>
                    <w:rFonts w:ascii="Cambria Math" w:hAnsi="Cambria Math" w:cs="Times New Roman"/>
                    <w:color w:val="000000" w:themeColor="text1"/>
                    <w:sz w:val="24"/>
                    <w:szCs w:val="24"/>
                    <w:lang w:eastAsia="en-US" w:bidi="en-US"/>
                  </w:rPr>
                  <m:t>∙</m:t>
                </m:r>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β</m:t>
                    </m:r>
                  </m:e>
                  <m:sub>
                    <m:r>
                      <w:rPr>
                        <w:rFonts w:ascii="Cambria Math" w:hAnsi="Cambria Math" w:cs="Times New Roman"/>
                        <w:color w:val="000000" w:themeColor="text1"/>
                        <w:sz w:val="24"/>
                        <w:szCs w:val="24"/>
                        <w:lang w:eastAsia="en-US" w:bidi="en-US"/>
                      </w:rPr>
                      <m:t>j</m:t>
                    </m:r>
                  </m:sub>
                </m:sSub>
              </m:e>
            </m:d>
            <m:r>
              <w:rPr>
                <w:rFonts w:ascii="Cambria Math" w:hAnsi="Cambria Math" w:cs="Times New Roman"/>
                <w:color w:val="000000" w:themeColor="text1"/>
                <w:sz w:val="24"/>
                <w:szCs w:val="24"/>
                <w:lang w:eastAsia="en-US" w:bidi="en-US"/>
              </w:rPr>
              <m:t>-1</m:t>
            </m:r>
          </m:e>
        </m:d>
        <m:r>
          <w:rPr>
            <w:rFonts w:ascii="Cambria Math" w:hAnsi="Cambria Math" w:cs="Times New Roman"/>
            <w:color w:val="000000" w:themeColor="text1"/>
            <w:sz w:val="24"/>
            <w:szCs w:val="24"/>
            <w:lang w:eastAsia="en-US" w:bidi="en-US"/>
          </w:rPr>
          <m:t>∙</m:t>
        </m:r>
        <m:r>
          <m:rPr>
            <m:nor/>
          </m:rPr>
          <w:rPr>
            <w:rFonts w:ascii="Cambria Math" w:hAnsi="Cambria Math" w:cs="Times New Roman"/>
            <w:bCs/>
            <w:color w:val="000000" w:themeColor="text1"/>
            <w:sz w:val="24"/>
            <w:szCs w:val="24"/>
            <w:lang w:eastAsia="en-US" w:bidi="en-US"/>
          </w:rPr>
          <m:t>GM</m:t>
        </m:r>
        <m:d>
          <m:dPr>
            <m:begChr m:val="["/>
            <m:endChr m:val="]"/>
            <m:ctrlPr>
              <w:rPr>
                <w:rFonts w:ascii="Cambria Math" w:hAnsi="Cambria Math" w:cs="Times New Roman"/>
                <w:bCs/>
                <w:i/>
                <w:color w:val="000000" w:themeColor="text1"/>
                <w:sz w:val="24"/>
                <w:szCs w:val="24"/>
                <w:lang w:eastAsia="en-US" w:bidi="en-US"/>
              </w:rPr>
            </m:ctrlPr>
          </m:dPr>
          <m:e>
            <m:r>
              <w:rPr>
                <w:rFonts w:ascii="Cambria Math" w:hAnsi="Cambria Math" w:cs="Times New Roman"/>
                <w:color w:val="000000" w:themeColor="text1"/>
                <w:sz w:val="24"/>
                <w:szCs w:val="24"/>
                <w:lang w:eastAsia="en-US" w:bidi="en-US"/>
              </w:rPr>
              <m:t>Y</m:t>
            </m:r>
          </m:e>
        </m:d>
      </m:oMath>
      <w:r w:rsidRPr="00362FF8">
        <w:rPr>
          <w:rFonts w:ascii="Times New Roman" w:hAnsi="Times New Roman" w:cs="Times New Roman"/>
          <w:bCs/>
          <w:color w:val="000000" w:themeColor="text1"/>
          <w:sz w:val="24"/>
          <w:szCs w:val="24"/>
          <w:lang w:eastAsia="en-US" w:bidi="en-US"/>
        </w:rPr>
        <w:t xml:space="preserve">. The sample-weighted geometric mean of biomarker concentration is represented by </w:t>
      </w:r>
      <m:oMath>
        <m:r>
          <m:rPr>
            <m:nor/>
          </m:rPr>
          <w:rPr>
            <w:rFonts w:ascii="Cambria Math" w:hAnsi="Cambria Math" w:cs="Times New Roman"/>
            <w:bCs/>
            <w:color w:val="000000" w:themeColor="text1"/>
            <w:sz w:val="24"/>
            <w:szCs w:val="24"/>
            <w:lang w:eastAsia="en-US" w:bidi="en-US"/>
          </w:rPr>
          <m:t>GM</m:t>
        </m:r>
        <m:d>
          <m:dPr>
            <m:begChr m:val="["/>
            <m:endChr m:val="]"/>
            <m:ctrlPr>
              <w:rPr>
                <w:rFonts w:ascii="Cambria Math" w:hAnsi="Cambria Math" w:cs="Times New Roman"/>
                <w:bCs/>
                <w:i/>
                <w:color w:val="000000" w:themeColor="text1"/>
                <w:sz w:val="24"/>
                <w:szCs w:val="24"/>
                <w:lang w:eastAsia="en-US" w:bidi="en-US"/>
              </w:rPr>
            </m:ctrlPr>
          </m:dPr>
          <m:e>
            <m:r>
              <w:rPr>
                <w:rFonts w:ascii="Cambria Math" w:hAnsi="Cambria Math" w:cs="Times New Roman"/>
                <w:color w:val="000000" w:themeColor="text1"/>
                <w:sz w:val="24"/>
                <w:szCs w:val="24"/>
                <w:lang w:eastAsia="en-US" w:bidi="en-US"/>
              </w:rPr>
              <m:t>Y</m:t>
            </m:r>
          </m:e>
        </m:d>
      </m:oMath>
      <w:r w:rsidRPr="00362FF8">
        <w:rPr>
          <w:rFonts w:ascii="Times New Roman" w:hAnsi="Times New Roman" w:cs="Times New Roman"/>
          <w:bCs/>
          <w:color w:val="000000" w:themeColor="text1"/>
          <w:sz w:val="24"/>
          <w:szCs w:val="24"/>
          <w:lang w:eastAsia="en-US" w:bidi="en-US"/>
        </w:rPr>
        <w:t xml:space="preserve">, which accompanies the tabulated regression results in their respective captions. The transformation of </w:t>
      </w:r>
      <m:oMath>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β</m:t>
            </m:r>
          </m:e>
          <m:sub>
            <m:r>
              <w:rPr>
                <w:rFonts w:ascii="Cambria Math" w:hAnsi="Cambria Math" w:cs="Times New Roman"/>
                <w:color w:val="000000" w:themeColor="text1"/>
                <w:sz w:val="24"/>
                <w:szCs w:val="24"/>
                <w:lang w:eastAsia="en-US" w:bidi="en-US"/>
              </w:rPr>
              <m:t>j</m:t>
            </m:r>
          </m:sub>
        </m:sSub>
      </m:oMath>
      <w:r w:rsidRPr="00362FF8">
        <w:rPr>
          <w:rFonts w:ascii="Times New Roman" w:hAnsi="Times New Roman" w:cs="Times New Roman"/>
          <w:bCs/>
          <w:color w:val="000000" w:themeColor="text1"/>
          <w:sz w:val="24"/>
          <w:szCs w:val="24"/>
          <w:lang w:eastAsia="en-US" w:bidi="en-US"/>
        </w:rPr>
        <w:t xml:space="preserve"> to </w:t>
      </w:r>
      <m:oMath>
        <m:r>
          <w:rPr>
            <w:rFonts w:ascii="Cambria Math" w:hAnsi="Cambria Math" w:cs="Times New Roman"/>
            <w:color w:val="000000" w:themeColor="text1"/>
            <w:sz w:val="24"/>
            <w:szCs w:val="24"/>
            <w:lang w:eastAsia="en-US" w:bidi="en-US"/>
          </w:rPr>
          <m:t>∆Y</m:t>
        </m:r>
      </m:oMath>
      <w:r w:rsidRPr="00362FF8">
        <w:rPr>
          <w:rFonts w:ascii="Times New Roman" w:hAnsi="Times New Roman" w:cs="Times New Roman"/>
          <w:bCs/>
          <w:color w:val="000000" w:themeColor="text1"/>
          <w:sz w:val="24"/>
          <w:szCs w:val="24"/>
          <w:lang w:eastAsia="en-US" w:bidi="en-US"/>
        </w:rPr>
        <w:t xml:space="preserve"> herein assumes </w:t>
      </w:r>
      <m:oMath>
        <m:r>
          <w:rPr>
            <w:rFonts w:ascii="Cambria Math" w:hAnsi="Cambria Math" w:cs="Times New Roman"/>
            <w:color w:val="000000" w:themeColor="text1"/>
            <w:sz w:val="24"/>
            <w:szCs w:val="24"/>
            <w:lang w:eastAsia="en-US" w:bidi="en-US"/>
          </w:rPr>
          <m:t>∆</m:t>
        </m:r>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X</m:t>
            </m:r>
          </m:e>
          <m:sub>
            <m:r>
              <w:rPr>
                <w:rFonts w:ascii="Cambria Math" w:hAnsi="Cambria Math" w:cs="Times New Roman"/>
                <w:color w:val="000000" w:themeColor="text1"/>
                <w:sz w:val="24"/>
                <w:szCs w:val="24"/>
                <w:lang w:eastAsia="en-US" w:bidi="en-US"/>
              </w:rPr>
              <m:t>j</m:t>
            </m:r>
          </m:sub>
        </m:sSub>
        <m:r>
          <w:rPr>
            <w:rFonts w:ascii="Cambria Math" w:hAnsi="Cambria Math" w:cs="Times New Roman"/>
            <w:color w:val="000000" w:themeColor="text1"/>
            <w:sz w:val="24"/>
            <w:szCs w:val="24"/>
            <w:lang w:eastAsia="en-US" w:bidi="en-US"/>
          </w:rPr>
          <m:t>=1</m:t>
        </m:r>
      </m:oMath>
      <w:r w:rsidRPr="00362FF8">
        <w:rPr>
          <w:rFonts w:ascii="Times New Roman" w:hAnsi="Times New Roman" w:cs="Times New Roman"/>
          <w:bCs/>
          <w:color w:val="000000" w:themeColor="text1"/>
          <w:sz w:val="24"/>
          <w:szCs w:val="24"/>
          <w:lang w:eastAsia="en-US" w:bidi="en-US"/>
        </w:rPr>
        <w:t xml:space="preserve">, so that </w:t>
      </w:r>
      <m:oMath>
        <m:r>
          <w:rPr>
            <w:rFonts w:ascii="Cambria Math" w:hAnsi="Cambria Math" w:cs="Times New Roman"/>
            <w:color w:val="000000" w:themeColor="text1"/>
            <w:sz w:val="24"/>
            <w:szCs w:val="24"/>
            <w:lang w:eastAsia="en-US" w:bidi="en-US"/>
          </w:rPr>
          <m:t>∆Y</m:t>
        </m:r>
      </m:oMath>
      <w:r w:rsidRPr="00362FF8">
        <w:rPr>
          <w:rFonts w:ascii="Times New Roman" w:hAnsi="Times New Roman" w:cs="Times New Roman"/>
          <w:bCs/>
          <w:color w:val="000000" w:themeColor="text1"/>
          <w:sz w:val="24"/>
          <w:szCs w:val="24"/>
          <w:lang w:eastAsia="en-US" w:bidi="en-US"/>
        </w:rPr>
        <w:t xml:space="preserve"> represents the absolute change associated with a unit-increase in the predictor. The 95 percent confidence interval is: </w:t>
      </w:r>
      <m:oMath>
        <m:r>
          <w:rPr>
            <w:rFonts w:ascii="Cambria Math" w:hAnsi="Cambria Math" w:cs="Times New Roman"/>
            <w:color w:val="000000" w:themeColor="text1"/>
            <w:sz w:val="24"/>
            <w:szCs w:val="24"/>
            <w:lang w:eastAsia="en-US" w:bidi="en-US"/>
          </w:rPr>
          <m:t>95%</m:t>
        </m:r>
        <m:r>
          <m:rPr>
            <m:nor/>
          </m:rPr>
          <w:rPr>
            <w:rFonts w:ascii="Cambria Math" w:hAnsi="Cambria Math" w:cs="Times New Roman"/>
            <w:bCs/>
            <w:color w:val="000000" w:themeColor="text1"/>
            <w:sz w:val="24"/>
            <w:szCs w:val="24"/>
            <w:lang w:eastAsia="en-US" w:bidi="en-US"/>
          </w:rPr>
          <m:t>CI</m:t>
        </m:r>
        <m:r>
          <w:rPr>
            <w:rFonts w:ascii="Cambria Math" w:hAnsi="Cambria Math" w:cs="Times New Roman"/>
            <w:color w:val="000000" w:themeColor="text1"/>
            <w:sz w:val="24"/>
            <w:szCs w:val="24"/>
            <w:lang w:eastAsia="en-US" w:bidi="en-US"/>
          </w:rPr>
          <m:t xml:space="preserve"> ∆Y=</m:t>
        </m:r>
        <m:d>
          <m:dPr>
            <m:begChr m:val="["/>
            <m:endChr m:val="]"/>
            <m:ctrlPr>
              <w:rPr>
                <w:rFonts w:ascii="Cambria Math" w:hAnsi="Cambria Math" w:cs="Times New Roman"/>
                <w:bCs/>
                <w:i/>
                <w:color w:val="000000" w:themeColor="text1"/>
                <w:sz w:val="24"/>
                <w:szCs w:val="24"/>
                <w:lang w:eastAsia="en-US" w:bidi="en-US"/>
              </w:rPr>
            </m:ctrlPr>
          </m:dPr>
          <m:e>
            <m:r>
              <m:rPr>
                <m:nor/>
              </m:rPr>
              <w:rPr>
                <w:rFonts w:ascii="Cambria Math" w:hAnsi="Cambria Math" w:cs="Times New Roman"/>
                <w:bCs/>
                <w:color w:val="000000" w:themeColor="text1"/>
                <w:sz w:val="24"/>
                <w:szCs w:val="24"/>
                <w:lang w:eastAsia="en-US" w:bidi="en-US"/>
              </w:rPr>
              <m:t>exp</m:t>
            </m:r>
            <m:d>
              <m:dPr>
                <m:ctrlPr>
                  <w:rPr>
                    <w:rFonts w:ascii="Cambria Math" w:hAnsi="Cambria Math" w:cs="Times New Roman"/>
                    <w:bCs/>
                    <w:i/>
                    <w:color w:val="000000" w:themeColor="text1"/>
                    <w:sz w:val="24"/>
                    <w:szCs w:val="24"/>
                    <w:lang w:eastAsia="en-US" w:bidi="en-US"/>
                  </w:rPr>
                </m:ctrlPr>
              </m:dPr>
              <m:e>
                <m:r>
                  <w:rPr>
                    <w:rFonts w:ascii="Cambria Math" w:hAnsi="Cambria Math" w:cs="Times New Roman"/>
                    <w:color w:val="000000" w:themeColor="text1"/>
                    <w:sz w:val="24"/>
                    <w:szCs w:val="24"/>
                    <w:lang w:eastAsia="en-US" w:bidi="en-US"/>
                  </w:rPr>
                  <m:t>∆</m:t>
                </m:r>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X</m:t>
                    </m:r>
                  </m:e>
                  <m:sub>
                    <m:r>
                      <w:rPr>
                        <w:rFonts w:ascii="Cambria Math" w:hAnsi="Cambria Math" w:cs="Times New Roman"/>
                        <w:color w:val="000000" w:themeColor="text1"/>
                        <w:sz w:val="24"/>
                        <w:szCs w:val="24"/>
                        <w:lang w:eastAsia="en-US" w:bidi="en-US"/>
                      </w:rPr>
                      <m:t>j</m:t>
                    </m:r>
                  </m:sub>
                </m:sSub>
                <m:r>
                  <w:rPr>
                    <w:rFonts w:ascii="Cambria Math" w:hAnsi="Cambria Math" w:cs="Times New Roman"/>
                    <w:color w:val="000000" w:themeColor="text1"/>
                    <w:sz w:val="24"/>
                    <w:szCs w:val="24"/>
                    <w:lang w:eastAsia="en-US" w:bidi="en-US"/>
                  </w:rPr>
                  <m:t>∙</m:t>
                </m:r>
                <m:d>
                  <m:dPr>
                    <m:begChr m:val="{"/>
                    <m:endChr m:val="}"/>
                    <m:ctrlPr>
                      <w:rPr>
                        <w:rFonts w:ascii="Cambria Math" w:hAnsi="Cambria Math" w:cs="Times New Roman"/>
                        <w:bCs/>
                        <w:i/>
                        <w:color w:val="000000" w:themeColor="text1"/>
                        <w:sz w:val="24"/>
                        <w:szCs w:val="24"/>
                        <w:lang w:eastAsia="en-US" w:bidi="en-US"/>
                      </w:rPr>
                    </m:ctrlPr>
                  </m:dPr>
                  <m:e>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β</m:t>
                        </m:r>
                      </m:e>
                      <m:sub>
                        <m:r>
                          <w:rPr>
                            <w:rFonts w:ascii="Cambria Math" w:hAnsi="Cambria Math" w:cs="Times New Roman"/>
                            <w:color w:val="000000" w:themeColor="text1"/>
                            <w:sz w:val="24"/>
                            <w:szCs w:val="24"/>
                            <w:lang w:eastAsia="en-US" w:bidi="en-US"/>
                          </w:rPr>
                          <m:t>j</m:t>
                        </m:r>
                      </m:sub>
                    </m:sSub>
                    <m:r>
                      <w:rPr>
                        <w:rFonts w:ascii="Cambria Math" w:hAnsi="Cambria Math" w:cs="Times New Roman"/>
                        <w:color w:val="000000" w:themeColor="text1"/>
                        <w:sz w:val="24"/>
                        <w:szCs w:val="24"/>
                        <w:lang w:eastAsia="en-US" w:bidi="en-US"/>
                      </w:rPr>
                      <m:t>±1.96∙</m:t>
                    </m:r>
                    <m:r>
                      <m:rPr>
                        <m:nor/>
                      </m:rPr>
                      <w:rPr>
                        <w:rFonts w:ascii="Cambria Math" w:hAnsi="Cambria Math" w:cs="Times New Roman"/>
                        <w:bCs/>
                        <w:color w:val="000000" w:themeColor="text1"/>
                        <w:sz w:val="24"/>
                        <w:szCs w:val="24"/>
                        <w:lang w:eastAsia="en-US" w:bidi="en-US"/>
                      </w:rPr>
                      <m:t>se</m:t>
                    </m:r>
                    <m:d>
                      <m:dPr>
                        <m:begChr m:val="["/>
                        <m:endChr m:val="]"/>
                        <m:ctrlPr>
                          <w:rPr>
                            <w:rFonts w:ascii="Cambria Math" w:hAnsi="Cambria Math" w:cs="Times New Roman"/>
                            <w:bCs/>
                            <w:i/>
                            <w:color w:val="000000" w:themeColor="text1"/>
                            <w:sz w:val="24"/>
                            <w:szCs w:val="24"/>
                            <w:lang w:eastAsia="en-US" w:bidi="en-US"/>
                          </w:rPr>
                        </m:ctrlPr>
                      </m:dPr>
                      <m:e>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β</m:t>
                            </m:r>
                          </m:e>
                          <m:sub>
                            <m:r>
                              <w:rPr>
                                <w:rFonts w:ascii="Cambria Math" w:hAnsi="Cambria Math" w:cs="Times New Roman"/>
                                <w:color w:val="000000" w:themeColor="text1"/>
                                <w:sz w:val="24"/>
                                <w:szCs w:val="24"/>
                                <w:lang w:eastAsia="en-US" w:bidi="en-US"/>
                              </w:rPr>
                              <m:t>j</m:t>
                            </m:r>
                          </m:sub>
                        </m:sSub>
                      </m:e>
                    </m:d>
                  </m:e>
                </m:d>
              </m:e>
            </m:d>
            <m:r>
              <w:rPr>
                <w:rFonts w:ascii="Cambria Math" w:hAnsi="Cambria Math" w:cs="Times New Roman"/>
                <w:color w:val="000000" w:themeColor="text1"/>
                <w:sz w:val="24"/>
                <w:szCs w:val="24"/>
                <w:lang w:eastAsia="en-US" w:bidi="en-US"/>
              </w:rPr>
              <m:t>-1</m:t>
            </m:r>
          </m:e>
        </m:d>
        <m:r>
          <w:rPr>
            <w:rFonts w:ascii="Cambria Math" w:hAnsi="Cambria Math" w:cs="Times New Roman"/>
            <w:color w:val="000000" w:themeColor="text1"/>
            <w:sz w:val="24"/>
            <w:szCs w:val="24"/>
            <w:lang w:eastAsia="en-US" w:bidi="en-US"/>
          </w:rPr>
          <m:t>∙</m:t>
        </m:r>
        <m:r>
          <m:rPr>
            <m:nor/>
          </m:rPr>
          <w:rPr>
            <w:rFonts w:ascii="Cambria Math" w:hAnsi="Cambria Math" w:cs="Times New Roman"/>
            <w:bCs/>
            <w:color w:val="000000" w:themeColor="text1"/>
            <w:sz w:val="24"/>
            <w:szCs w:val="24"/>
            <w:lang w:eastAsia="en-US" w:bidi="en-US"/>
          </w:rPr>
          <m:t>GM</m:t>
        </m:r>
        <m:d>
          <m:dPr>
            <m:begChr m:val="["/>
            <m:endChr m:val="]"/>
            <m:ctrlPr>
              <w:rPr>
                <w:rFonts w:ascii="Cambria Math" w:hAnsi="Cambria Math" w:cs="Times New Roman"/>
                <w:bCs/>
                <w:i/>
                <w:color w:val="000000" w:themeColor="text1"/>
                <w:sz w:val="24"/>
                <w:szCs w:val="24"/>
                <w:lang w:eastAsia="en-US" w:bidi="en-US"/>
              </w:rPr>
            </m:ctrlPr>
          </m:dPr>
          <m:e>
            <m:r>
              <w:rPr>
                <w:rFonts w:ascii="Cambria Math" w:hAnsi="Cambria Math" w:cs="Times New Roman"/>
                <w:color w:val="000000" w:themeColor="text1"/>
                <w:sz w:val="24"/>
                <w:szCs w:val="24"/>
                <w:lang w:eastAsia="en-US" w:bidi="en-US"/>
              </w:rPr>
              <m:t>Y</m:t>
            </m:r>
          </m:e>
        </m:d>
      </m:oMath>
      <w:r w:rsidRPr="00362FF8">
        <w:rPr>
          <w:rFonts w:ascii="Times New Roman" w:hAnsi="Times New Roman" w:cs="Times New Roman"/>
          <w:bCs/>
          <w:color w:val="000000" w:themeColor="text1"/>
          <w:sz w:val="24"/>
          <w:szCs w:val="24"/>
          <w:lang w:eastAsia="en-US" w:bidi="en-US"/>
        </w:rPr>
        <w:t xml:space="preserve">, where </w:t>
      </w:r>
      <m:oMath>
        <m:r>
          <m:rPr>
            <m:nor/>
          </m:rPr>
          <w:rPr>
            <w:rFonts w:ascii="Cambria Math" w:hAnsi="Cambria Math" w:cs="Times New Roman"/>
            <w:bCs/>
            <w:color w:val="000000" w:themeColor="text1"/>
            <w:sz w:val="24"/>
            <w:szCs w:val="24"/>
            <w:lang w:eastAsia="en-US" w:bidi="en-US"/>
          </w:rPr>
          <w:lastRenderedPageBreak/>
          <m:t>se</m:t>
        </m:r>
        <m:d>
          <m:dPr>
            <m:begChr m:val="["/>
            <m:endChr m:val="]"/>
            <m:ctrlPr>
              <w:rPr>
                <w:rFonts w:ascii="Cambria Math" w:hAnsi="Cambria Math" w:cs="Times New Roman"/>
                <w:bCs/>
                <w:i/>
                <w:color w:val="000000" w:themeColor="text1"/>
                <w:sz w:val="24"/>
                <w:szCs w:val="24"/>
                <w:lang w:eastAsia="en-US" w:bidi="en-US"/>
              </w:rPr>
            </m:ctrlPr>
          </m:dPr>
          <m:e>
            <m:sSub>
              <m:sSubPr>
                <m:ctrlPr>
                  <w:rPr>
                    <w:rFonts w:ascii="Cambria Math" w:hAnsi="Cambria Math" w:cs="Times New Roman"/>
                    <w:bCs/>
                    <w:i/>
                    <w:color w:val="000000" w:themeColor="text1"/>
                    <w:sz w:val="24"/>
                    <w:szCs w:val="24"/>
                    <w:lang w:eastAsia="en-US" w:bidi="en-US"/>
                  </w:rPr>
                </m:ctrlPr>
              </m:sSubPr>
              <m:e>
                <m:r>
                  <w:rPr>
                    <w:rFonts w:ascii="Cambria Math" w:hAnsi="Cambria Math" w:cs="Times New Roman"/>
                    <w:color w:val="000000" w:themeColor="text1"/>
                    <w:sz w:val="24"/>
                    <w:szCs w:val="24"/>
                    <w:lang w:eastAsia="en-US" w:bidi="en-US"/>
                  </w:rPr>
                  <m:t>β</m:t>
                </m:r>
              </m:e>
              <m:sub>
                <m:r>
                  <w:rPr>
                    <w:rFonts w:ascii="Cambria Math" w:hAnsi="Cambria Math" w:cs="Times New Roman"/>
                    <w:color w:val="000000" w:themeColor="text1"/>
                    <w:sz w:val="24"/>
                    <w:szCs w:val="24"/>
                    <w:lang w:eastAsia="en-US" w:bidi="en-US"/>
                  </w:rPr>
                  <m:t>j</m:t>
                </m:r>
              </m:sub>
            </m:sSub>
          </m:e>
        </m:d>
      </m:oMath>
      <w:r w:rsidRPr="00362FF8">
        <w:rPr>
          <w:rFonts w:ascii="Times New Roman" w:hAnsi="Times New Roman" w:cs="Times New Roman"/>
          <w:bCs/>
          <w:color w:val="000000" w:themeColor="text1"/>
          <w:sz w:val="24"/>
          <w:szCs w:val="24"/>
          <w:lang w:eastAsia="en-US" w:bidi="en-US"/>
        </w:rPr>
        <w:t xml:space="preserve"> is the sample-weighted standard error of the parameter. The width of the </w:t>
      </w:r>
      <m:oMath>
        <m:r>
          <w:rPr>
            <w:rFonts w:ascii="Cambria Math" w:hAnsi="Cambria Math" w:cs="Times New Roman"/>
            <w:color w:val="000000" w:themeColor="text1"/>
            <w:sz w:val="24"/>
            <w:szCs w:val="24"/>
            <w:lang w:eastAsia="en-US" w:bidi="en-US"/>
          </w:rPr>
          <m:t>95%</m:t>
        </m:r>
        <m:r>
          <m:rPr>
            <m:nor/>
          </m:rPr>
          <w:rPr>
            <w:rFonts w:ascii="Cambria Math" w:hAnsi="Cambria Math" w:cs="Times New Roman"/>
            <w:bCs/>
            <w:color w:val="000000" w:themeColor="text1"/>
            <w:sz w:val="24"/>
            <w:szCs w:val="24"/>
            <w:lang w:eastAsia="en-US" w:bidi="en-US"/>
          </w:rPr>
          <m:t>CI</m:t>
        </m:r>
      </m:oMath>
      <w:r w:rsidRPr="00362FF8">
        <w:rPr>
          <w:rFonts w:ascii="Times New Roman" w:hAnsi="Times New Roman" w:cs="Times New Roman"/>
          <w:bCs/>
          <w:color w:val="000000" w:themeColor="text1"/>
          <w:sz w:val="24"/>
          <w:szCs w:val="24"/>
          <w:lang w:eastAsia="en-US" w:bidi="en-US"/>
        </w:rPr>
        <w:t xml:space="preserve"> may be slightly underestimated since GM</w:t>
      </w:r>
      <m:oMath>
        <m:r>
          <w:rPr>
            <w:rFonts w:ascii="Cambria Math" w:hAnsi="Cambria Math" w:cs="Times New Roman"/>
            <w:color w:val="000000" w:themeColor="text1"/>
            <w:sz w:val="24"/>
            <w:szCs w:val="24"/>
            <w:lang w:eastAsia="en-US" w:bidi="en-US"/>
          </w:rPr>
          <m:t>[Y]</m:t>
        </m:r>
      </m:oMath>
      <w:r w:rsidRPr="00362FF8">
        <w:rPr>
          <w:rFonts w:ascii="Times New Roman" w:hAnsi="Times New Roman" w:cs="Times New Roman"/>
          <w:bCs/>
          <w:color w:val="000000" w:themeColor="text1"/>
          <w:sz w:val="24"/>
          <w:szCs w:val="24"/>
          <w:lang w:eastAsia="en-US" w:bidi="en-US"/>
        </w:rPr>
        <w:t xml:space="preserve"> is treated as a fixed quantity. In addition, </w:t>
      </w:r>
      <m:oMath>
        <m:r>
          <w:rPr>
            <w:rFonts w:ascii="Cambria Math" w:hAnsi="Cambria Math" w:cs="Times New Roman"/>
            <w:color w:val="000000" w:themeColor="text1"/>
            <w:sz w:val="24"/>
            <w:szCs w:val="24"/>
            <w:lang w:eastAsia="en-US" w:bidi="en-US"/>
          </w:rPr>
          <m:t>∆Y</m:t>
        </m:r>
      </m:oMath>
      <w:r w:rsidRPr="00362FF8">
        <w:rPr>
          <w:rFonts w:ascii="Times New Roman" w:hAnsi="Times New Roman" w:cs="Times New Roman"/>
          <w:bCs/>
          <w:color w:val="000000" w:themeColor="text1"/>
          <w:sz w:val="24"/>
          <w:szCs w:val="24"/>
          <w:lang w:eastAsia="en-US" w:bidi="en-US"/>
        </w:rPr>
        <w:t xml:space="preserve"> and its </w:t>
      </w:r>
      <m:oMath>
        <m:r>
          <w:rPr>
            <w:rFonts w:ascii="Cambria Math" w:hAnsi="Cambria Math" w:cs="Times New Roman"/>
            <w:color w:val="000000" w:themeColor="text1"/>
            <w:sz w:val="24"/>
            <w:szCs w:val="24"/>
            <w:lang w:eastAsia="en-US" w:bidi="en-US"/>
          </w:rPr>
          <m:t>95%</m:t>
        </m:r>
        <m:r>
          <m:rPr>
            <m:nor/>
          </m:rPr>
          <w:rPr>
            <w:rFonts w:ascii="Cambria Math" w:hAnsi="Cambria Math" w:cs="Times New Roman"/>
            <w:bCs/>
            <w:color w:val="000000" w:themeColor="text1"/>
            <w:sz w:val="24"/>
            <w:szCs w:val="24"/>
            <w:lang w:eastAsia="en-US" w:bidi="en-US"/>
          </w:rPr>
          <m:t>CI</m:t>
        </m:r>
      </m:oMath>
      <w:r w:rsidRPr="00362FF8">
        <w:rPr>
          <w:rFonts w:ascii="Times New Roman" w:hAnsi="Times New Roman" w:cs="Times New Roman"/>
          <w:bCs/>
          <w:color w:val="000000" w:themeColor="text1"/>
          <w:sz w:val="24"/>
          <w:szCs w:val="24"/>
          <w:lang w:eastAsia="en-US" w:bidi="en-US"/>
        </w:rPr>
        <w:t xml:space="preserve"> are calculated at </w:t>
      </w:r>
      <m:oMath>
        <m:r>
          <m:rPr>
            <m:nor/>
          </m:rPr>
          <w:rPr>
            <w:rFonts w:ascii="Cambria Math" w:hAnsi="Cambria Math" w:cs="Times New Roman"/>
            <w:bCs/>
            <w:color w:val="000000" w:themeColor="text1"/>
            <w:sz w:val="24"/>
            <w:szCs w:val="24"/>
            <w:lang w:eastAsia="en-US" w:bidi="en-US"/>
          </w:rPr>
          <m:t>GM</m:t>
        </m:r>
        <m:r>
          <w:rPr>
            <w:rFonts w:ascii="Cambria Math" w:hAnsi="Cambria Math" w:cs="Times New Roman"/>
            <w:color w:val="000000" w:themeColor="text1"/>
            <w:sz w:val="24"/>
            <w:szCs w:val="24"/>
            <w:lang w:eastAsia="en-US" w:bidi="en-US"/>
          </w:rPr>
          <m:t>[Y]</m:t>
        </m:r>
      </m:oMath>
      <w:r w:rsidRPr="00362FF8">
        <w:rPr>
          <w:rFonts w:ascii="Times New Roman" w:hAnsi="Times New Roman" w:cs="Times New Roman"/>
          <w:bCs/>
          <w:color w:val="000000" w:themeColor="text1"/>
          <w:sz w:val="24"/>
          <w:szCs w:val="24"/>
          <w:lang w:eastAsia="en-US" w:bidi="en-US"/>
        </w:rPr>
        <w:t xml:space="preserve"> because it is where the regression parameters are estimated, owing to transformation of the dependent variable with the natural log, but </w:t>
      </w:r>
      <m:oMath>
        <m:r>
          <w:rPr>
            <w:rFonts w:ascii="Cambria Math" w:hAnsi="Cambria Math" w:cs="Times New Roman"/>
            <w:color w:val="000000" w:themeColor="text1"/>
            <w:sz w:val="24"/>
            <w:szCs w:val="24"/>
            <w:lang w:eastAsia="en-US" w:bidi="en-US"/>
          </w:rPr>
          <m:t>∆Y</m:t>
        </m:r>
      </m:oMath>
      <w:r w:rsidRPr="00362FF8">
        <w:rPr>
          <w:rFonts w:ascii="Times New Roman" w:hAnsi="Times New Roman" w:cs="Times New Roman"/>
          <w:bCs/>
          <w:color w:val="000000" w:themeColor="text1"/>
          <w:sz w:val="24"/>
          <w:szCs w:val="24"/>
          <w:lang w:eastAsia="en-US" w:bidi="en-US"/>
        </w:rPr>
        <w:t xml:space="preserve"> and </w:t>
      </w:r>
      <m:oMath>
        <m:r>
          <w:rPr>
            <w:rFonts w:ascii="Cambria Math" w:hAnsi="Cambria Math" w:cs="Times New Roman"/>
            <w:color w:val="000000" w:themeColor="text1"/>
            <w:sz w:val="24"/>
            <w:szCs w:val="24"/>
            <w:lang w:eastAsia="en-US" w:bidi="en-US"/>
          </w:rPr>
          <m:t>95%</m:t>
        </m:r>
        <m:r>
          <m:rPr>
            <m:nor/>
          </m:rPr>
          <w:rPr>
            <w:rFonts w:ascii="Cambria Math" w:hAnsi="Cambria Math" w:cs="Times New Roman"/>
            <w:bCs/>
            <w:color w:val="000000" w:themeColor="text1"/>
            <w:sz w:val="24"/>
            <w:szCs w:val="24"/>
            <w:lang w:eastAsia="en-US" w:bidi="en-US"/>
          </w:rPr>
          <m:t>CI</m:t>
        </m:r>
      </m:oMath>
      <w:r w:rsidRPr="00362FF8">
        <w:rPr>
          <w:rFonts w:ascii="Times New Roman" w:hAnsi="Times New Roman" w:cs="Times New Roman"/>
          <w:bCs/>
          <w:color w:val="000000" w:themeColor="text1"/>
          <w:sz w:val="24"/>
          <w:szCs w:val="24"/>
          <w:lang w:eastAsia="en-US" w:bidi="en-US"/>
        </w:rPr>
        <w:t xml:space="preserve"> can be expected to vary at values different from the geometric mean. Statistical significance was set to α ≤ 0.05.</w:t>
      </w:r>
    </w:p>
    <w:p w14:paraId="154929B4" w14:textId="77777777" w:rsidR="00362FF8" w:rsidRPr="00362FF8" w:rsidRDefault="00362FF8" w:rsidP="00362FF8">
      <w:pPr>
        <w:spacing w:line="480" w:lineRule="auto"/>
        <w:ind w:firstLine="720"/>
        <w:rPr>
          <w:rFonts w:ascii="Times New Roman" w:hAnsi="Times New Roman"/>
          <w:bCs/>
          <w:color w:val="000000" w:themeColor="text1"/>
          <w:sz w:val="24"/>
          <w:szCs w:val="24"/>
          <w:lang w:eastAsia="en-US" w:bidi="en-US"/>
        </w:rPr>
      </w:pPr>
      <w:r w:rsidRPr="00362FF8">
        <w:rPr>
          <w:rFonts w:ascii="Times New Roman" w:hAnsi="Times New Roman"/>
          <w:bCs/>
          <w:color w:val="000000" w:themeColor="text1"/>
          <w:sz w:val="24"/>
          <w:szCs w:val="24"/>
          <w:lang w:eastAsia="en-US" w:bidi="en-US"/>
        </w:rPr>
        <w:t xml:space="preserve">Exposure through diet is another potential source of AαC, especially when food is prepared at high temperature. Trained interviewers used structured questionnaires to collect food consumption information from NHANES participants. The interviewers used elaborate elicitation techniques — including food models and portion measurement guides — to translate a participant's recall of the type and amount of food consumed to a standardized encoding and amount [kg]. Dietary exposure was assessed based on the amount participants consumed within each U.S. Department of Agriculture (USDA) food group for the 24-hr period (midnight to midnight) preceding the dietary recall interview. The interviews were conducted in person on the same day that urine specimens were collected and as part of the physical examination. Data for the 24-hour recall period are publicly accessible in the NHANES Individual Foods – First Day file (NHANES dataset: DR1IFF_H). These data comprise each item of food, beverage, or water reported consumed by the participant in the 24 hours preceding the NHANES physical examination, including the amount consumed. Each item was encoded with an eight-digit USDA food code that designates the item within standardized, hierarchical food groups, where the first digit represents one of nine major food groups, and each subsequent digit represents subgroups of increasing specificity (http://www.ars.usda.gov/ba/bhnrc/fsrg). Data for each item consumed by a participant were recorded in a separate record. The mass consumed in each food group was summed so that each participant was represented by a single record describing their intake of each food group in the previous 24 hours. Food groups were compiled by first apportioning each participant’s dietary intake over the nine major USDA food groups: milk products; meat, poultry, fish; eggs; legumes, nuts, seeds; </w:t>
      </w:r>
      <w:r w:rsidRPr="00362FF8">
        <w:rPr>
          <w:rFonts w:ascii="Times New Roman" w:hAnsi="Times New Roman"/>
          <w:bCs/>
          <w:color w:val="000000" w:themeColor="text1"/>
          <w:sz w:val="24"/>
          <w:szCs w:val="24"/>
          <w:lang w:eastAsia="en-US" w:bidi="en-US"/>
        </w:rPr>
        <w:lastRenderedPageBreak/>
        <w:t xml:space="preserve">grain products; fruits; vegetables; fats, oils, salad dressings; and sugars, sweets, beverages. For this report, two additional food subgroups were distinguished because of their potential for high AαC exposure arising from high temperature (i.e., broiling, baking, or frying) during preparation: high-temperature cooked beef and high-temperature cooked fish. Double counting was avoided by subtracting the amount consumed in each subgroup from the amount consumed in their respective food group. Supplementary Table S1 details the USDA food codes and logic for apportioning dietary intake. </w:t>
      </w:r>
    </w:p>
    <w:p w14:paraId="59E032C9" w14:textId="77777777" w:rsidR="00362FF8" w:rsidRPr="00401515" w:rsidRDefault="00362FF8" w:rsidP="005E4FAD">
      <w:pPr>
        <w:spacing w:line="240" w:lineRule="auto"/>
        <w:rPr>
          <w:rFonts w:ascii="Times New Roman" w:hAnsi="Times New Roman"/>
          <w:bCs/>
          <w:sz w:val="24"/>
          <w:szCs w:val="24"/>
          <w:lang w:eastAsia="en-US" w:bidi="en-US"/>
        </w:rPr>
      </w:pPr>
      <w:bookmarkStart w:id="0" w:name="_GoBack"/>
      <w:bookmarkEnd w:id="0"/>
    </w:p>
    <w:p w14:paraId="1E3653C2" w14:textId="77777777" w:rsidR="009856CF" w:rsidRPr="00401515" w:rsidRDefault="009856CF" w:rsidP="005E4FAD">
      <w:pPr>
        <w:spacing w:line="240" w:lineRule="auto"/>
        <w:rPr>
          <w:rFonts w:ascii="Times New Roman" w:hAnsi="Times New Roman"/>
          <w:b/>
          <w:bCs/>
          <w:sz w:val="24"/>
          <w:szCs w:val="24"/>
          <w:lang w:eastAsia="en-US" w:bidi="en-US"/>
        </w:rPr>
      </w:pPr>
    </w:p>
    <w:p w14:paraId="25380083" w14:textId="77777777" w:rsidR="009856CF" w:rsidRPr="00401515" w:rsidRDefault="009856CF" w:rsidP="005E4FAD">
      <w:pPr>
        <w:spacing w:line="240" w:lineRule="auto"/>
        <w:rPr>
          <w:rFonts w:ascii="Times New Roman" w:hAnsi="Times New Roman"/>
          <w:b/>
          <w:bCs/>
          <w:sz w:val="24"/>
          <w:szCs w:val="24"/>
          <w:lang w:eastAsia="en-US" w:bidi="en-US"/>
        </w:rPr>
      </w:pPr>
    </w:p>
    <w:p w14:paraId="70785C8E" w14:textId="77777777" w:rsidR="009856CF" w:rsidRPr="00401515" w:rsidRDefault="009856CF" w:rsidP="005E4FAD">
      <w:pPr>
        <w:spacing w:line="240" w:lineRule="auto"/>
        <w:rPr>
          <w:rFonts w:ascii="Times New Roman" w:hAnsi="Times New Roman"/>
          <w:b/>
          <w:bCs/>
          <w:sz w:val="24"/>
          <w:szCs w:val="24"/>
          <w:lang w:eastAsia="en-US" w:bidi="en-US"/>
        </w:rPr>
      </w:pPr>
    </w:p>
    <w:p w14:paraId="5483B1EA" w14:textId="77777777" w:rsidR="009856CF" w:rsidRPr="00401515" w:rsidRDefault="009856CF" w:rsidP="005E4FAD">
      <w:pPr>
        <w:spacing w:line="240" w:lineRule="auto"/>
        <w:rPr>
          <w:rFonts w:ascii="Times New Roman" w:hAnsi="Times New Roman"/>
          <w:b/>
          <w:bCs/>
          <w:sz w:val="24"/>
          <w:szCs w:val="24"/>
          <w:lang w:eastAsia="en-US" w:bidi="en-US"/>
        </w:rPr>
      </w:pPr>
    </w:p>
    <w:p w14:paraId="7CEBFC9E" w14:textId="546510E6" w:rsidR="00974133" w:rsidRDefault="00DF7831" w:rsidP="00044209">
      <w:pPr>
        <w:rPr>
          <w:rFonts w:ascii="Times New Roman" w:hAnsi="Times New Roman"/>
          <w:b/>
          <w:bCs/>
          <w:sz w:val="24"/>
          <w:szCs w:val="24"/>
          <w:lang w:eastAsia="en-US" w:bidi="en-US"/>
        </w:rPr>
      </w:pPr>
      <w:r w:rsidRPr="00401515">
        <w:rPr>
          <w:rFonts w:ascii="Times New Roman" w:hAnsi="Times New Roman"/>
          <w:b/>
          <w:bCs/>
          <w:sz w:val="24"/>
          <w:szCs w:val="24"/>
          <w:lang w:eastAsia="en-US" w:bidi="en-US"/>
        </w:rPr>
        <w:br w:type="page"/>
      </w:r>
      <w:r w:rsidR="00044209" w:rsidRPr="00044209">
        <w:rPr>
          <w:noProof/>
          <w:lang w:eastAsia="en-US"/>
        </w:rPr>
        <w:lastRenderedPageBreak/>
        <w:drawing>
          <wp:inline distT="0" distB="0" distL="0" distR="0" wp14:anchorId="64874652" wp14:editId="22565696">
            <wp:extent cx="6400800" cy="2843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843510"/>
                    </a:xfrm>
                    <a:prstGeom prst="rect">
                      <a:avLst/>
                    </a:prstGeom>
                    <a:noFill/>
                    <a:ln>
                      <a:noFill/>
                    </a:ln>
                  </pic:spPr>
                </pic:pic>
              </a:graphicData>
            </a:graphic>
          </wp:inline>
        </w:drawing>
      </w:r>
    </w:p>
    <w:p w14:paraId="44463BFE" w14:textId="3868515A" w:rsidR="00044209" w:rsidRDefault="00044209" w:rsidP="00044209">
      <w:pPr>
        <w:rPr>
          <w:rFonts w:ascii="Times New Roman" w:hAnsi="Times New Roman"/>
          <w:b/>
          <w:bCs/>
          <w:sz w:val="24"/>
          <w:szCs w:val="24"/>
          <w:lang w:eastAsia="en-US" w:bidi="en-US"/>
        </w:rPr>
      </w:pPr>
    </w:p>
    <w:p w14:paraId="1505CB8E" w14:textId="1D352C5E" w:rsidR="00044209" w:rsidRDefault="00044209" w:rsidP="00044209"/>
    <w:p w14:paraId="1BF3C1A8" w14:textId="4DED5984" w:rsidR="00044209" w:rsidRDefault="00044209" w:rsidP="00044209"/>
    <w:p w14:paraId="296E2695" w14:textId="6C526FA5" w:rsidR="00044209" w:rsidRPr="00401515" w:rsidRDefault="00044209" w:rsidP="00044209">
      <w:pPr>
        <w:jc w:val="both"/>
        <w:rPr>
          <w:rFonts w:ascii="Times New Roman" w:hAnsi="Times New Roman"/>
          <w:b/>
          <w:bCs/>
          <w:sz w:val="24"/>
          <w:szCs w:val="24"/>
          <w:u w:val="single"/>
          <w:lang w:eastAsia="en-US" w:bidi="en-US"/>
        </w:rPr>
      </w:pPr>
      <w:r w:rsidRPr="00044209">
        <w:rPr>
          <w:rFonts w:ascii="Times New Roman" w:hAnsi="Times New Roman"/>
          <w:b/>
          <w:bCs/>
          <w:sz w:val="24"/>
          <w:szCs w:val="24"/>
          <w:lang w:eastAsia="en-US" w:bidi="en-US"/>
        </w:rPr>
        <w:t>Supplementary</w:t>
      </w:r>
      <w:r w:rsidRPr="00401515">
        <w:rPr>
          <w:rFonts w:ascii="Times New Roman" w:hAnsi="Times New Roman"/>
          <w:b/>
          <w:bCs/>
          <w:sz w:val="24"/>
          <w:szCs w:val="24"/>
          <w:lang w:eastAsia="en-US" w:bidi="en-US"/>
        </w:rPr>
        <w:t xml:space="preserve"> Figure 1. </w:t>
      </w:r>
      <w:r w:rsidRPr="00401515">
        <w:rPr>
          <w:rFonts w:ascii="Times New Roman" w:hAnsi="Times New Roman"/>
          <w:bCs/>
          <w:sz w:val="24"/>
          <w:szCs w:val="24"/>
          <w:lang w:eastAsia="en-US" w:bidi="en-US"/>
        </w:rPr>
        <w:t>Chemical structures of A) 2-amino-9H-pyrido[2,3-b]indole (AαC) and B) 2-amino-3-methyl-9H-pyrido[2,3-b]indole (</w:t>
      </w:r>
      <w:proofErr w:type="spellStart"/>
      <w:r w:rsidRPr="00401515">
        <w:rPr>
          <w:rFonts w:ascii="Times New Roman" w:hAnsi="Times New Roman"/>
          <w:bCs/>
          <w:sz w:val="24"/>
          <w:szCs w:val="24"/>
          <w:lang w:eastAsia="en-US" w:bidi="en-US"/>
        </w:rPr>
        <w:t>MeA</w:t>
      </w:r>
      <w:proofErr w:type="spellEnd"/>
      <w:r w:rsidRPr="00401515">
        <w:rPr>
          <w:rFonts w:ascii="Times New Roman" w:hAnsi="Times New Roman"/>
          <w:bCs/>
          <w:sz w:val="24"/>
          <w:szCs w:val="24"/>
          <w:lang w:eastAsia="en-US" w:bidi="en-US"/>
        </w:rPr>
        <w:t>αC).</w:t>
      </w:r>
      <w:r>
        <w:rPr>
          <w:rFonts w:ascii="Times New Roman" w:hAnsi="Times New Roman"/>
          <w:bCs/>
          <w:sz w:val="24"/>
          <w:szCs w:val="24"/>
          <w:lang w:eastAsia="en-US" w:bidi="en-US"/>
        </w:rPr>
        <w:t xml:space="preserve"> </w:t>
      </w:r>
      <w:r w:rsidRPr="00401515">
        <w:rPr>
          <w:rFonts w:ascii="Times New Roman" w:hAnsi="Times New Roman"/>
          <w:bCs/>
          <w:sz w:val="24"/>
          <w:szCs w:val="24"/>
          <w:lang w:eastAsia="en-US" w:bidi="en-US"/>
        </w:rPr>
        <w:t>AαC</w:t>
      </w:r>
      <w:r>
        <w:rPr>
          <w:rFonts w:ascii="Times New Roman" w:hAnsi="Times New Roman"/>
          <w:bCs/>
          <w:sz w:val="24"/>
          <w:szCs w:val="24"/>
          <w:lang w:eastAsia="en-US" w:bidi="en-US"/>
        </w:rPr>
        <w:t xml:space="preserve"> is h</w:t>
      </w:r>
      <w:r w:rsidRPr="00401515">
        <w:rPr>
          <w:rFonts w:ascii="Times New Roman" w:hAnsi="Times New Roman"/>
          <w:bCs/>
          <w:sz w:val="24"/>
          <w:szCs w:val="24"/>
          <w:lang w:eastAsia="en-US" w:bidi="en-US"/>
        </w:rPr>
        <w:t>eterocyclic aromatic amine</w:t>
      </w:r>
      <w:r>
        <w:rPr>
          <w:rFonts w:ascii="Times New Roman" w:hAnsi="Times New Roman"/>
          <w:bCs/>
          <w:sz w:val="24"/>
          <w:szCs w:val="24"/>
          <w:lang w:eastAsia="en-US" w:bidi="en-US"/>
        </w:rPr>
        <w:t xml:space="preserve"> with </w:t>
      </w:r>
      <w:r w:rsidRPr="00EF1DCE">
        <w:rPr>
          <w:rFonts w:ascii="Times New Roman" w:hAnsi="Times New Roman"/>
          <w:bCs/>
          <w:sz w:val="24"/>
          <w:szCs w:val="24"/>
          <w:lang w:eastAsia="en-US" w:bidi="en-US"/>
        </w:rPr>
        <w:t>exocyclic amine group</w:t>
      </w:r>
      <w:r>
        <w:rPr>
          <w:rFonts w:ascii="Times New Roman" w:hAnsi="Times New Roman"/>
          <w:bCs/>
          <w:sz w:val="24"/>
          <w:szCs w:val="24"/>
          <w:lang w:eastAsia="en-US" w:bidi="en-US"/>
        </w:rPr>
        <w:t xml:space="preserve">; </w:t>
      </w:r>
      <w:proofErr w:type="spellStart"/>
      <w:r w:rsidRPr="00EF1DCE">
        <w:rPr>
          <w:rFonts w:ascii="Times New Roman" w:hAnsi="Times New Roman"/>
          <w:bCs/>
          <w:sz w:val="24"/>
          <w:szCs w:val="24"/>
          <w:lang w:eastAsia="en-US" w:bidi="en-US"/>
        </w:rPr>
        <w:t>MeA</w:t>
      </w:r>
      <w:proofErr w:type="spellEnd"/>
      <w:r w:rsidRPr="00EF1DCE">
        <w:rPr>
          <w:rFonts w:ascii="Times New Roman" w:hAnsi="Times New Roman"/>
          <w:bCs/>
          <w:sz w:val="24"/>
          <w:szCs w:val="24"/>
          <w:lang w:eastAsia="en-US" w:bidi="en-US"/>
        </w:rPr>
        <w:t>αC is a methyl homolog of AαC</w:t>
      </w:r>
      <w:r>
        <w:rPr>
          <w:rFonts w:ascii="Times New Roman" w:hAnsi="Times New Roman"/>
          <w:bCs/>
          <w:sz w:val="24"/>
          <w:szCs w:val="24"/>
          <w:lang w:eastAsia="en-US" w:bidi="en-US"/>
        </w:rPr>
        <w:t>.</w:t>
      </w:r>
    </w:p>
    <w:p w14:paraId="25900A20" w14:textId="4C474B93" w:rsidR="00044209" w:rsidRDefault="00044209" w:rsidP="00044209"/>
    <w:p w14:paraId="66C75B05" w14:textId="10DF0D50" w:rsidR="00362FF8" w:rsidRDefault="00362FF8"/>
    <w:p w14:paraId="7579A951" w14:textId="77777777" w:rsidR="00362FF8" w:rsidRPr="00F13320" w:rsidRDefault="00362FF8" w:rsidP="00362FF8">
      <w:pPr>
        <w:spacing w:line="480" w:lineRule="auto"/>
        <w:rPr>
          <w:rFonts w:ascii="Times New Roman" w:hAnsi="Times New Roman" w:cs="Times New Roman"/>
          <w:bCs/>
          <w:color w:val="0070C0"/>
          <w:sz w:val="24"/>
          <w:szCs w:val="24"/>
          <w:lang w:eastAsia="en-US" w:bidi="en-US"/>
        </w:rPr>
      </w:pPr>
    </w:p>
    <w:p w14:paraId="01C00FAA" w14:textId="5479E6B3" w:rsidR="00362FF8" w:rsidRDefault="00362FF8">
      <w:r>
        <w:br w:type="page"/>
      </w:r>
    </w:p>
    <w:p w14:paraId="6394382B" w14:textId="77777777" w:rsidR="00362FF8" w:rsidRPr="00401515" w:rsidRDefault="00362FF8" w:rsidP="00044209">
      <w:pPr>
        <w:sectPr w:rsidR="00362FF8" w:rsidRPr="00401515" w:rsidSect="0098105B">
          <w:footerReference w:type="default" r:id="rId13"/>
          <w:pgSz w:w="12240" w:h="15840"/>
          <w:pgMar w:top="1080" w:right="1080" w:bottom="1080" w:left="1080" w:header="720" w:footer="720" w:gutter="0"/>
          <w:cols w:space="720"/>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413"/>
      </w:tblGrid>
      <w:tr w:rsidR="00974133" w:rsidRPr="00401515" w14:paraId="5ED1B550" w14:textId="77777777" w:rsidTr="0098105B">
        <w:tc>
          <w:tcPr>
            <w:tcW w:w="3415" w:type="dxa"/>
            <w:shd w:val="clear" w:color="auto" w:fill="BFBFBF"/>
          </w:tcPr>
          <w:p w14:paraId="4ABF711F" w14:textId="77777777" w:rsidR="00974133" w:rsidRPr="00401515" w:rsidRDefault="00974133" w:rsidP="0098105B">
            <w:pPr>
              <w:keepNext/>
              <w:adjustRightInd w:val="0"/>
              <w:contextualSpacing/>
              <w:rPr>
                <w:b/>
                <w:bCs/>
                <w:color w:val="000000"/>
              </w:rPr>
            </w:pPr>
            <w:r w:rsidRPr="00401515">
              <w:lastRenderedPageBreak/>
              <w:br w:type="page"/>
            </w:r>
            <w:r w:rsidRPr="00401515">
              <w:rPr>
                <w:b/>
                <w:bCs/>
                <w:color w:val="000000"/>
              </w:rPr>
              <w:t>Food Group</w:t>
            </w:r>
          </w:p>
        </w:tc>
        <w:tc>
          <w:tcPr>
            <w:tcW w:w="6413" w:type="dxa"/>
            <w:shd w:val="clear" w:color="auto" w:fill="BFBFBF"/>
          </w:tcPr>
          <w:p w14:paraId="2D638AD4" w14:textId="77777777" w:rsidR="00974133" w:rsidRPr="00401515" w:rsidRDefault="00974133" w:rsidP="0098105B">
            <w:pPr>
              <w:keepNext/>
              <w:adjustRightInd w:val="0"/>
              <w:contextualSpacing/>
              <w:rPr>
                <w:b/>
                <w:bCs/>
                <w:color w:val="000000"/>
              </w:rPr>
            </w:pPr>
            <w:r w:rsidRPr="00401515">
              <w:rPr>
                <w:b/>
                <w:bCs/>
                <w:color w:val="000000"/>
              </w:rPr>
              <w:t>USDA Food Codes and Logic</w:t>
            </w:r>
          </w:p>
        </w:tc>
      </w:tr>
      <w:tr w:rsidR="00974133" w:rsidRPr="00401515" w14:paraId="4B89D8A7" w14:textId="77777777" w:rsidTr="0098105B">
        <w:tc>
          <w:tcPr>
            <w:tcW w:w="3415" w:type="dxa"/>
            <w:shd w:val="clear" w:color="auto" w:fill="auto"/>
          </w:tcPr>
          <w:p w14:paraId="2E25B726" w14:textId="77777777" w:rsidR="00974133" w:rsidRPr="00401515" w:rsidRDefault="00974133" w:rsidP="0098105B">
            <w:pPr>
              <w:adjustRightInd w:val="0"/>
              <w:contextualSpacing/>
              <w:rPr>
                <w:color w:val="000000"/>
              </w:rPr>
            </w:pPr>
            <w:r w:rsidRPr="00401515">
              <w:rPr>
                <w:color w:val="000000"/>
              </w:rPr>
              <w:t>Milk and Milk Products</w:t>
            </w:r>
          </w:p>
        </w:tc>
        <w:tc>
          <w:tcPr>
            <w:tcW w:w="6413" w:type="dxa"/>
            <w:shd w:val="clear" w:color="auto" w:fill="auto"/>
          </w:tcPr>
          <w:p w14:paraId="77EFF4A8" w14:textId="77777777" w:rsidR="00974133" w:rsidRPr="00401515" w:rsidRDefault="00974133" w:rsidP="0098105B">
            <w:pPr>
              <w:adjustRightInd w:val="0"/>
              <w:contextualSpacing/>
              <w:rPr>
                <w:color w:val="000000"/>
              </w:rPr>
            </w:pPr>
            <w:r w:rsidRPr="00401515">
              <w:rPr>
                <w:color w:val="000000"/>
              </w:rPr>
              <w:t>DR1IFDCD = 1</w:t>
            </w:r>
          </w:p>
        </w:tc>
      </w:tr>
      <w:tr w:rsidR="00974133" w:rsidRPr="00401515" w14:paraId="62D909A1" w14:textId="77777777" w:rsidTr="0098105B">
        <w:tc>
          <w:tcPr>
            <w:tcW w:w="3415" w:type="dxa"/>
            <w:shd w:val="clear" w:color="auto" w:fill="auto"/>
          </w:tcPr>
          <w:p w14:paraId="02494FD2" w14:textId="77777777" w:rsidR="00974133" w:rsidRPr="00401515" w:rsidRDefault="00974133" w:rsidP="0098105B">
            <w:pPr>
              <w:adjustRightInd w:val="0"/>
              <w:contextualSpacing/>
              <w:rPr>
                <w:color w:val="000000"/>
              </w:rPr>
            </w:pPr>
            <w:r w:rsidRPr="00401515">
              <w:rPr>
                <w:color w:val="000000"/>
              </w:rPr>
              <w:t>Meat, Poultry, Fish and Mixtures</w:t>
            </w:r>
          </w:p>
        </w:tc>
        <w:tc>
          <w:tcPr>
            <w:tcW w:w="6413" w:type="dxa"/>
            <w:shd w:val="clear" w:color="auto" w:fill="auto"/>
          </w:tcPr>
          <w:p w14:paraId="5187D3E6" w14:textId="77777777" w:rsidR="00974133" w:rsidRPr="00401515" w:rsidRDefault="00974133" w:rsidP="0098105B">
            <w:pPr>
              <w:adjustRightInd w:val="0"/>
              <w:contextualSpacing/>
              <w:rPr>
                <w:color w:val="000000"/>
              </w:rPr>
            </w:pPr>
            <w:r w:rsidRPr="00401515">
              <w:rPr>
                <w:color w:val="000000"/>
              </w:rPr>
              <w:t>DR1IFDCD = 2</w:t>
            </w:r>
          </w:p>
        </w:tc>
      </w:tr>
      <w:tr w:rsidR="00974133" w:rsidRPr="00401515" w14:paraId="72B908A4" w14:textId="77777777" w:rsidTr="0098105B">
        <w:tc>
          <w:tcPr>
            <w:tcW w:w="3415" w:type="dxa"/>
            <w:shd w:val="clear" w:color="auto" w:fill="auto"/>
          </w:tcPr>
          <w:p w14:paraId="3B53459F" w14:textId="77777777" w:rsidR="00974133" w:rsidRPr="00401515" w:rsidRDefault="00974133" w:rsidP="0098105B">
            <w:pPr>
              <w:adjustRightInd w:val="0"/>
              <w:contextualSpacing/>
              <w:rPr>
                <w:color w:val="000000"/>
              </w:rPr>
            </w:pPr>
            <w:r w:rsidRPr="00401515">
              <w:rPr>
                <w:color w:val="000000"/>
              </w:rPr>
              <w:t>Eggs</w:t>
            </w:r>
          </w:p>
        </w:tc>
        <w:tc>
          <w:tcPr>
            <w:tcW w:w="6413" w:type="dxa"/>
            <w:shd w:val="clear" w:color="auto" w:fill="auto"/>
          </w:tcPr>
          <w:p w14:paraId="04A2C054" w14:textId="77777777" w:rsidR="00974133" w:rsidRPr="00401515" w:rsidRDefault="00974133" w:rsidP="0098105B">
            <w:pPr>
              <w:adjustRightInd w:val="0"/>
              <w:contextualSpacing/>
              <w:rPr>
                <w:color w:val="000000"/>
              </w:rPr>
            </w:pPr>
            <w:r w:rsidRPr="00401515">
              <w:rPr>
                <w:color w:val="000000"/>
              </w:rPr>
              <w:t>DR1IFDCD = 3</w:t>
            </w:r>
          </w:p>
        </w:tc>
      </w:tr>
      <w:tr w:rsidR="00974133" w:rsidRPr="00401515" w14:paraId="0C9539EA" w14:textId="77777777" w:rsidTr="0098105B">
        <w:tc>
          <w:tcPr>
            <w:tcW w:w="3415" w:type="dxa"/>
            <w:shd w:val="clear" w:color="auto" w:fill="auto"/>
          </w:tcPr>
          <w:p w14:paraId="3F8D6946" w14:textId="77777777" w:rsidR="00974133" w:rsidRPr="00401515" w:rsidRDefault="00974133" w:rsidP="0098105B">
            <w:pPr>
              <w:adjustRightInd w:val="0"/>
              <w:contextualSpacing/>
              <w:rPr>
                <w:color w:val="000000"/>
              </w:rPr>
            </w:pPr>
            <w:r w:rsidRPr="00401515">
              <w:rPr>
                <w:color w:val="000000"/>
              </w:rPr>
              <w:t>Legumes, Nuts, and Seeds</w:t>
            </w:r>
          </w:p>
        </w:tc>
        <w:tc>
          <w:tcPr>
            <w:tcW w:w="6413" w:type="dxa"/>
            <w:shd w:val="clear" w:color="auto" w:fill="auto"/>
          </w:tcPr>
          <w:p w14:paraId="2F0C7946" w14:textId="77777777" w:rsidR="00974133" w:rsidRPr="00401515" w:rsidRDefault="00974133" w:rsidP="0098105B">
            <w:pPr>
              <w:adjustRightInd w:val="0"/>
              <w:contextualSpacing/>
              <w:rPr>
                <w:color w:val="000000"/>
              </w:rPr>
            </w:pPr>
            <w:r w:rsidRPr="00401515">
              <w:rPr>
                <w:color w:val="000000"/>
              </w:rPr>
              <w:t>DR1IFDCD = 4</w:t>
            </w:r>
          </w:p>
        </w:tc>
      </w:tr>
      <w:tr w:rsidR="00974133" w:rsidRPr="00401515" w14:paraId="2983DF46" w14:textId="77777777" w:rsidTr="0098105B">
        <w:tc>
          <w:tcPr>
            <w:tcW w:w="3415" w:type="dxa"/>
            <w:shd w:val="clear" w:color="auto" w:fill="auto"/>
          </w:tcPr>
          <w:p w14:paraId="53DB846C" w14:textId="77777777" w:rsidR="00974133" w:rsidRPr="00401515" w:rsidRDefault="00974133" w:rsidP="0098105B">
            <w:pPr>
              <w:adjustRightInd w:val="0"/>
              <w:contextualSpacing/>
              <w:rPr>
                <w:color w:val="000000"/>
              </w:rPr>
            </w:pPr>
            <w:r w:rsidRPr="00401515">
              <w:rPr>
                <w:color w:val="000000"/>
              </w:rPr>
              <w:t>Grain Products</w:t>
            </w:r>
          </w:p>
        </w:tc>
        <w:tc>
          <w:tcPr>
            <w:tcW w:w="6413" w:type="dxa"/>
            <w:shd w:val="clear" w:color="auto" w:fill="auto"/>
          </w:tcPr>
          <w:p w14:paraId="277408D7" w14:textId="77777777" w:rsidR="00974133" w:rsidRPr="00401515" w:rsidRDefault="00974133" w:rsidP="0098105B">
            <w:pPr>
              <w:adjustRightInd w:val="0"/>
              <w:contextualSpacing/>
              <w:rPr>
                <w:color w:val="000000"/>
              </w:rPr>
            </w:pPr>
            <w:r w:rsidRPr="00401515">
              <w:rPr>
                <w:color w:val="000000"/>
              </w:rPr>
              <w:t>DR1IFDCD = 5</w:t>
            </w:r>
          </w:p>
        </w:tc>
      </w:tr>
      <w:tr w:rsidR="00974133" w:rsidRPr="00401515" w14:paraId="055CA525" w14:textId="77777777" w:rsidTr="0098105B">
        <w:tc>
          <w:tcPr>
            <w:tcW w:w="3415" w:type="dxa"/>
            <w:shd w:val="clear" w:color="auto" w:fill="auto"/>
          </w:tcPr>
          <w:p w14:paraId="431938A0" w14:textId="77777777" w:rsidR="00974133" w:rsidRPr="00401515" w:rsidRDefault="00974133" w:rsidP="0098105B">
            <w:pPr>
              <w:adjustRightInd w:val="0"/>
              <w:contextualSpacing/>
              <w:rPr>
                <w:color w:val="000000"/>
              </w:rPr>
            </w:pPr>
            <w:r w:rsidRPr="00401515">
              <w:rPr>
                <w:color w:val="000000"/>
              </w:rPr>
              <w:t>Fruits</w:t>
            </w:r>
          </w:p>
        </w:tc>
        <w:tc>
          <w:tcPr>
            <w:tcW w:w="6413" w:type="dxa"/>
            <w:shd w:val="clear" w:color="auto" w:fill="auto"/>
          </w:tcPr>
          <w:p w14:paraId="399E34CE" w14:textId="77777777" w:rsidR="00974133" w:rsidRPr="00401515" w:rsidRDefault="00974133" w:rsidP="0098105B">
            <w:pPr>
              <w:adjustRightInd w:val="0"/>
              <w:contextualSpacing/>
              <w:rPr>
                <w:color w:val="000000"/>
              </w:rPr>
            </w:pPr>
            <w:r w:rsidRPr="00401515">
              <w:rPr>
                <w:color w:val="000000"/>
              </w:rPr>
              <w:t>DR1IFDCD = 6</w:t>
            </w:r>
          </w:p>
        </w:tc>
      </w:tr>
      <w:tr w:rsidR="00974133" w:rsidRPr="00401515" w14:paraId="7EA9D9E3" w14:textId="77777777" w:rsidTr="0098105B">
        <w:tc>
          <w:tcPr>
            <w:tcW w:w="3415" w:type="dxa"/>
            <w:shd w:val="clear" w:color="auto" w:fill="auto"/>
          </w:tcPr>
          <w:p w14:paraId="4E383BE8" w14:textId="77777777" w:rsidR="00974133" w:rsidRPr="00401515" w:rsidRDefault="00974133" w:rsidP="0098105B">
            <w:pPr>
              <w:adjustRightInd w:val="0"/>
              <w:contextualSpacing/>
              <w:rPr>
                <w:color w:val="000000"/>
              </w:rPr>
            </w:pPr>
            <w:r w:rsidRPr="00401515">
              <w:rPr>
                <w:color w:val="000000"/>
              </w:rPr>
              <w:t>Vegetables</w:t>
            </w:r>
          </w:p>
        </w:tc>
        <w:tc>
          <w:tcPr>
            <w:tcW w:w="6413" w:type="dxa"/>
            <w:shd w:val="clear" w:color="auto" w:fill="auto"/>
          </w:tcPr>
          <w:p w14:paraId="5E5F0759" w14:textId="77777777" w:rsidR="00974133" w:rsidRPr="00401515" w:rsidRDefault="00974133" w:rsidP="0098105B">
            <w:pPr>
              <w:adjustRightInd w:val="0"/>
              <w:contextualSpacing/>
              <w:rPr>
                <w:color w:val="000000"/>
              </w:rPr>
            </w:pPr>
            <w:r w:rsidRPr="00401515">
              <w:rPr>
                <w:color w:val="000000"/>
              </w:rPr>
              <w:t>DR1IFDCD = 7</w:t>
            </w:r>
          </w:p>
        </w:tc>
      </w:tr>
      <w:tr w:rsidR="00974133" w:rsidRPr="00401515" w14:paraId="0734B699" w14:textId="77777777" w:rsidTr="0098105B">
        <w:tc>
          <w:tcPr>
            <w:tcW w:w="3415" w:type="dxa"/>
            <w:shd w:val="clear" w:color="auto" w:fill="auto"/>
          </w:tcPr>
          <w:p w14:paraId="5518E3A2" w14:textId="77777777" w:rsidR="00974133" w:rsidRPr="00401515" w:rsidRDefault="00974133" w:rsidP="0098105B">
            <w:pPr>
              <w:adjustRightInd w:val="0"/>
              <w:contextualSpacing/>
              <w:rPr>
                <w:color w:val="000000"/>
              </w:rPr>
            </w:pPr>
            <w:r w:rsidRPr="00401515">
              <w:rPr>
                <w:color w:val="000000"/>
              </w:rPr>
              <w:t>Fats, Oils, and Salad Dressings</w:t>
            </w:r>
          </w:p>
        </w:tc>
        <w:tc>
          <w:tcPr>
            <w:tcW w:w="6413" w:type="dxa"/>
            <w:shd w:val="clear" w:color="auto" w:fill="auto"/>
          </w:tcPr>
          <w:p w14:paraId="36E19598" w14:textId="77777777" w:rsidR="00974133" w:rsidRPr="00401515" w:rsidRDefault="00974133" w:rsidP="0098105B">
            <w:pPr>
              <w:adjustRightInd w:val="0"/>
              <w:contextualSpacing/>
              <w:rPr>
                <w:color w:val="000000"/>
              </w:rPr>
            </w:pPr>
            <w:r w:rsidRPr="00401515">
              <w:rPr>
                <w:color w:val="000000"/>
              </w:rPr>
              <w:t>DR1IFDCD = 8</w:t>
            </w:r>
          </w:p>
        </w:tc>
      </w:tr>
      <w:tr w:rsidR="00974133" w:rsidRPr="00401515" w14:paraId="5F91CEDE" w14:textId="77777777" w:rsidTr="0098105B">
        <w:tc>
          <w:tcPr>
            <w:tcW w:w="3415" w:type="dxa"/>
            <w:shd w:val="clear" w:color="auto" w:fill="auto"/>
          </w:tcPr>
          <w:p w14:paraId="0C4DBEE9" w14:textId="77777777" w:rsidR="00974133" w:rsidRPr="00401515" w:rsidRDefault="00974133" w:rsidP="0098105B">
            <w:pPr>
              <w:adjustRightInd w:val="0"/>
              <w:contextualSpacing/>
              <w:rPr>
                <w:color w:val="000000"/>
              </w:rPr>
            </w:pPr>
            <w:r w:rsidRPr="00401515">
              <w:rPr>
                <w:color w:val="000000"/>
              </w:rPr>
              <w:t>Sugars, Sweets, and Beverages</w:t>
            </w:r>
          </w:p>
        </w:tc>
        <w:tc>
          <w:tcPr>
            <w:tcW w:w="6413" w:type="dxa"/>
            <w:shd w:val="clear" w:color="auto" w:fill="auto"/>
          </w:tcPr>
          <w:p w14:paraId="1DA1B462" w14:textId="77777777" w:rsidR="00974133" w:rsidRPr="00401515" w:rsidRDefault="00974133" w:rsidP="0098105B">
            <w:pPr>
              <w:adjustRightInd w:val="0"/>
              <w:contextualSpacing/>
              <w:rPr>
                <w:color w:val="000000"/>
              </w:rPr>
            </w:pPr>
            <w:r w:rsidRPr="00401515">
              <w:rPr>
                <w:color w:val="000000"/>
              </w:rPr>
              <w:t>DR1IFDCD = 9</w:t>
            </w:r>
          </w:p>
        </w:tc>
      </w:tr>
      <w:tr w:rsidR="00974133" w:rsidRPr="00401515" w14:paraId="740A5427" w14:textId="77777777" w:rsidTr="0098105B">
        <w:tc>
          <w:tcPr>
            <w:tcW w:w="3415" w:type="dxa"/>
            <w:shd w:val="clear" w:color="auto" w:fill="auto"/>
          </w:tcPr>
          <w:p w14:paraId="77BA0E7C" w14:textId="77777777" w:rsidR="00974133" w:rsidRPr="00401515" w:rsidRDefault="00974133" w:rsidP="0098105B">
            <w:pPr>
              <w:adjustRightInd w:val="0"/>
              <w:contextualSpacing/>
              <w:rPr>
                <w:color w:val="000000"/>
              </w:rPr>
            </w:pPr>
          </w:p>
        </w:tc>
        <w:tc>
          <w:tcPr>
            <w:tcW w:w="6413" w:type="dxa"/>
            <w:shd w:val="clear" w:color="auto" w:fill="auto"/>
          </w:tcPr>
          <w:p w14:paraId="37CAA435" w14:textId="77777777" w:rsidR="00974133" w:rsidRPr="00401515" w:rsidRDefault="00974133" w:rsidP="0098105B">
            <w:pPr>
              <w:adjustRightInd w:val="0"/>
              <w:contextualSpacing/>
              <w:rPr>
                <w:color w:val="000000"/>
              </w:rPr>
            </w:pPr>
          </w:p>
        </w:tc>
      </w:tr>
      <w:tr w:rsidR="00974133" w:rsidRPr="00401515" w14:paraId="58C975E2" w14:textId="77777777" w:rsidTr="0098105B">
        <w:tc>
          <w:tcPr>
            <w:tcW w:w="3415" w:type="dxa"/>
            <w:shd w:val="clear" w:color="auto" w:fill="FFFFFF"/>
          </w:tcPr>
          <w:p w14:paraId="4B4B4046" w14:textId="77777777" w:rsidR="00974133" w:rsidRPr="00401515" w:rsidRDefault="00974133" w:rsidP="0098105B">
            <w:pPr>
              <w:adjustRightInd w:val="0"/>
              <w:contextualSpacing/>
              <w:rPr>
                <w:color w:val="000000"/>
              </w:rPr>
            </w:pPr>
            <w:r w:rsidRPr="00401515">
              <w:rPr>
                <w:color w:val="000000"/>
              </w:rPr>
              <w:t xml:space="preserve">High </w:t>
            </w:r>
            <w:proofErr w:type="spellStart"/>
            <w:r w:rsidRPr="00401515">
              <w:rPr>
                <w:color w:val="000000"/>
              </w:rPr>
              <w:t>AaC</w:t>
            </w:r>
            <w:proofErr w:type="spellEnd"/>
            <w:r w:rsidRPr="00401515">
              <w:rPr>
                <w:color w:val="000000"/>
              </w:rPr>
              <w:t xml:space="preserve"> Beef (boiled, baking, fried) [kg]</w:t>
            </w:r>
          </w:p>
        </w:tc>
        <w:tc>
          <w:tcPr>
            <w:tcW w:w="6413" w:type="dxa"/>
            <w:shd w:val="clear" w:color="auto" w:fill="auto"/>
          </w:tcPr>
          <w:p w14:paraId="20ED8AAF" w14:textId="77777777" w:rsidR="00974133" w:rsidRPr="00401515" w:rsidRDefault="00974133" w:rsidP="0098105B">
            <w:pPr>
              <w:adjustRightInd w:val="0"/>
              <w:contextualSpacing/>
              <w:rPr>
                <w:color w:val="000000"/>
              </w:rPr>
            </w:pPr>
            <w:r w:rsidRPr="00401515">
              <w:rPr>
                <w:color w:val="000000"/>
              </w:rPr>
              <w:t xml:space="preserve">DR1IFDCD = 21101 (110,120,130), 21102 (110,120,130), </w:t>
            </w:r>
          </w:p>
          <w:p w14:paraId="53EE1977" w14:textId="77777777" w:rsidR="00974133" w:rsidRPr="00401515" w:rsidRDefault="00974133" w:rsidP="0098105B">
            <w:pPr>
              <w:adjustRightInd w:val="0"/>
              <w:contextualSpacing/>
              <w:rPr>
                <w:color w:val="000000"/>
              </w:rPr>
            </w:pPr>
            <w:r w:rsidRPr="00401515">
              <w:rPr>
                <w:color w:val="000000"/>
              </w:rPr>
              <w:t xml:space="preserve">                        21103 (110,120,130), or 21003000</w:t>
            </w:r>
          </w:p>
          <w:p w14:paraId="7053C56A" w14:textId="768AC3B8" w:rsidR="00974133" w:rsidRPr="00401515" w:rsidRDefault="00974133" w:rsidP="0098105B">
            <w:pPr>
              <w:adjustRightInd w:val="0"/>
              <w:contextualSpacing/>
              <w:rPr>
                <w:color w:val="000000"/>
              </w:rPr>
            </w:pPr>
            <w:r w:rsidRPr="00401515">
              <w:rPr>
                <w:color w:val="000000"/>
              </w:rPr>
              <w:t xml:space="preserve">Then subtract total </w:t>
            </w:r>
            <w:r w:rsidR="002246B5" w:rsidRPr="00401515">
              <w:rPr>
                <w:color w:val="000000"/>
              </w:rPr>
              <w:t>amount</w:t>
            </w:r>
            <w:r w:rsidRPr="00401515">
              <w:rPr>
                <w:color w:val="000000"/>
              </w:rPr>
              <w:t xml:space="preserve"> from DR1IFDCD = 2</w:t>
            </w:r>
          </w:p>
        </w:tc>
      </w:tr>
      <w:tr w:rsidR="00974133" w:rsidRPr="00401515" w14:paraId="4C5265FC" w14:textId="77777777" w:rsidTr="0098105B">
        <w:tc>
          <w:tcPr>
            <w:tcW w:w="3415" w:type="dxa"/>
            <w:shd w:val="clear" w:color="auto" w:fill="FFFFFF"/>
          </w:tcPr>
          <w:p w14:paraId="43BC3B0A" w14:textId="77777777" w:rsidR="00974133" w:rsidRPr="00401515" w:rsidRDefault="00974133" w:rsidP="0098105B">
            <w:pPr>
              <w:adjustRightInd w:val="0"/>
              <w:contextualSpacing/>
              <w:rPr>
                <w:color w:val="000000"/>
              </w:rPr>
            </w:pPr>
            <w:r w:rsidRPr="00401515">
              <w:rPr>
                <w:color w:val="000000"/>
              </w:rPr>
              <w:t xml:space="preserve">High </w:t>
            </w:r>
            <w:proofErr w:type="spellStart"/>
            <w:r w:rsidRPr="00401515">
              <w:rPr>
                <w:color w:val="000000"/>
              </w:rPr>
              <w:t>AaC</w:t>
            </w:r>
            <w:proofErr w:type="spellEnd"/>
            <w:r w:rsidRPr="00401515">
              <w:rPr>
                <w:color w:val="000000"/>
              </w:rPr>
              <w:t xml:space="preserve"> Fish (boiled, baking, fried) [kg]</w:t>
            </w:r>
          </w:p>
        </w:tc>
        <w:tc>
          <w:tcPr>
            <w:tcW w:w="6413" w:type="dxa"/>
            <w:shd w:val="clear" w:color="auto" w:fill="auto"/>
          </w:tcPr>
          <w:p w14:paraId="2731C39A" w14:textId="77777777" w:rsidR="00974133" w:rsidRPr="00401515" w:rsidRDefault="00974133" w:rsidP="0098105B">
            <w:pPr>
              <w:adjustRightInd w:val="0"/>
              <w:contextualSpacing/>
              <w:rPr>
                <w:color w:val="000000"/>
              </w:rPr>
            </w:pPr>
            <w:r w:rsidRPr="00401515">
              <w:rPr>
                <w:color w:val="000000"/>
              </w:rPr>
              <w:t>DR1IFDCD = 26100, 26105, 26107, 26111, 26117,26119,26121, 26125, 26127, 26131, 26141, 26143, 26149, 26151</w:t>
            </w:r>
          </w:p>
          <w:p w14:paraId="3B29C409" w14:textId="44835E0F" w:rsidR="00974133" w:rsidRPr="00401515" w:rsidRDefault="00974133" w:rsidP="0098105B">
            <w:pPr>
              <w:adjustRightInd w:val="0"/>
              <w:contextualSpacing/>
              <w:rPr>
                <w:color w:val="000000"/>
              </w:rPr>
            </w:pPr>
            <w:r w:rsidRPr="00401515">
              <w:rPr>
                <w:color w:val="000000"/>
              </w:rPr>
              <w:t xml:space="preserve">Then subtract total </w:t>
            </w:r>
            <w:r w:rsidR="002246B5" w:rsidRPr="00401515">
              <w:rPr>
                <w:color w:val="000000"/>
              </w:rPr>
              <w:t>amount</w:t>
            </w:r>
            <w:r w:rsidRPr="00401515">
              <w:rPr>
                <w:color w:val="000000"/>
              </w:rPr>
              <w:t xml:space="preserve"> from DR1IFDCD = 2</w:t>
            </w:r>
          </w:p>
        </w:tc>
      </w:tr>
    </w:tbl>
    <w:p w14:paraId="101F50C9" w14:textId="77777777" w:rsidR="00974133" w:rsidRPr="00401515" w:rsidRDefault="00974133">
      <w:pPr>
        <w:spacing w:after="160" w:line="259" w:lineRule="auto"/>
      </w:pPr>
    </w:p>
    <w:p w14:paraId="1C6AF980" w14:textId="77777777" w:rsidR="00974133" w:rsidRPr="00401515" w:rsidRDefault="00974133" w:rsidP="0098105B">
      <w:pPr>
        <w:rPr>
          <w:b/>
          <w:bCs/>
          <w:iCs/>
          <w:color w:val="000000"/>
          <w:sz w:val="28"/>
          <w:szCs w:val="28"/>
        </w:rPr>
      </w:pPr>
      <w:r w:rsidRPr="00401515">
        <w:rPr>
          <w:b/>
          <w:bCs/>
          <w:iCs/>
          <w:color w:val="000000"/>
          <w:sz w:val="28"/>
          <w:szCs w:val="28"/>
        </w:rPr>
        <w:t>Supplementary table 1. USDA food codes and logic defining evaluated food groups</w:t>
      </w:r>
    </w:p>
    <w:p w14:paraId="57BC9683" w14:textId="43ABD5E7" w:rsidR="00974133" w:rsidRPr="00401515" w:rsidRDefault="00974133" w:rsidP="00A95D4C">
      <w:pPr>
        <w:spacing w:after="160" w:line="259" w:lineRule="auto"/>
        <w:rPr>
          <w:b/>
          <w:bCs/>
          <w:iCs/>
          <w:color w:val="000000"/>
          <w:sz w:val="28"/>
          <w:szCs w:val="28"/>
        </w:rPr>
        <w:sectPr w:rsidR="00974133" w:rsidRPr="00401515" w:rsidSect="0098105B">
          <w:pgSz w:w="12240" w:h="15840"/>
          <w:pgMar w:top="1080" w:right="1080" w:bottom="1080" w:left="1080" w:header="720" w:footer="720" w:gutter="0"/>
          <w:cols w:space="720"/>
          <w:docGrid w:linePitch="360"/>
        </w:sectPr>
      </w:pPr>
      <w:r w:rsidRPr="00401515">
        <w:br w:type="page"/>
      </w:r>
      <w:bookmarkStart w:id="1" w:name="IDX"/>
      <w:bookmarkEnd w:id="1"/>
    </w:p>
    <w:p w14:paraId="61F52CE6" w14:textId="12C6437E" w:rsidR="00974133" w:rsidRPr="00401515" w:rsidRDefault="00974133" w:rsidP="0098105B">
      <w:pPr>
        <w:spacing w:after="160" w:line="259" w:lineRule="auto"/>
        <w:rPr>
          <w:b/>
          <w:bCs/>
          <w:iCs/>
          <w:color w:val="000000"/>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146"/>
        <w:gridCol w:w="1910"/>
        <w:gridCol w:w="1914"/>
        <w:gridCol w:w="967"/>
        <w:gridCol w:w="967"/>
        <w:gridCol w:w="967"/>
        <w:gridCol w:w="967"/>
        <w:gridCol w:w="967"/>
        <w:gridCol w:w="967"/>
        <w:gridCol w:w="1285"/>
      </w:tblGrid>
      <w:tr w:rsidR="007D4082" w:rsidRPr="00401515" w14:paraId="5F563AA9" w14:textId="77777777" w:rsidTr="0073737A">
        <w:trPr>
          <w:cantSplit/>
          <w:tblHeader/>
          <w:jc w:val="center"/>
        </w:trPr>
        <w:tc>
          <w:tcPr>
            <w:tcW w:w="114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90D307F" w14:textId="77777777" w:rsidR="007D4082" w:rsidRPr="00401515" w:rsidRDefault="007D4082" w:rsidP="00A55DB0">
            <w:pPr>
              <w:keepNext/>
              <w:adjustRightInd w:val="0"/>
              <w:spacing w:before="60" w:after="60"/>
              <w:rPr>
                <w:b/>
                <w:bCs/>
                <w:color w:val="000000"/>
              </w:rPr>
            </w:pPr>
            <w:r w:rsidRPr="00401515">
              <w:rPr>
                <w:b/>
                <w:bCs/>
                <w:color w:val="000000"/>
              </w:rPr>
              <w:t>Predictor</w:t>
            </w:r>
          </w:p>
        </w:tc>
        <w:tc>
          <w:tcPr>
            <w:tcW w:w="19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A0A793E" w14:textId="77777777" w:rsidR="007D4082" w:rsidRPr="00401515" w:rsidRDefault="007D4082" w:rsidP="00A55DB0">
            <w:pPr>
              <w:keepNext/>
              <w:adjustRightInd w:val="0"/>
              <w:spacing w:before="60" w:after="60"/>
              <w:rPr>
                <w:b/>
                <w:bCs/>
                <w:color w:val="000000"/>
              </w:rPr>
            </w:pPr>
            <w:r w:rsidRPr="00401515">
              <w:rPr>
                <w:b/>
                <w:bCs/>
                <w:color w:val="000000"/>
              </w:rPr>
              <w:t>Level</w:t>
            </w:r>
          </w:p>
        </w:tc>
        <w:tc>
          <w:tcPr>
            <w:tcW w:w="19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ED9F1CD" w14:textId="77777777" w:rsidR="007D4082" w:rsidRPr="00401515" w:rsidRDefault="007D4082" w:rsidP="00A55DB0">
            <w:pPr>
              <w:keepNext/>
              <w:adjustRightInd w:val="0"/>
              <w:spacing w:before="60" w:after="60"/>
              <w:rPr>
                <w:b/>
                <w:bCs/>
                <w:color w:val="000000"/>
              </w:rPr>
            </w:pPr>
            <w:r w:rsidRPr="00401515">
              <w:rPr>
                <w:b/>
                <w:bCs/>
                <w:color w:val="000000"/>
              </w:rPr>
              <w:t>GM [95%CI]</w:t>
            </w:r>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A1E1ABE" w14:textId="77777777" w:rsidR="007D4082" w:rsidRPr="00401515" w:rsidRDefault="007D4082" w:rsidP="00A55DB0">
            <w:pPr>
              <w:keepNext/>
              <w:adjustRightInd w:val="0"/>
              <w:spacing w:before="60" w:after="60"/>
              <w:rPr>
                <w:b/>
                <w:bCs/>
                <w:color w:val="000000"/>
              </w:rPr>
            </w:pPr>
            <w:r w:rsidRPr="00401515">
              <w:rPr>
                <w:b/>
                <w:bCs/>
                <w:color w:val="000000"/>
              </w:rPr>
              <w:t>10th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FF4B9A0" w14:textId="77777777" w:rsidR="007D4082" w:rsidRPr="00401515" w:rsidRDefault="007D4082" w:rsidP="00A55DB0">
            <w:pPr>
              <w:keepNext/>
              <w:adjustRightInd w:val="0"/>
              <w:spacing w:before="60" w:after="60"/>
              <w:rPr>
                <w:b/>
                <w:bCs/>
                <w:color w:val="000000"/>
              </w:rPr>
            </w:pPr>
            <w:r w:rsidRPr="00401515">
              <w:rPr>
                <w:b/>
                <w:bCs/>
                <w:color w:val="000000"/>
              </w:rPr>
              <w:t>25th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A81F75B" w14:textId="77777777" w:rsidR="007D4082" w:rsidRPr="00401515" w:rsidRDefault="007D4082" w:rsidP="00A55DB0">
            <w:pPr>
              <w:keepNext/>
              <w:adjustRightInd w:val="0"/>
              <w:spacing w:before="60" w:after="60"/>
              <w:rPr>
                <w:b/>
                <w:bCs/>
                <w:color w:val="000000"/>
              </w:rPr>
            </w:pPr>
            <w:r w:rsidRPr="00401515">
              <w:rPr>
                <w:b/>
                <w:bCs/>
                <w:color w:val="000000"/>
              </w:rPr>
              <w:t>50th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6FB3BCC" w14:textId="77777777" w:rsidR="007D4082" w:rsidRPr="00401515" w:rsidRDefault="007D4082" w:rsidP="00A55DB0">
            <w:pPr>
              <w:keepNext/>
              <w:adjustRightInd w:val="0"/>
              <w:spacing w:before="60" w:after="60"/>
              <w:rPr>
                <w:b/>
                <w:bCs/>
                <w:color w:val="000000"/>
              </w:rPr>
            </w:pPr>
            <w:r w:rsidRPr="00401515">
              <w:rPr>
                <w:b/>
                <w:bCs/>
                <w:color w:val="000000"/>
              </w:rPr>
              <w:t>75th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F31BD81" w14:textId="77777777" w:rsidR="007D4082" w:rsidRPr="00401515" w:rsidRDefault="007D4082" w:rsidP="00A55DB0">
            <w:pPr>
              <w:keepNext/>
              <w:adjustRightInd w:val="0"/>
              <w:spacing w:before="60" w:after="60"/>
              <w:rPr>
                <w:b/>
                <w:bCs/>
                <w:color w:val="000000"/>
              </w:rPr>
            </w:pPr>
            <w:r w:rsidRPr="00401515">
              <w:rPr>
                <w:b/>
                <w:bCs/>
                <w:color w:val="000000"/>
              </w:rPr>
              <w:t>90th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23FC0C7" w14:textId="77777777" w:rsidR="007D4082" w:rsidRPr="00401515" w:rsidRDefault="007D4082" w:rsidP="00A55DB0">
            <w:pPr>
              <w:keepNext/>
              <w:adjustRightInd w:val="0"/>
              <w:spacing w:before="60" w:after="60"/>
              <w:rPr>
                <w:b/>
                <w:bCs/>
                <w:color w:val="000000"/>
              </w:rPr>
            </w:pPr>
            <w:r w:rsidRPr="00401515">
              <w:rPr>
                <w:b/>
                <w:bCs/>
                <w:color w:val="000000"/>
              </w:rPr>
              <w:t>95th %</w:t>
            </w:r>
            <w:proofErr w:type="spellStart"/>
            <w:r w:rsidRPr="00401515">
              <w:rPr>
                <w:b/>
                <w:bCs/>
                <w:color w:val="000000"/>
              </w:rPr>
              <w:t>ile</w:t>
            </w:r>
            <w:proofErr w:type="spellEnd"/>
          </w:p>
        </w:tc>
        <w:tc>
          <w:tcPr>
            <w:tcW w:w="1285"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2D34DA2" w14:textId="77777777" w:rsidR="007D4082" w:rsidRPr="00401515" w:rsidRDefault="007D4082" w:rsidP="00A55DB0">
            <w:pPr>
              <w:keepNext/>
              <w:adjustRightInd w:val="0"/>
              <w:spacing w:before="60" w:after="60"/>
              <w:jc w:val="right"/>
              <w:rPr>
                <w:b/>
                <w:bCs/>
                <w:color w:val="000000"/>
              </w:rPr>
            </w:pPr>
            <w:r w:rsidRPr="00401515">
              <w:rPr>
                <w:b/>
                <w:bCs/>
                <w:color w:val="000000"/>
              </w:rPr>
              <w:t>Sample Size</w:t>
            </w:r>
          </w:p>
        </w:tc>
      </w:tr>
      <w:tr w:rsidR="007D4082" w:rsidRPr="00401515" w14:paraId="7D1F40F2"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6DEDDE08" w14:textId="77777777" w:rsidR="007D4082" w:rsidRPr="00401515" w:rsidRDefault="007D4082" w:rsidP="00A55DB0">
            <w:pPr>
              <w:adjustRightInd w:val="0"/>
              <w:spacing w:before="60" w:after="60"/>
              <w:rPr>
                <w:color w:val="000000"/>
              </w:rPr>
            </w:pPr>
            <w:r w:rsidRPr="00401515">
              <w:rPr>
                <w:color w:val="000000"/>
              </w:rPr>
              <w:t>All</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596BD9B5" w14:textId="77777777" w:rsidR="007D4082" w:rsidRPr="00401515" w:rsidRDefault="007D4082" w:rsidP="00A55DB0">
            <w:pPr>
              <w:adjustRightInd w:val="0"/>
              <w:spacing w:before="60" w:after="60"/>
              <w:rPr>
                <w:color w:val="000000"/>
              </w:rPr>
            </w:pP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198BD7E3" w14:textId="77777777" w:rsidR="007D4082" w:rsidRPr="00401515" w:rsidRDefault="007D4082" w:rsidP="00A55DB0">
            <w:pPr>
              <w:adjustRightInd w:val="0"/>
              <w:spacing w:before="60" w:after="60"/>
              <w:rPr>
                <w:color w:val="000000"/>
              </w:rPr>
            </w:pPr>
            <w:r w:rsidRPr="00401515">
              <w:rPr>
                <w:color w:val="000000"/>
              </w:rPr>
              <w:t>14.30 [10.79, 17.81]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4E5DEDB" w14:textId="77777777" w:rsidR="007D4082" w:rsidRPr="00401515" w:rsidRDefault="007D4082" w:rsidP="00A55DB0">
            <w:pPr>
              <w:adjustRightInd w:val="0"/>
              <w:spacing w:before="60" w:after="60"/>
              <w:rPr>
                <w:color w:val="000000"/>
              </w:rPr>
            </w:pPr>
            <w:r w:rsidRPr="00401515">
              <w:rPr>
                <w:color w:val="000000"/>
              </w:rPr>
              <w:t>0.87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1A344A9" w14:textId="77777777" w:rsidR="007D4082" w:rsidRPr="00401515" w:rsidRDefault="007D4082" w:rsidP="00A55DB0">
            <w:pPr>
              <w:adjustRightInd w:val="0"/>
              <w:spacing w:before="60" w:after="60"/>
              <w:rPr>
                <w:color w:val="000000"/>
              </w:rPr>
            </w:pPr>
            <w:r w:rsidRPr="00401515">
              <w:rPr>
                <w:color w:val="000000"/>
              </w:rPr>
              <w:t>4.49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F8DDDB7" w14:textId="77777777" w:rsidR="007D4082" w:rsidRPr="00401515" w:rsidRDefault="007D4082" w:rsidP="00A55DB0">
            <w:pPr>
              <w:adjustRightInd w:val="0"/>
              <w:spacing w:before="60" w:after="60"/>
              <w:rPr>
                <w:color w:val="000000"/>
              </w:rPr>
            </w:pPr>
            <w:r w:rsidRPr="00401515">
              <w:rPr>
                <w:color w:val="000000"/>
              </w:rPr>
              <w:t>19.97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07F728C" w14:textId="77777777" w:rsidR="007D4082" w:rsidRPr="00401515" w:rsidRDefault="007D4082" w:rsidP="00A55DB0">
            <w:pPr>
              <w:adjustRightInd w:val="0"/>
              <w:spacing w:before="60" w:after="60"/>
              <w:rPr>
                <w:color w:val="000000"/>
              </w:rPr>
            </w:pPr>
            <w:r w:rsidRPr="00401515">
              <w:rPr>
                <w:color w:val="000000"/>
              </w:rPr>
              <w:t>60.61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45A401F" w14:textId="59ED7E70" w:rsidR="007D4082" w:rsidRPr="00401515" w:rsidRDefault="0020590C" w:rsidP="00A55DB0">
            <w:pPr>
              <w:adjustRightInd w:val="0"/>
              <w:spacing w:before="60" w:after="60"/>
              <w:rPr>
                <w:color w:val="000000"/>
              </w:rPr>
            </w:pPr>
            <w:r>
              <w:rPr>
                <w:color w:val="000000"/>
              </w:rPr>
              <w:t>108.1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55AC83E" w14:textId="6D9EC2FC" w:rsidR="007D4082" w:rsidRPr="00401515" w:rsidRDefault="0020590C" w:rsidP="00A55DB0">
            <w:pPr>
              <w:adjustRightInd w:val="0"/>
              <w:spacing w:before="60" w:after="60"/>
              <w:rPr>
                <w:color w:val="000000"/>
              </w:rPr>
            </w:pPr>
            <w:r>
              <w:rPr>
                <w:color w:val="000000"/>
              </w:rPr>
              <w:t>170.0</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C0CA58" w14:textId="77777777" w:rsidR="007D4082" w:rsidRPr="00401515" w:rsidRDefault="007D4082" w:rsidP="00A55DB0">
            <w:pPr>
              <w:adjustRightInd w:val="0"/>
              <w:spacing w:before="60" w:after="60"/>
              <w:jc w:val="right"/>
              <w:rPr>
                <w:color w:val="000000"/>
              </w:rPr>
            </w:pPr>
            <w:r w:rsidRPr="00401515">
              <w:rPr>
                <w:color w:val="000000"/>
              </w:rPr>
              <w:t>1,002</w:t>
            </w:r>
          </w:p>
        </w:tc>
      </w:tr>
      <w:tr w:rsidR="007D4082" w:rsidRPr="00401515" w14:paraId="01E32B4D"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5B346C17" w14:textId="77777777" w:rsidR="007D4082" w:rsidRPr="00401515" w:rsidRDefault="007D4082" w:rsidP="00A55DB0">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5239A68" w14:textId="77777777" w:rsidR="007D4082" w:rsidRPr="00401515" w:rsidRDefault="007D4082" w:rsidP="00A55DB0">
            <w:pPr>
              <w:adjustRightInd w:val="0"/>
              <w:spacing w:before="60" w:after="60"/>
              <w:rPr>
                <w:color w:val="000000"/>
              </w:rPr>
            </w:pPr>
            <w:r w:rsidRPr="00401515">
              <w:rPr>
                <w:color w:val="000000"/>
              </w:rPr>
              <w:t>18 – 39</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41E73869" w14:textId="77777777" w:rsidR="007D4082" w:rsidRPr="00401515" w:rsidRDefault="007D4082" w:rsidP="00A55DB0">
            <w:pPr>
              <w:adjustRightInd w:val="0"/>
              <w:spacing w:before="60" w:after="60"/>
              <w:rPr>
                <w:color w:val="000000"/>
              </w:rPr>
            </w:pPr>
            <w:r w:rsidRPr="00401515">
              <w:rPr>
                <w:color w:val="000000"/>
              </w:rPr>
              <w:t>11.18 [8.69, 13.67]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E6BE990" w14:textId="77777777" w:rsidR="007D4082" w:rsidRPr="00401515" w:rsidRDefault="007D4082" w:rsidP="00A55DB0">
            <w:pPr>
              <w:adjustRightInd w:val="0"/>
              <w:spacing w:before="60" w:after="60"/>
              <w:rPr>
                <w:color w:val="000000"/>
              </w:rPr>
            </w:pPr>
            <w:r w:rsidRPr="00401515">
              <w:rPr>
                <w:color w:val="000000"/>
              </w:rPr>
              <w:t>0.91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CEC15D9" w14:textId="77777777" w:rsidR="007D4082" w:rsidRPr="00401515" w:rsidRDefault="007D4082" w:rsidP="00A55DB0">
            <w:pPr>
              <w:adjustRightInd w:val="0"/>
              <w:spacing w:before="60" w:after="60"/>
              <w:rPr>
                <w:color w:val="000000"/>
              </w:rPr>
            </w:pPr>
            <w:r w:rsidRPr="00401515">
              <w:rPr>
                <w:color w:val="000000"/>
              </w:rPr>
              <w:t>3.69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80F0C2F" w14:textId="77777777" w:rsidR="007D4082" w:rsidRPr="00401515" w:rsidRDefault="007D4082" w:rsidP="00A55DB0">
            <w:pPr>
              <w:adjustRightInd w:val="0"/>
              <w:spacing w:before="60" w:after="60"/>
              <w:rPr>
                <w:color w:val="000000"/>
              </w:rPr>
            </w:pPr>
            <w:r w:rsidRPr="00401515">
              <w:rPr>
                <w:color w:val="000000"/>
              </w:rPr>
              <w:t>11.71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45345B6" w14:textId="77777777" w:rsidR="007D4082" w:rsidRPr="00401515" w:rsidRDefault="007D4082" w:rsidP="00A55DB0">
            <w:pPr>
              <w:adjustRightInd w:val="0"/>
              <w:spacing w:before="60" w:after="60"/>
              <w:rPr>
                <w:color w:val="000000"/>
              </w:rPr>
            </w:pPr>
            <w:r w:rsidRPr="00401515">
              <w:rPr>
                <w:color w:val="000000"/>
              </w:rPr>
              <w:t>40.10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9A61A66" w14:textId="77777777" w:rsidR="007D4082" w:rsidRPr="00401515" w:rsidRDefault="007D4082" w:rsidP="00A55DB0">
            <w:pPr>
              <w:adjustRightInd w:val="0"/>
              <w:spacing w:before="60" w:after="60"/>
              <w:rPr>
                <w:color w:val="000000"/>
              </w:rPr>
            </w:pPr>
            <w:r w:rsidRPr="00401515">
              <w:rPr>
                <w:color w:val="000000"/>
              </w:rPr>
              <w:t>91.16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44FBF9A" w14:textId="15775A87" w:rsidR="007D4082" w:rsidRPr="00401515" w:rsidRDefault="0031244C" w:rsidP="00A55DB0">
            <w:pPr>
              <w:adjustRightInd w:val="0"/>
              <w:spacing w:before="60" w:after="60"/>
              <w:rPr>
                <w:color w:val="000000"/>
              </w:rPr>
            </w:pPr>
            <w:r>
              <w:rPr>
                <w:color w:val="000000"/>
              </w:rPr>
              <w:t>130.7</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765D39" w14:textId="77777777" w:rsidR="007D4082" w:rsidRPr="00401515" w:rsidRDefault="007D4082" w:rsidP="00A55DB0">
            <w:pPr>
              <w:adjustRightInd w:val="0"/>
              <w:spacing w:before="60" w:after="60"/>
              <w:jc w:val="right"/>
              <w:rPr>
                <w:color w:val="000000"/>
              </w:rPr>
            </w:pPr>
            <w:r w:rsidRPr="00401515">
              <w:rPr>
                <w:color w:val="000000"/>
              </w:rPr>
              <w:t>418</w:t>
            </w:r>
          </w:p>
        </w:tc>
      </w:tr>
      <w:tr w:rsidR="007D4082" w:rsidRPr="00401515" w14:paraId="5EA84AF1"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55074314" w14:textId="77777777" w:rsidR="007D4082" w:rsidRPr="00401515" w:rsidRDefault="007D4082" w:rsidP="00A55DB0">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12A53041" w14:textId="77777777" w:rsidR="007D4082" w:rsidRPr="00401515" w:rsidRDefault="007D4082" w:rsidP="00A55DB0">
            <w:pPr>
              <w:adjustRightInd w:val="0"/>
              <w:spacing w:before="60" w:after="60"/>
              <w:rPr>
                <w:color w:val="000000"/>
              </w:rPr>
            </w:pPr>
            <w:r w:rsidRPr="00401515">
              <w:rPr>
                <w:color w:val="000000"/>
              </w:rPr>
              <w:t>40 – 59</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6638DF37" w14:textId="77777777" w:rsidR="007D4082" w:rsidRPr="00401515" w:rsidRDefault="007D4082" w:rsidP="00A55DB0">
            <w:pPr>
              <w:adjustRightInd w:val="0"/>
              <w:spacing w:before="60" w:after="60"/>
              <w:rPr>
                <w:color w:val="000000"/>
              </w:rPr>
            </w:pPr>
            <w:r w:rsidRPr="00401515">
              <w:rPr>
                <w:color w:val="000000"/>
              </w:rPr>
              <w:t>17.72 [10.40, 25.04]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ED82443" w14:textId="77777777" w:rsidR="007D4082" w:rsidRPr="00401515" w:rsidRDefault="007D4082" w:rsidP="00A55DB0">
            <w:pPr>
              <w:adjustRightInd w:val="0"/>
              <w:spacing w:before="60" w:after="60"/>
              <w:rPr>
                <w:color w:val="000000"/>
              </w:rPr>
            </w:pPr>
            <w:r w:rsidRPr="00401515">
              <w:rPr>
                <w:color w:val="000000"/>
              </w:rPr>
              <w:t>0.70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4F3EBAB" w14:textId="77777777" w:rsidR="007D4082" w:rsidRPr="00401515" w:rsidRDefault="007D4082" w:rsidP="00A55DB0">
            <w:pPr>
              <w:adjustRightInd w:val="0"/>
              <w:spacing w:before="60" w:after="60"/>
              <w:rPr>
                <w:color w:val="000000"/>
              </w:rPr>
            </w:pPr>
            <w:r w:rsidRPr="00401515">
              <w:rPr>
                <w:color w:val="000000"/>
              </w:rPr>
              <w:t>6.73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CA4C3FC" w14:textId="77777777" w:rsidR="007D4082" w:rsidRPr="00401515" w:rsidRDefault="007D4082" w:rsidP="00A55DB0">
            <w:pPr>
              <w:adjustRightInd w:val="0"/>
              <w:spacing w:before="60" w:after="60"/>
              <w:rPr>
                <w:color w:val="000000"/>
              </w:rPr>
            </w:pPr>
            <w:r w:rsidRPr="00401515">
              <w:rPr>
                <w:color w:val="000000"/>
              </w:rPr>
              <w:t>32.89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7FF4B41" w14:textId="77777777" w:rsidR="007D4082" w:rsidRPr="00401515" w:rsidRDefault="007D4082" w:rsidP="00A55DB0">
            <w:pPr>
              <w:adjustRightInd w:val="0"/>
              <w:spacing w:before="60" w:after="60"/>
              <w:rPr>
                <w:color w:val="000000"/>
              </w:rPr>
            </w:pPr>
            <w:r w:rsidRPr="00401515">
              <w:rPr>
                <w:color w:val="000000"/>
              </w:rPr>
              <w:t>68.94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7F6B2A4" w14:textId="459A46D9" w:rsidR="007D4082" w:rsidRPr="00401515" w:rsidRDefault="0031244C" w:rsidP="00A55DB0">
            <w:pPr>
              <w:adjustRightInd w:val="0"/>
              <w:spacing w:before="60" w:after="60"/>
              <w:rPr>
                <w:color w:val="000000"/>
              </w:rPr>
            </w:pPr>
            <w:r>
              <w:rPr>
                <w:color w:val="000000"/>
              </w:rPr>
              <w:t>128.1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E2FEFA2" w14:textId="221CB609" w:rsidR="007D4082" w:rsidRPr="00401515" w:rsidRDefault="0031244C" w:rsidP="00A55DB0">
            <w:pPr>
              <w:adjustRightInd w:val="0"/>
              <w:spacing w:before="60" w:after="60"/>
              <w:rPr>
                <w:color w:val="000000"/>
              </w:rPr>
            </w:pPr>
            <w:r>
              <w:rPr>
                <w:color w:val="000000"/>
              </w:rPr>
              <w:t>177.1</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08DA37" w14:textId="77777777" w:rsidR="007D4082" w:rsidRPr="00401515" w:rsidRDefault="007D4082" w:rsidP="00A55DB0">
            <w:pPr>
              <w:adjustRightInd w:val="0"/>
              <w:spacing w:before="60" w:after="60"/>
              <w:jc w:val="right"/>
              <w:rPr>
                <w:color w:val="000000"/>
              </w:rPr>
            </w:pPr>
            <w:r w:rsidRPr="00401515">
              <w:rPr>
                <w:color w:val="000000"/>
              </w:rPr>
              <w:t>401</w:t>
            </w:r>
          </w:p>
        </w:tc>
      </w:tr>
      <w:tr w:rsidR="007D4082" w:rsidRPr="00401515" w14:paraId="76BB2E39"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0A44C11F" w14:textId="77777777" w:rsidR="007D4082" w:rsidRPr="00401515" w:rsidRDefault="007D4082" w:rsidP="00A55DB0">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AB16FBF" w14:textId="77777777" w:rsidR="007D4082" w:rsidRPr="00401515" w:rsidRDefault="007D4082" w:rsidP="00A55DB0">
            <w:pPr>
              <w:adjustRightInd w:val="0"/>
              <w:spacing w:before="60" w:after="60"/>
              <w:rPr>
                <w:color w:val="000000"/>
              </w:rPr>
            </w:pPr>
            <w:r w:rsidRPr="00401515">
              <w:rPr>
                <w:color w:val="000000"/>
              </w:rPr>
              <w:t>≥60</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5418AFAD" w14:textId="77777777" w:rsidR="007D4082" w:rsidRPr="00401515" w:rsidRDefault="007D4082" w:rsidP="00A55DB0">
            <w:pPr>
              <w:adjustRightInd w:val="0"/>
              <w:spacing w:before="60" w:after="60"/>
              <w:rPr>
                <w:color w:val="000000"/>
              </w:rPr>
            </w:pPr>
            <w:r w:rsidRPr="00401515">
              <w:rPr>
                <w:color w:val="000000"/>
              </w:rPr>
              <w:t>17.72 [3.40, 32.03]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2187004" w14:textId="77777777" w:rsidR="007D4082" w:rsidRPr="00401515" w:rsidRDefault="007D4082" w:rsidP="00A55DB0">
            <w:pPr>
              <w:adjustRightInd w:val="0"/>
              <w:spacing w:before="60" w:after="60"/>
              <w:rPr>
                <w:color w:val="000000"/>
              </w:rPr>
            </w:pPr>
            <w:r w:rsidRPr="00401515">
              <w:rPr>
                <w:color w:val="000000"/>
              </w:rPr>
              <w:t>0.50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E8E2013" w14:textId="77777777" w:rsidR="007D4082" w:rsidRPr="00401515" w:rsidRDefault="007D4082" w:rsidP="00A55DB0">
            <w:pPr>
              <w:adjustRightInd w:val="0"/>
              <w:spacing w:before="60" w:after="60"/>
              <w:rPr>
                <w:color w:val="000000"/>
              </w:rPr>
            </w:pPr>
            <w:r w:rsidRPr="00401515">
              <w:rPr>
                <w:color w:val="000000"/>
              </w:rPr>
              <w:t>6.96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D712B7A" w14:textId="77777777" w:rsidR="007D4082" w:rsidRPr="00401515" w:rsidRDefault="007D4082" w:rsidP="00A55DB0">
            <w:pPr>
              <w:adjustRightInd w:val="0"/>
              <w:spacing w:before="60" w:after="60"/>
              <w:rPr>
                <w:color w:val="000000"/>
              </w:rPr>
            </w:pPr>
            <w:r w:rsidRPr="00401515">
              <w:rPr>
                <w:color w:val="000000"/>
              </w:rPr>
              <w:t>22.91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99DD875" w14:textId="77777777" w:rsidR="007D4082" w:rsidRPr="00401515" w:rsidRDefault="007D4082" w:rsidP="00A55DB0">
            <w:pPr>
              <w:adjustRightInd w:val="0"/>
              <w:spacing w:before="60" w:after="60"/>
              <w:rPr>
                <w:color w:val="000000"/>
              </w:rPr>
            </w:pPr>
            <w:r w:rsidRPr="00401515">
              <w:rPr>
                <w:color w:val="000000"/>
              </w:rPr>
              <w:t>82.26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7860B7F" w14:textId="0261F2A4" w:rsidR="007D4082" w:rsidRPr="00401515" w:rsidRDefault="0031244C" w:rsidP="00A55DB0">
            <w:pPr>
              <w:adjustRightInd w:val="0"/>
              <w:spacing w:before="60" w:after="60"/>
              <w:rPr>
                <w:color w:val="000000"/>
              </w:rPr>
            </w:pPr>
            <w:r>
              <w:rPr>
                <w:color w:val="000000"/>
              </w:rPr>
              <w:t>138.1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C73DEE1" w14:textId="5D0D8CD9" w:rsidR="007D4082" w:rsidRPr="00401515" w:rsidRDefault="0031244C" w:rsidP="00A55DB0">
            <w:pPr>
              <w:adjustRightInd w:val="0"/>
              <w:spacing w:before="60" w:after="60"/>
              <w:rPr>
                <w:color w:val="000000"/>
              </w:rPr>
            </w:pPr>
            <w:r>
              <w:rPr>
                <w:color w:val="000000"/>
              </w:rPr>
              <w:t>239.3</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3A2C1C" w14:textId="77777777" w:rsidR="007D4082" w:rsidRPr="00401515" w:rsidRDefault="007D4082" w:rsidP="00A55DB0">
            <w:pPr>
              <w:adjustRightInd w:val="0"/>
              <w:spacing w:before="60" w:after="60"/>
              <w:jc w:val="right"/>
              <w:rPr>
                <w:color w:val="000000"/>
              </w:rPr>
            </w:pPr>
            <w:r w:rsidRPr="00401515">
              <w:rPr>
                <w:color w:val="000000"/>
              </w:rPr>
              <w:t>183</w:t>
            </w:r>
          </w:p>
        </w:tc>
      </w:tr>
      <w:tr w:rsidR="007D4082" w:rsidRPr="00401515" w14:paraId="0EB465C2"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5D1EE269" w14:textId="77777777" w:rsidR="007D4082" w:rsidRPr="00401515" w:rsidRDefault="007D4082" w:rsidP="00A55DB0">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4E0CCD6" w14:textId="77777777" w:rsidR="007D4082" w:rsidRPr="00401515" w:rsidRDefault="007D4082" w:rsidP="00A55DB0">
            <w:pPr>
              <w:adjustRightInd w:val="0"/>
              <w:spacing w:before="60" w:after="60"/>
              <w:rPr>
                <w:color w:val="000000"/>
              </w:rPr>
            </w:pPr>
            <w:r w:rsidRPr="00401515">
              <w:rPr>
                <w:color w:val="000000"/>
              </w:rPr>
              <w:t>Healthy Weight</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3F1ED66E" w14:textId="77777777" w:rsidR="007D4082" w:rsidRPr="00401515" w:rsidRDefault="007D4082" w:rsidP="00A55DB0">
            <w:pPr>
              <w:adjustRightInd w:val="0"/>
              <w:spacing w:before="60" w:after="60"/>
              <w:rPr>
                <w:color w:val="000000"/>
              </w:rPr>
            </w:pPr>
            <w:r w:rsidRPr="00401515">
              <w:rPr>
                <w:color w:val="000000"/>
              </w:rPr>
              <w:t>20.73 [15.10, 26.36]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D1505A4" w14:textId="77777777" w:rsidR="007D4082" w:rsidRPr="00401515" w:rsidRDefault="007D4082" w:rsidP="00A55DB0">
            <w:pPr>
              <w:adjustRightInd w:val="0"/>
              <w:spacing w:before="60" w:after="60"/>
              <w:rPr>
                <w:color w:val="000000"/>
              </w:rPr>
            </w:pPr>
            <w:r w:rsidRPr="00401515">
              <w:rPr>
                <w:color w:val="000000"/>
              </w:rPr>
              <w:t>2.11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A862996" w14:textId="77777777" w:rsidR="007D4082" w:rsidRPr="00401515" w:rsidRDefault="007D4082" w:rsidP="00A55DB0">
            <w:pPr>
              <w:adjustRightInd w:val="0"/>
              <w:spacing w:before="60" w:after="60"/>
              <w:rPr>
                <w:color w:val="000000"/>
              </w:rPr>
            </w:pPr>
            <w:r w:rsidRPr="00401515">
              <w:rPr>
                <w:color w:val="000000"/>
              </w:rPr>
              <w:t>7.56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7F64480" w14:textId="77777777" w:rsidR="007D4082" w:rsidRPr="00401515" w:rsidRDefault="007D4082" w:rsidP="00A55DB0">
            <w:pPr>
              <w:adjustRightInd w:val="0"/>
              <w:spacing w:before="60" w:after="60"/>
              <w:rPr>
                <w:color w:val="000000"/>
              </w:rPr>
            </w:pPr>
            <w:r w:rsidRPr="00401515">
              <w:rPr>
                <w:color w:val="000000"/>
              </w:rPr>
              <w:t>23.39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DAE9048" w14:textId="77777777" w:rsidR="007D4082" w:rsidRPr="00401515" w:rsidRDefault="007D4082" w:rsidP="00A55DB0">
            <w:pPr>
              <w:adjustRightInd w:val="0"/>
              <w:spacing w:before="60" w:after="60"/>
              <w:rPr>
                <w:color w:val="000000"/>
              </w:rPr>
            </w:pPr>
            <w:r w:rsidRPr="00401515">
              <w:rPr>
                <w:color w:val="000000"/>
              </w:rPr>
              <w:t>67.80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CE1F353" w14:textId="1860BF65" w:rsidR="007D4082" w:rsidRPr="00401515" w:rsidRDefault="0031244C" w:rsidP="00A55DB0">
            <w:pPr>
              <w:adjustRightInd w:val="0"/>
              <w:spacing w:before="60" w:after="60"/>
              <w:rPr>
                <w:color w:val="000000"/>
              </w:rPr>
            </w:pPr>
            <w:r>
              <w:rPr>
                <w:color w:val="000000"/>
              </w:rPr>
              <w:t>125.8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3407079" w14:textId="53BE527D" w:rsidR="007D4082" w:rsidRPr="00401515" w:rsidRDefault="0031244C" w:rsidP="00A55DB0">
            <w:pPr>
              <w:adjustRightInd w:val="0"/>
              <w:spacing w:before="60" w:after="60"/>
              <w:rPr>
                <w:color w:val="000000"/>
              </w:rPr>
            </w:pPr>
            <w:r>
              <w:rPr>
                <w:color w:val="000000"/>
              </w:rPr>
              <w:t>195.7</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27AA12" w14:textId="77777777" w:rsidR="007D4082" w:rsidRPr="00401515" w:rsidRDefault="007D4082" w:rsidP="00A55DB0">
            <w:pPr>
              <w:adjustRightInd w:val="0"/>
              <w:spacing w:before="60" w:after="60"/>
              <w:jc w:val="right"/>
              <w:rPr>
                <w:color w:val="000000"/>
              </w:rPr>
            </w:pPr>
            <w:r w:rsidRPr="00401515">
              <w:rPr>
                <w:color w:val="000000"/>
              </w:rPr>
              <w:t>321</w:t>
            </w:r>
          </w:p>
        </w:tc>
      </w:tr>
      <w:tr w:rsidR="007D4082" w:rsidRPr="00401515" w14:paraId="70FA19F4"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4473C1EC" w14:textId="77777777" w:rsidR="007D4082" w:rsidRPr="00401515" w:rsidRDefault="007D4082" w:rsidP="00A55DB0">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27E34AC2" w14:textId="77777777" w:rsidR="007D4082" w:rsidRPr="00401515" w:rsidRDefault="007D4082" w:rsidP="00A55DB0">
            <w:pPr>
              <w:adjustRightInd w:val="0"/>
              <w:spacing w:before="60" w:after="60"/>
              <w:rPr>
                <w:color w:val="000000"/>
              </w:rPr>
            </w:pPr>
            <w:r w:rsidRPr="00401515">
              <w:rPr>
                <w:color w:val="000000"/>
              </w:rPr>
              <w:t>Overweight/Obese</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55B7CE04" w14:textId="77777777" w:rsidR="007D4082" w:rsidRPr="00401515" w:rsidRDefault="007D4082" w:rsidP="00A55DB0">
            <w:pPr>
              <w:adjustRightInd w:val="0"/>
              <w:spacing w:before="60" w:after="60"/>
              <w:rPr>
                <w:color w:val="000000"/>
              </w:rPr>
            </w:pPr>
            <w:r w:rsidRPr="00401515">
              <w:rPr>
                <w:color w:val="000000"/>
              </w:rPr>
              <w:t>11.85 [8.06, 15.65]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7674B9E" w14:textId="77777777" w:rsidR="007D4082" w:rsidRPr="00401515" w:rsidRDefault="007D4082" w:rsidP="00A55DB0">
            <w:pPr>
              <w:adjustRightInd w:val="0"/>
              <w:spacing w:before="60" w:after="60"/>
              <w:rPr>
                <w:color w:val="000000"/>
              </w:rPr>
            </w:pPr>
            <w:r w:rsidRPr="00401515">
              <w:rPr>
                <w:color w:val="000000"/>
              </w:rPr>
              <w:t>0.63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0CCAFE9" w14:textId="77777777" w:rsidR="007D4082" w:rsidRPr="00401515" w:rsidRDefault="007D4082" w:rsidP="00A55DB0">
            <w:pPr>
              <w:adjustRightInd w:val="0"/>
              <w:spacing w:before="60" w:after="60"/>
              <w:rPr>
                <w:color w:val="000000"/>
              </w:rPr>
            </w:pPr>
            <w:r w:rsidRPr="00401515">
              <w:rPr>
                <w:color w:val="000000"/>
              </w:rPr>
              <w:t>2.62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7854A5E" w14:textId="77777777" w:rsidR="007D4082" w:rsidRPr="00401515" w:rsidRDefault="007D4082" w:rsidP="00A55DB0">
            <w:pPr>
              <w:adjustRightInd w:val="0"/>
              <w:spacing w:before="60" w:after="60"/>
              <w:rPr>
                <w:color w:val="000000"/>
              </w:rPr>
            </w:pPr>
            <w:r w:rsidRPr="00401515">
              <w:rPr>
                <w:color w:val="000000"/>
              </w:rPr>
              <w:t>18.22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F82F859" w14:textId="77777777" w:rsidR="007D4082" w:rsidRPr="00401515" w:rsidRDefault="007D4082" w:rsidP="00A55DB0">
            <w:pPr>
              <w:adjustRightInd w:val="0"/>
              <w:spacing w:before="60" w:after="60"/>
              <w:rPr>
                <w:color w:val="000000"/>
              </w:rPr>
            </w:pPr>
            <w:r w:rsidRPr="00401515">
              <w:rPr>
                <w:color w:val="000000"/>
              </w:rPr>
              <w:t>56.71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E7E665E" w14:textId="052CA116" w:rsidR="007D4082" w:rsidRPr="00401515" w:rsidRDefault="0031244C" w:rsidP="00A55DB0">
            <w:pPr>
              <w:adjustRightInd w:val="0"/>
              <w:spacing w:before="60" w:after="60"/>
              <w:rPr>
                <w:color w:val="000000"/>
              </w:rPr>
            </w:pPr>
            <w:r>
              <w:rPr>
                <w:color w:val="000000"/>
              </w:rPr>
              <w:t>101.3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229FDB0" w14:textId="2FEE47E1" w:rsidR="007D4082" w:rsidRPr="00401515" w:rsidRDefault="0031244C" w:rsidP="00A55DB0">
            <w:pPr>
              <w:adjustRightInd w:val="0"/>
              <w:spacing w:before="60" w:after="60"/>
              <w:rPr>
                <w:color w:val="000000"/>
              </w:rPr>
            </w:pPr>
            <w:r>
              <w:rPr>
                <w:color w:val="000000"/>
              </w:rPr>
              <w:t>157.8</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F6251A" w14:textId="77777777" w:rsidR="007D4082" w:rsidRPr="00401515" w:rsidRDefault="007D4082" w:rsidP="00A55DB0">
            <w:pPr>
              <w:adjustRightInd w:val="0"/>
              <w:spacing w:before="60" w:after="60"/>
              <w:jc w:val="right"/>
              <w:rPr>
                <w:color w:val="000000"/>
              </w:rPr>
            </w:pPr>
            <w:r w:rsidRPr="00401515">
              <w:rPr>
                <w:color w:val="000000"/>
              </w:rPr>
              <w:t>641</w:t>
            </w:r>
          </w:p>
        </w:tc>
      </w:tr>
      <w:tr w:rsidR="007D4082" w:rsidRPr="00401515" w14:paraId="4E89ABC9"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556A17C6" w14:textId="77777777" w:rsidR="007D4082" w:rsidRPr="00401515" w:rsidRDefault="007D4082" w:rsidP="00A55DB0">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621ED89A" w14:textId="77777777" w:rsidR="007D4082" w:rsidRPr="00401515" w:rsidRDefault="007D4082" w:rsidP="00A55DB0">
            <w:pPr>
              <w:adjustRightInd w:val="0"/>
              <w:spacing w:before="60" w:after="60"/>
              <w:rPr>
                <w:color w:val="000000"/>
              </w:rPr>
            </w:pPr>
            <w:r w:rsidRPr="00401515">
              <w:rPr>
                <w:color w:val="000000"/>
              </w:rPr>
              <w:t>Underweight</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54686555" w14:textId="77777777" w:rsidR="007D4082" w:rsidRPr="00401515" w:rsidRDefault="007D4082" w:rsidP="00A55DB0">
            <w:pPr>
              <w:adjustRightInd w:val="0"/>
              <w:spacing w:before="60" w:after="60"/>
              <w:rPr>
                <w:color w:val="000000"/>
              </w:rPr>
            </w:pPr>
            <w:r w:rsidRPr="00401515">
              <w:rPr>
                <w:color w:val="000000"/>
              </w:rPr>
              <w:t>45.35 [20.26, 70.44]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4046278" w14:textId="77777777" w:rsidR="007D4082" w:rsidRPr="00401515" w:rsidRDefault="007D4082" w:rsidP="00A55DB0">
            <w:pPr>
              <w:adjustRightInd w:val="0"/>
              <w:spacing w:before="60" w:after="60"/>
              <w:rPr>
                <w:color w:val="000000"/>
              </w:rPr>
            </w:pPr>
            <w:r w:rsidRPr="00401515">
              <w:rPr>
                <w:color w:val="000000"/>
              </w:rPr>
              <w:t>7.87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7426158" w14:textId="77777777" w:rsidR="007D4082" w:rsidRPr="00401515" w:rsidRDefault="007D4082" w:rsidP="00A55DB0">
            <w:pPr>
              <w:adjustRightInd w:val="0"/>
              <w:spacing w:before="60" w:after="60"/>
              <w:rPr>
                <w:color w:val="000000"/>
              </w:rPr>
            </w:pPr>
            <w:r w:rsidRPr="00401515">
              <w:rPr>
                <w:color w:val="000000"/>
              </w:rPr>
              <w:t>16.15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89D5F4F" w14:textId="77777777" w:rsidR="007D4082" w:rsidRPr="00401515" w:rsidRDefault="007D4082" w:rsidP="00A55DB0">
            <w:pPr>
              <w:adjustRightInd w:val="0"/>
              <w:spacing w:before="60" w:after="60"/>
              <w:rPr>
                <w:color w:val="000000"/>
              </w:rPr>
            </w:pPr>
            <w:r w:rsidRPr="00401515">
              <w:rPr>
                <w:color w:val="000000"/>
              </w:rPr>
              <w:t>64.83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85E3ABB" w14:textId="01D517DB" w:rsidR="007D4082" w:rsidRPr="00401515" w:rsidRDefault="0031244C" w:rsidP="00A55DB0">
            <w:pPr>
              <w:adjustRightInd w:val="0"/>
              <w:spacing w:before="60" w:after="60"/>
              <w:rPr>
                <w:color w:val="000000"/>
              </w:rPr>
            </w:pPr>
            <w:r>
              <w:rPr>
                <w:color w:val="000000"/>
              </w:rPr>
              <w:t>106.4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1FFFA64" w14:textId="4D6B6EB8" w:rsidR="007D4082" w:rsidRPr="00401515" w:rsidRDefault="0031244C" w:rsidP="00A55DB0">
            <w:pPr>
              <w:adjustRightInd w:val="0"/>
              <w:spacing w:before="60" w:after="60"/>
              <w:rPr>
                <w:color w:val="000000"/>
              </w:rPr>
            </w:pPr>
            <w:r>
              <w:rPr>
                <w:color w:val="000000"/>
              </w:rPr>
              <w:t>138.4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4359BBB" w14:textId="0D7D5B11" w:rsidR="007D4082" w:rsidRPr="00401515" w:rsidRDefault="0031244C" w:rsidP="00A55DB0">
            <w:pPr>
              <w:adjustRightInd w:val="0"/>
              <w:spacing w:before="60" w:after="60"/>
              <w:rPr>
                <w:color w:val="000000"/>
              </w:rPr>
            </w:pPr>
            <w:r>
              <w:rPr>
                <w:color w:val="000000"/>
              </w:rPr>
              <w:t>151.7</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A420C3" w14:textId="77777777" w:rsidR="007D4082" w:rsidRPr="00401515" w:rsidRDefault="007D4082" w:rsidP="00A55DB0">
            <w:pPr>
              <w:adjustRightInd w:val="0"/>
              <w:spacing w:before="60" w:after="60"/>
              <w:jc w:val="right"/>
              <w:rPr>
                <w:color w:val="000000"/>
              </w:rPr>
            </w:pPr>
            <w:r w:rsidRPr="00401515">
              <w:rPr>
                <w:color w:val="000000"/>
              </w:rPr>
              <w:t>28</w:t>
            </w:r>
          </w:p>
        </w:tc>
      </w:tr>
      <w:tr w:rsidR="007D4082" w:rsidRPr="00401515" w14:paraId="1FDBD14E"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3D603F8D" w14:textId="77777777" w:rsidR="007D4082" w:rsidRPr="00401515" w:rsidRDefault="007D4082" w:rsidP="00A55DB0">
            <w:pPr>
              <w:adjustRightInd w:val="0"/>
              <w:spacing w:before="60" w:after="60"/>
              <w:rPr>
                <w:color w:val="000000"/>
              </w:rPr>
            </w:pPr>
            <w:r w:rsidRPr="00401515">
              <w:rPr>
                <w:color w:val="000000"/>
              </w:rPr>
              <w:t>PIR</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3072D658" w14:textId="77777777" w:rsidR="007D4082" w:rsidRPr="00401515" w:rsidRDefault="007D4082" w:rsidP="00A55DB0">
            <w:pPr>
              <w:adjustRightInd w:val="0"/>
              <w:spacing w:before="60" w:after="60"/>
              <w:rPr>
                <w:color w:val="000000"/>
              </w:rPr>
            </w:pPr>
            <w:r w:rsidRPr="00401515">
              <w:rPr>
                <w:color w:val="000000"/>
              </w:rPr>
              <w:t>No</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4095CACE" w14:textId="77777777" w:rsidR="007D4082" w:rsidRPr="00401515" w:rsidRDefault="007D4082" w:rsidP="00A55DB0">
            <w:pPr>
              <w:adjustRightInd w:val="0"/>
              <w:spacing w:before="60" w:after="60"/>
              <w:rPr>
                <w:color w:val="000000"/>
              </w:rPr>
            </w:pPr>
            <w:r w:rsidRPr="00401515">
              <w:rPr>
                <w:color w:val="000000"/>
              </w:rPr>
              <w:t>11.70 [8.14, 15.27]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D921CB3" w14:textId="77777777" w:rsidR="007D4082" w:rsidRPr="00401515" w:rsidRDefault="007D4082" w:rsidP="00A55DB0">
            <w:pPr>
              <w:adjustRightInd w:val="0"/>
              <w:spacing w:before="60" w:after="60"/>
              <w:rPr>
                <w:color w:val="000000"/>
              </w:rPr>
            </w:pPr>
            <w:r w:rsidRPr="00401515">
              <w:rPr>
                <w:color w:val="000000"/>
              </w:rPr>
              <w:t>0.67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963CD06" w14:textId="77777777" w:rsidR="007D4082" w:rsidRPr="00401515" w:rsidRDefault="007D4082" w:rsidP="00A55DB0">
            <w:pPr>
              <w:adjustRightInd w:val="0"/>
              <w:spacing w:before="60" w:after="60"/>
              <w:rPr>
                <w:color w:val="000000"/>
              </w:rPr>
            </w:pPr>
            <w:r w:rsidRPr="00401515">
              <w:rPr>
                <w:color w:val="000000"/>
              </w:rPr>
              <w:t>3.03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4BD62C2" w14:textId="77777777" w:rsidR="007D4082" w:rsidRPr="00401515" w:rsidRDefault="007D4082" w:rsidP="00A55DB0">
            <w:pPr>
              <w:adjustRightInd w:val="0"/>
              <w:spacing w:before="60" w:after="60"/>
              <w:rPr>
                <w:color w:val="000000"/>
              </w:rPr>
            </w:pPr>
            <w:r w:rsidRPr="00401515">
              <w:rPr>
                <w:color w:val="000000"/>
              </w:rPr>
              <w:t>15.83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0825E73" w14:textId="77777777" w:rsidR="007D4082" w:rsidRPr="00401515" w:rsidRDefault="007D4082" w:rsidP="00A55DB0">
            <w:pPr>
              <w:adjustRightInd w:val="0"/>
              <w:spacing w:before="60" w:after="60"/>
              <w:rPr>
                <w:color w:val="000000"/>
              </w:rPr>
            </w:pPr>
            <w:r w:rsidRPr="00401515">
              <w:rPr>
                <w:color w:val="000000"/>
              </w:rPr>
              <w:t>53.81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46E67E6" w14:textId="77777777" w:rsidR="007D4082" w:rsidRPr="00401515" w:rsidRDefault="007D4082" w:rsidP="00A55DB0">
            <w:pPr>
              <w:adjustRightInd w:val="0"/>
              <w:spacing w:before="60" w:after="60"/>
              <w:rPr>
                <w:color w:val="000000"/>
              </w:rPr>
            </w:pPr>
            <w:r w:rsidRPr="00401515">
              <w:rPr>
                <w:color w:val="000000"/>
              </w:rPr>
              <w:t>95.46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A94C1CA" w14:textId="2B6E7465" w:rsidR="007D4082" w:rsidRPr="00401515" w:rsidRDefault="0031244C" w:rsidP="00A55DB0">
            <w:pPr>
              <w:adjustRightInd w:val="0"/>
              <w:spacing w:before="60" w:after="60"/>
              <w:rPr>
                <w:color w:val="000000"/>
              </w:rPr>
            </w:pPr>
            <w:r>
              <w:rPr>
                <w:color w:val="000000"/>
              </w:rPr>
              <w:t>146.1</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DB370E" w14:textId="77777777" w:rsidR="007D4082" w:rsidRPr="00401515" w:rsidRDefault="007D4082" w:rsidP="00A55DB0">
            <w:pPr>
              <w:adjustRightInd w:val="0"/>
              <w:spacing w:before="60" w:after="60"/>
              <w:jc w:val="right"/>
              <w:rPr>
                <w:color w:val="000000"/>
              </w:rPr>
            </w:pPr>
            <w:r w:rsidRPr="00401515">
              <w:rPr>
                <w:color w:val="000000"/>
              </w:rPr>
              <w:t>584</w:t>
            </w:r>
          </w:p>
        </w:tc>
      </w:tr>
      <w:tr w:rsidR="007D4082" w:rsidRPr="00401515" w14:paraId="43834F74"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4FEB52B9" w14:textId="77777777" w:rsidR="007D4082" w:rsidRPr="00401515" w:rsidRDefault="007D4082" w:rsidP="00A55DB0">
            <w:pPr>
              <w:adjustRightInd w:val="0"/>
              <w:spacing w:before="60" w:after="60"/>
              <w:rPr>
                <w:color w:val="000000"/>
              </w:rPr>
            </w:pPr>
            <w:r w:rsidRPr="00401515">
              <w:rPr>
                <w:color w:val="000000"/>
              </w:rPr>
              <w:t>PIR</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11D15BC7" w14:textId="77777777" w:rsidR="007D4082" w:rsidRPr="00401515" w:rsidRDefault="007D4082" w:rsidP="00A55DB0">
            <w:pPr>
              <w:adjustRightInd w:val="0"/>
              <w:spacing w:before="60" w:after="60"/>
              <w:rPr>
                <w:color w:val="000000"/>
              </w:rPr>
            </w:pPr>
            <w:r w:rsidRPr="00401515">
              <w:rPr>
                <w:color w:val="000000"/>
              </w:rPr>
              <w:t>Yes</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27BA893B" w14:textId="77777777" w:rsidR="007D4082" w:rsidRPr="00401515" w:rsidRDefault="007D4082" w:rsidP="00A55DB0">
            <w:pPr>
              <w:adjustRightInd w:val="0"/>
              <w:spacing w:before="60" w:after="60"/>
              <w:rPr>
                <w:color w:val="000000"/>
              </w:rPr>
            </w:pPr>
            <w:r w:rsidRPr="00401515">
              <w:rPr>
                <w:color w:val="000000"/>
              </w:rPr>
              <w:t>26.74 [16.59, 36.90]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A2F6F28" w14:textId="77777777" w:rsidR="007D4082" w:rsidRPr="00401515" w:rsidRDefault="007D4082" w:rsidP="00A55DB0">
            <w:pPr>
              <w:adjustRightInd w:val="0"/>
              <w:spacing w:before="60" w:after="60"/>
              <w:rPr>
                <w:color w:val="000000"/>
              </w:rPr>
            </w:pPr>
            <w:r w:rsidRPr="00401515">
              <w:rPr>
                <w:color w:val="000000"/>
              </w:rPr>
              <w:t>1.87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8C81963" w14:textId="77777777" w:rsidR="007D4082" w:rsidRPr="00401515" w:rsidRDefault="007D4082" w:rsidP="00A55DB0">
            <w:pPr>
              <w:adjustRightInd w:val="0"/>
              <w:spacing w:before="60" w:after="60"/>
              <w:rPr>
                <w:color w:val="000000"/>
              </w:rPr>
            </w:pPr>
            <w:r w:rsidRPr="00401515">
              <w:rPr>
                <w:color w:val="000000"/>
              </w:rPr>
              <w:t>12.78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F82CC39" w14:textId="77777777" w:rsidR="007D4082" w:rsidRPr="00401515" w:rsidRDefault="007D4082" w:rsidP="00A55DB0">
            <w:pPr>
              <w:adjustRightInd w:val="0"/>
              <w:spacing w:before="60" w:after="60"/>
              <w:rPr>
                <w:color w:val="000000"/>
              </w:rPr>
            </w:pPr>
            <w:r w:rsidRPr="00401515">
              <w:rPr>
                <w:color w:val="000000"/>
              </w:rPr>
              <w:t>34.67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7E177B5" w14:textId="77777777" w:rsidR="007D4082" w:rsidRPr="00401515" w:rsidRDefault="007D4082" w:rsidP="00A55DB0">
            <w:pPr>
              <w:adjustRightInd w:val="0"/>
              <w:spacing w:before="60" w:after="60"/>
              <w:rPr>
                <w:color w:val="000000"/>
              </w:rPr>
            </w:pPr>
            <w:r w:rsidRPr="00401515">
              <w:rPr>
                <w:color w:val="000000"/>
              </w:rPr>
              <w:t>88.41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FBA1BCB" w14:textId="5B10C38A" w:rsidR="007D4082" w:rsidRPr="00401515" w:rsidRDefault="007D4082" w:rsidP="00A55DB0">
            <w:pPr>
              <w:adjustRightInd w:val="0"/>
              <w:spacing w:before="60" w:after="60"/>
              <w:rPr>
                <w:color w:val="000000"/>
              </w:rPr>
            </w:pPr>
            <w:r w:rsidRPr="00401515">
              <w:rPr>
                <w:color w:val="000000"/>
              </w:rPr>
              <w:t>162.</w:t>
            </w:r>
            <w:r w:rsidR="0031244C">
              <w:rPr>
                <w:color w:val="000000"/>
              </w:rPr>
              <w:t>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1C907B2" w14:textId="6FADDB7B" w:rsidR="007D4082" w:rsidRPr="00401515" w:rsidRDefault="0031244C" w:rsidP="00A55DB0">
            <w:pPr>
              <w:adjustRightInd w:val="0"/>
              <w:spacing w:before="60" w:after="60"/>
              <w:rPr>
                <w:color w:val="000000"/>
              </w:rPr>
            </w:pPr>
            <w:r>
              <w:rPr>
                <w:color w:val="000000"/>
              </w:rPr>
              <w:t>196.5</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392668" w14:textId="77777777" w:rsidR="007D4082" w:rsidRPr="00401515" w:rsidRDefault="007D4082" w:rsidP="00A55DB0">
            <w:pPr>
              <w:adjustRightInd w:val="0"/>
              <w:spacing w:before="60" w:after="60"/>
              <w:jc w:val="right"/>
              <w:rPr>
                <w:color w:val="000000"/>
              </w:rPr>
            </w:pPr>
            <w:r w:rsidRPr="00401515">
              <w:rPr>
                <w:color w:val="000000"/>
              </w:rPr>
              <w:t>345</w:t>
            </w:r>
          </w:p>
        </w:tc>
      </w:tr>
      <w:tr w:rsidR="007D4082" w:rsidRPr="00401515" w14:paraId="15CE55A6"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5678A390"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6D27A1DA" w14:textId="77777777" w:rsidR="007D4082" w:rsidRPr="00401515" w:rsidRDefault="007D4082" w:rsidP="00A55DB0">
            <w:pPr>
              <w:adjustRightInd w:val="0"/>
              <w:spacing w:before="60" w:after="60"/>
              <w:rPr>
                <w:color w:val="000000"/>
              </w:rPr>
            </w:pPr>
            <w:r w:rsidRPr="00401515">
              <w:rPr>
                <w:color w:val="000000"/>
              </w:rPr>
              <w:t>Mexican American</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24792088" w14:textId="77777777" w:rsidR="007D4082" w:rsidRPr="00401515" w:rsidRDefault="007D4082" w:rsidP="00A55DB0">
            <w:pPr>
              <w:adjustRightInd w:val="0"/>
              <w:spacing w:before="60" w:after="60"/>
              <w:rPr>
                <w:color w:val="000000"/>
              </w:rPr>
            </w:pPr>
            <w:r w:rsidRPr="00401515">
              <w:rPr>
                <w:color w:val="000000"/>
              </w:rPr>
              <w:t>5.19 [3.39, 6.98]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5E1D074" w14:textId="77777777" w:rsidR="007D4082" w:rsidRPr="00401515" w:rsidRDefault="007D4082" w:rsidP="00A55DB0">
            <w:pPr>
              <w:adjustRightInd w:val="0"/>
              <w:spacing w:before="60" w:after="60"/>
              <w:rPr>
                <w:color w:val="000000"/>
              </w:rPr>
            </w:pPr>
            <w:r w:rsidRPr="00401515">
              <w:rPr>
                <w:color w:val="000000"/>
              </w:rPr>
              <w:t>0.54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306E42E" w14:textId="77777777" w:rsidR="007D4082" w:rsidRPr="00401515" w:rsidRDefault="007D4082" w:rsidP="00A55DB0">
            <w:pPr>
              <w:adjustRightInd w:val="0"/>
              <w:spacing w:before="60" w:after="60"/>
              <w:rPr>
                <w:color w:val="000000"/>
              </w:rPr>
            </w:pPr>
            <w:r w:rsidRPr="00401515">
              <w:rPr>
                <w:color w:val="000000"/>
              </w:rPr>
              <w:t>1.60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A6CA415" w14:textId="77777777" w:rsidR="007D4082" w:rsidRPr="00401515" w:rsidRDefault="007D4082" w:rsidP="00A55DB0">
            <w:pPr>
              <w:adjustRightInd w:val="0"/>
              <w:spacing w:before="60" w:after="60"/>
              <w:rPr>
                <w:color w:val="000000"/>
              </w:rPr>
            </w:pPr>
            <w:r w:rsidRPr="00401515">
              <w:rPr>
                <w:color w:val="000000"/>
              </w:rPr>
              <w:t>4.48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4DF9EA2" w14:textId="77777777" w:rsidR="007D4082" w:rsidRPr="00401515" w:rsidRDefault="007D4082" w:rsidP="00A55DB0">
            <w:pPr>
              <w:adjustRightInd w:val="0"/>
              <w:spacing w:before="60" w:after="60"/>
              <w:rPr>
                <w:color w:val="000000"/>
              </w:rPr>
            </w:pPr>
            <w:r w:rsidRPr="00401515">
              <w:rPr>
                <w:color w:val="000000"/>
              </w:rPr>
              <w:t>15.47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1D580FF" w14:textId="77777777" w:rsidR="007D4082" w:rsidRPr="00401515" w:rsidRDefault="007D4082" w:rsidP="00A55DB0">
            <w:pPr>
              <w:adjustRightInd w:val="0"/>
              <w:spacing w:before="60" w:after="60"/>
              <w:rPr>
                <w:color w:val="000000"/>
              </w:rPr>
            </w:pPr>
            <w:r w:rsidRPr="00401515">
              <w:rPr>
                <w:color w:val="000000"/>
              </w:rPr>
              <w:t>63.50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6C28FCE" w14:textId="77777777" w:rsidR="007D4082" w:rsidRPr="00401515" w:rsidRDefault="007D4082" w:rsidP="00A55DB0">
            <w:pPr>
              <w:adjustRightInd w:val="0"/>
              <w:spacing w:before="60" w:after="60"/>
              <w:rPr>
                <w:color w:val="000000"/>
              </w:rPr>
            </w:pPr>
            <w:r w:rsidRPr="00401515">
              <w:rPr>
                <w:color w:val="000000"/>
              </w:rPr>
              <w:t>85.11</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138B27" w14:textId="77777777" w:rsidR="007D4082" w:rsidRPr="00401515" w:rsidRDefault="007D4082" w:rsidP="00A55DB0">
            <w:pPr>
              <w:adjustRightInd w:val="0"/>
              <w:spacing w:before="60" w:after="60"/>
              <w:jc w:val="right"/>
              <w:rPr>
                <w:color w:val="000000"/>
              </w:rPr>
            </w:pPr>
            <w:r w:rsidRPr="00401515">
              <w:rPr>
                <w:color w:val="000000"/>
              </w:rPr>
              <w:t>70</w:t>
            </w:r>
          </w:p>
        </w:tc>
      </w:tr>
      <w:tr w:rsidR="007D4082" w:rsidRPr="00401515" w14:paraId="0ECC75E1"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6DE5C5FA"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22E8F3CB" w14:textId="77777777" w:rsidR="007D4082" w:rsidRPr="00401515" w:rsidRDefault="007D4082" w:rsidP="00A55DB0">
            <w:pPr>
              <w:adjustRightInd w:val="0"/>
              <w:spacing w:before="60" w:after="60"/>
              <w:rPr>
                <w:color w:val="000000"/>
              </w:rPr>
            </w:pPr>
            <w:r w:rsidRPr="00401515">
              <w:rPr>
                <w:color w:val="000000"/>
              </w:rPr>
              <w:t>Non-Hispanic Black</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5DDD82D8" w14:textId="77777777" w:rsidR="007D4082" w:rsidRPr="00401515" w:rsidRDefault="007D4082" w:rsidP="00A55DB0">
            <w:pPr>
              <w:adjustRightInd w:val="0"/>
              <w:spacing w:before="60" w:after="60"/>
              <w:rPr>
                <w:color w:val="000000"/>
              </w:rPr>
            </w:pPr>
            <w:r w:rsidRPr="00401515">
              <w:rPr>
                <w:color w:val="000000"/>
              </w:rPr>
              <w:t>17.55 [13.61, 21.48]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5F178FB" w14:textId="77777777" w:rsidR="007D4082" w:rsidRPr="00401515" w:rsidRDefault="007D4082" w:rsidP="00A55DB0">
            <w:pPr>
              <w:adjustRightInd w:val="0"/>
              <w:spacing w:before="60" w:after="60"/>
              <w:rPr>
                <w:color w:val="000000"/>
              </w:rPr>
            </w:pPr>
            <w:r w:rsidRPr="00401515">
              <w:rPr>
                <w:color w:val="000000"/>
              </w:rPr>
              <w:t>2.15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BBAE6DC" w14:textId="77777777" w:rsidR="007D4082" w:rsidRPr="00401515" w:rsidRDefault="007D4082" w:rsidP="00A55DB0">
            <w:pPr>
              <w:adjustRightInd w:val="0"/>
              <w:spacing w:before="60" w:after="60"/>
              <w:rPr>
                <w:color w:val="000000"/>
              </w:rPr>
            </w:pPr>
            <w:r w:rsidRPr="00401515">
              <w:rPr>
                <w:color w:val="000000"/>
              </w:rPr>
              <w:t>8.92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C37702B" w14:textId="77777777" w:rsidR="007D4082" w:rsidRPr="00401515" w:rsidRDefault="007D4082" w:rsidP="00A55DB0">
            <w:pPr>
              <w:adjustRightInd w:val="0"/>
              <w:spacing w:before="60" w:after="60"/>
              <w:rPr>
                <w:color w:val="000000"/>
              </w:rPr>
            </w:pPr>
            <w:r w:rsidRPr="00401515">
              <w:rPr>
                <w:color w:val="000000"/>
              </w:rPr>
              <w:t>24.14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5D71156" w14:textId="77777777" w:rsidR="007D4082" w:rsidRPr="00401515" w:rsidRDefault="007D4082" w:rsidP="00A55DB0">
            <w:pPr>
              <w:adjustRightInd w:val="0"/>
              <w:spacing w:before="60" w:after="60"/>
              <w:rPr>
                <w:color w:val="000000"/>
              </w:rPr>
            </w:pPr>
            <w:r w:rsidRPr="00401515">
              <w:rPr>
                <w:color w:val="000000"/>
              </w:rPr>
              <w:t>50.72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6C109DA" w14:textId="77777777" w:rsidR="007D4082" w:rsidRPr="00401515" w:rsidRDefault="007D4082" w:rsidP="00A55DB0">
            <w:pPr>
              <w:adjustRightInd w:val="0"/>
              <w:spacing w:before="60" w:after="60"/>
              <w:rPr>
                <w:color w:val="000000"/>
              </w:rPr>
            </w:pPr>
            <w:r w:rsidRPr="00401515">
              <w:rPr>
                <w:color w:val="000000"/>
              </w:rPr>
              <w:t>80.50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6A3C28B" w14:textId="044B0E20" w:rsidR="007D4082" w:rsidRPr="00401515" w:rsidRDefault="0031244C" w:rsidP="00A55DB0">
            <w:pPr>
              <w:adjustRightInd w:val="0"/>
              <w:spacing w:before="60" w:after="60"/>
              <w:rPr>
                <w:color w:val="000000"/>
              </w:rPr>
            </w:pPr>
            <w:r>
              <w:rPr>
                <w:color w:val="000000"/>
              </w:rPr>
              <w:t>119.7</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6B19E1" w14:textId="77777777" w:rsidR="007D4082" w:rsidRPr="00401515" w:rsidRDefault="007D4082" w:rsidP="00A55DB0">
            <w:pPr>
              <w:adjustRightInd w:val="0"/>
              <w:spacing w:before="60" w:after="60"/>
              <w:jc w:val="right"/>
              <w:rPr>
                <w:color w:val="000000"/>
              </w:rPr>
            </w:pPr>
            <w:r w:rsidRPr="00401515">
              <w:rPr>
                <w:color w:val="000000"/>
              </w:rPr>
              <w:t>251</w:t>
            </w:r>
          </w:p>
        </w:tc>
      </w:tr>
      <w:tr w:rsidR="007D4082" w:rsidRPr="00401515" w14:paraId="03356FEF"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3921BE26"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5E8878B1" w14:textId="77777777" w:rsidR="007D4082" w:rsidRPr="00401515" w:rsidRDefault="007D4082" w:rsidP="00A55DB0">
            <w:pPr>
              <w:adjustRightInd w:val="0"/>
              <w:spacing w:before="60" w:after="60"/>
              <w:rPr>
                <w:color w:val="000000"/>
              </w:rPr>
            </w:pPr>
            <w:r w:rsidRPr="00401515">
              <w:rPr>
                <w:color w:val="000000"/>
              </w:rPr>
              <w:t>Non-Hispanic White</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348B03AE" w14:textId="77777777" w:rsidR="007D4082" w:rsidRPr="00401515" w:rsidRDefault="007D4082" w:rsidP="00A55DB0">
            <w:pPr>
              <w:adjustRightInd w:val="0"/>
              <w:spacing w:before="60" w:after="60"/>
              <w:rPr>
                <w:color w:val="000000"/>
              </w:rPr>
            </w:pPr>
            <w:r w:rsidRPr="00401515">
              <w:rPr>
                <w:color w:val="000000"/>
              </w:rPr>
              <w:t>15.65 [10.17, 21.13]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418FAD5" w14:textId="77777777" w:rsidR="007D4082" w:rsidRPr="00401515" w:rsidRDefault="007D4082" w:rsidP="00A55DB0">
            <w:pPr>
              <w:adjustRightInd w:val="0"/>
              <w:spacing w:before="60" w:after="60"/>
              <w:rPr>
                <w:color w:val="000000"/>
              </w:rPr>
            </w:pPr>
            <w:r w:rsidRPr="00401515">
              <w:rPr>
                <w:color w:val="000000"/>
              </w:rPr>
              <w:t>0.86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D5BA84D" w14:textId="77777777" w:rsidR="007D4082" w:rsidRPr="00401515" w:rsidRDefault="007D4082" w:rsidP="00A55DB0">
            <w:pPr>
              <w:adjustRightInd w:val="0"/>
              <w:spacing w:before="60" w:after="60"/>
              <w:rPr>
                <w:color w:val="000000"/>
              </w:rPr>
            </w:pPr>
            <w:r w:rsidRPr="00401515">
              <w:rPr>
                <w:color w:val="000000"/>
              </w:rPr>
              <w:t>4.75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0547388" w14:textId="77777777" w:rsidR="007D4082" w:rsidRPr="00401515" w:rsidRDefault="007D4082" w:rsidP="00A55DB0">
            <w:pPr>
              <w:adjustRightInd w:val="0"/>
              <w:spacing w:before="60" w:after="60"/>
              <w:rPr>
                <w:color w:val="000000"/>
              </w:rPr>
            </w:pPr>
            <w:r w:rsidRPr="00401515">
              <w:rPr>
                <w:color w:val="000000"/>
              </w:rPr>
              <w:t>21.23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2E0EEE9" w14:textId="77777777" w:rsidR="007D4082" w:rsidRPr="00401515" w:rsidRDefault="007D4082" w:rsidP="00A55DB0">
            <w:pPr>
              <w:adjustRightInd w:val="0"/>
              <w:spacing w:before="60" w:after="60"/>
              <w:rPr>
                <w:color w:val="000000"/>
              </w:rPr>
            </w:pPr>
            <w:r w:rsidRPr="00401515">
              <w:rPr>
                <w:color w:val="000000"/>
              </w:rPr>
              <w:t>68.08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A3A5DEC" w14:textId="6EA0CD57" w:rsidR="007D4082" w:rsidRPr="00401515" w:rsidRDefault="0031244C" w:rsidP="00A55DB0">
            <w:pPr>
              <w:adjustRightInd w:val="0"/>
              <w:spacing w:before="60" w:after="60"/>
              <w:rPr>
                <w:color w:val="000000"/>
              </w:rPr>
            </w:pPr>
            <w:r>
              <w:rPr>
                <w:color w:val="000000"/>
              </w:rPr>
              <w:t>128.0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C321B8C" w14:textId="1B31A3E3" w:rsidR="007D4082" w:rsidRPr="00401515" w:rsidRDefault="0031244C" w:rsidP="00A55DB0">
            <w:pPr>
              <w:adjustRightInd w:val="0"/>
              <w:spacing w:before="60" w:after="60"/>
              <w:rPr>
                <w:color w:val="000000"/>
              </w:rPr>
            </w:pPr>
            <w:r>
              <w:rPr>
                <w:color w:val="000000"/>
              </w:rPr>
              <w:t>197.2</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57AA85" w14:textId="77777777" w:rsidR="007D4082" w:rsidRPr="00401515" w:rsidRDefault="007D4082" w:rsidP="00A55DB0">
            <w:pPr>
              <w:adjustRightInd w:val="0"/>
              <w:spacing w:before="60" w:after="60"/>
              <w:jc w:val="right"/>
              <w:rPr>
                <w:color w:val="000000"/>
              </w:rPr>
            </w:pPr>
            <w:r w:rsidRPr="00401515">
              <w:rPr>
                <w:color w:val="000000"/>
              </w:rPr>
              <w:t>523</w:t>
            </w:r>
          </w:p>
        </w:tc>
      </w:tr>
      <w:tr w:rsidR="007D4082" w:rsidRPr="00401515" w14:paraId="11C280BD"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7970C88C"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76CA9E6A" w14:textId="77777777" w:rsidR="007D4082" w:rsidRPr="00401515" w:rsidRDefault="007D4082" w:rsidP="00A55DB0">
            <w:pPr>
              <w:adjustRightInd w:val="0"/>
              <w:spacing w:before="60" w:after="60"/>
              <w:rPr>
                <w:color w:val="000000"/>
              </w:rPr>
            </w:pPr>
            <w:r w:rsidRPr="00401515">
              <w:rPr>
                <w:color w:val="000000"/>
              </w:rPr>
              <w:t>Other Hispanic</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562C3694" w14:textId="77777777" w:rsidR="007D4082" w:rsidRPr="00401515" w:rsidRDefault="007D4082" w:rsidP="00A55DB0">
            <w:pPr>
              <w:adjustRightInd w:val="0"/>
              <w:spacing w:before="60" w:after="60"/>
              <w:rPr>
                <w:color w:val="000000"/>
              </w:rPr>
            </w:pPr>
            <w:r w:rsidRPr="00401515">
              <w:rPr>
                <w:color w:val="000000"/>
              </w:rPr>
              <w:t>19.98 [6.48, 33.47]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9369F28" w14:textId="77777777" w:rsidR="007D4082" w:rsidRPr="00401515" w:rsidRDefault="007D4082" w:rsidP="00A55DB0">
            <w:pPr>
              <w:adjustRightInd w:val="0"/>
              <w:spacing w:before="60" w:after="60"/>
              <w:rPr>
                <w:color w:val="000000"/>
              </w:rPr>
            </w:pPr>
            <w:r w:rsidRPr="00401515">
              <w:rPr>
                <w:color w:val="000000"/>
              </w:rPr>
              <w:t>1.64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F84C81A" w14:textId="77777777" w:rsidR="007D4082" w:rsidRPr="00401515" w:rsidRDefault="007D4082" w:rsidP="00A55DB0">
            <w:pPr>
              <w:adjustRightInd w:val="0"/>
              <w:spacing w:before="60" w:after="60"/>
              <w:rPr>
                <w:color w:val="000000"/>
              </w:rPr>
            </w:pPr>
            <w:r w:rsidRPr="00401515">
              <w:rPr>
                <w:color w:val="000000"/>
              </w:rPr>
              <w:t>9.72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3FD6FF9" w14:textId="77777777" w:rsidR="007D4082" w:rsidRPr="00401515" w:rsidRDefault="007D4082" w:rsidP="00A55DB0">
            <w:pPr>
              <w:adjustRightInd w:val="0"/>
              <w:spacing w:before="60" w:after="60"/>
              <w:rPr>
                <w:color w:val="000000"/>
              </w:rPr>
            </w:pPr>
            <w:r w:rsidRPr="00401515">
              <w:rPr>
                <w:color w:val="000000"/>
              </w:rPr>
              <w:t>24.20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CBD9E31" w14:textId="77777777" w:rsidR="007D4082" w:rsidRPr="00401515" w:rsidRDefault="007D4082" w:rsidP="00A55DB0">
            <w:pPr>
              <w:adjustRightInd w:val="0"/>
              <w:spacing w:before="60" w:after="60"/>
              <w:rPr>
                <w:color w:val="000000"/>
              </w:rPr>
            </w:pPr>
            <w:r w:rsidRPr="00401515">
              <w:rPr>
                <w:color w:val="000000"/>
              </w:rPr>
              <w:t>57.05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16A8581" w14:textId="77777777" w:rsidR="007D4082" w:rsidRPr="00401515" w:rsidRDefault="007D4082" w:rsidP="00A55DB0">
            <w:pPr>
              <w:adjustRightInd w:val="0"/>
              <w:spacing w:before="60" w:after="60"/>
              <w:rPr>
                <w:color w:val="000000"/>
              </w:rPr>
            </w:pPr>
            <w:r w:rsidRPr="00401515">
              <w:rPr>
                <w:color w:val="000000"/>
              </w:rPr>
              <w:t>86.63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E909F8C" w14:textId="19CEC98B" w:rsidR="007D4082" w:rsidRPr="00401515" w:rsidRDefault="0031244C" w:rsidP="00A55DB0">
            <w:pPr>
              <w:adjustRightInd w:val="0"/>
              <w:spacing w:before="60" w:after="60"/>
              <w:rPr>
                <w:color w:val="000000"/>
              </w:rPr>
            </w:pPr>
            <w:r>
              <w:rPr>
                <w:color w:val="000000"/>
              </w:rPr>
              <w:t>119.9</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45971A" w14:textId="77777777" w:rsidR="007D4082" w:rsidRPr="00401515" w:rsidRDefault="007D4082" w:rsidP="00A55DB0">
            <w:pPr>
              <w:adjustRightInd w:val="0"/>
              <w:spacing w:before="60" w:after="60"/>
              <w:jc w:val="right"/>
              <w:rPr>
                <w:color w:val="000000"/>
              </w:rPr>
            </w:pPr>
            <w:r w:rsidRPr="00401515">
              <w:rPr>
                <w:color w:val="000000"/>
              </w:rPr>
              <w:t>60</w:t>
            </w:r>
          </w:p>
        </w:tc>
      </w:tr>
      <w:tr w:rsidR="007D4082" w:rsidRPr="00401515" w14:paraId="3E2958BD"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1933887A"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690771E1" w14:textId="77777777" w:rsidR="007D4082" w:rsidRPr="00401515" w:rsidRDefault="007D4082" w:rsidP="00A55DB0">
            <w:pPr>
              <w:adjustRightInd w:val="0"/>
              <w:spacing w:before="60" w:after="60"/>
              <w:rPr>
                <w:color w:val="000000"/>
              </w:rPr>
            </w:pPr>
            <w:r w:rsidRPr="00401515">
              <w:rPr>
                <w:color w:val="000000"/>
              </w:rPr>
              <w:t>Other/Multi-Racial</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5DA8C277" w14:textId="77777777" w:rsidR="007D4082" w:rsidRPr="00401515" w:rsidRDefault="007D4082" w:rsidP="00A55DB0">
            <w:pPr>
              <w:adjustRightInd w:val="0"/>
              <w:spacing w:before="60" w:after="60"/>
              <w:rPr>
                <w:color w:val="000000"/>
              </w:rPr>
            </w:pPr>
            <w:r w:rsidRPr="00401515">
              <w:rPr>
                <w:color w:val="000000"/>
              </w:rPr>
              <w:t>7.43 [3.56, 11.30]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E39477E" w14:textId="77777777" w:rsidR="007D4082" w:rsidRPr="00401515" w:rsidRDefault="007D4082" w:rsidP="00A55DB0">
            <w:pPr>
              <w:adjustRightInd w:val="0"/>
              <w:spacing w:before="60" w:after="60"/>
              <w:rPr>
                <w:color w:val="000000"/>
              </w:rPr>
            </w:pPr>
            <w:r w:rsidRPr="00401515">
              <w:rPr>
                <w:color w:val="000000"/>
              </w:rPr>
              <w:t>0.21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67874B4" w14:textId="77777777" w:rsidR="007D4082" w:rsidRPr="00401515" w:rsidRDefault="007D4082" w:rsidP="00A55DB0">
            <w:pPr>
              <w:adjustRightInd w:val="0"/>
              <w:spacing w:before="60" w:after="60"/>
              <w:rPr>
                <w:color w:val="000000"/>
              </w:rPr>
            </w:pPr>
            <w:r w:rsidRPr="00401515">
              <w:rPr>
                <w:color w:val="000000"/>
              </w:rPr>
              <w:t>0.92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622059E" w14:textId="77777777" w:rsidR="007D4082" w:rsidRPr="00401515" w:rsidRDefault="007D4082" w:rsidP="00A55DB0">
            <w:pPr>
              <w:adjustRightInd w:val="0"/>
              <w:spacing w:before="60" w:after="60"/>
              <w:rPr>
                <w:color w:val="000000"/>
              </w:rPr>
            </w:pPr>
            <w:r w:rsidRPr="00401515">
              <w:rPr>
                <w:color w:val="000000"/>
              </w:rPr>
              <w:t>11.41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23E4B46" w14:textId="77777777" w:rsidR="007D4082" w:rsidRPr="00401515" w:rsidRDefault="007D4082" w:rsidP="00A55DB0">
            <w:pPr>
              <w:adjustRightInd w:val="0"/>
              <w:spacing w:before="60" w:after="60"/>
              <w:rPr>
                <w:color w:val="000000"/>
              </w:rPr>
            </w:pPr>
            <w:r w:rsidRPr="00401515">
              <w:rPr>
                <w:color w:val="000000"/>
              </w:rPr>
              <w:t>42.78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ADAA435" w14:textId="77777777" w:rsidR="007D4082" w:rsidRPr="00401515" w:rsidRDefault="007D4082" w:rsidP="00A55DB0">
            <w:pPr>
              <w:adjustRightInd w:val="0"/>
              <w:spacing w:before="60" w:after="60"/>
              <w:rPr>
                <w:color w:val="000000"/>
              </w:rPr>
            </w:pPr>
            <w:r w:rsidRPr="00401515">
              <w:rPr>
                <w:color w:val="000000"/>
              </w:rPr>
              <w:t>76.42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0DA4EAE" w14:textId="77777777" w:rsidR="007D4082" w:rsidRPr="00401515" w:rsidRDefault="007D4082" w:rsidP="00A55DB0">
            <w:pPr>
              <w:adjustRightInd w:val="0"/>
              <w:spacing w:before="60" w:after="60"/>
              <w:rPr>
                <w:color w:val="000000"/>
              </w:rPr>
            </w:pPr>
            <w:r w:rsidRPr="00401515">
              <w:rPr>
                <w:color w:val="000000"/>
              </w:rPr>
              <w:t>97.50</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0969B8" w14:textId="77777777" w:rsidR="007D4082" w:rsidRPr="00401515" w:rsidRDefault="007D4082" w:rsidP="00A55DB0">
            <w:pPr>
              <w:adjustRightInd w:val="0"/>
              <w:spacing w:before="60" w:after="60"/>
              <w:jc w:val="right"/>
              <w:rPr>
                <w:color w:val="000000"/>
              </w:rPr>
            </w:pPr>
            <w:r w:rsidRPr="00401515">
              <w:rPr>
                <w:color w:val="000000"/>
              </w:rPr>
              <w:t>98</w:t>
            </w:r>
          </w:p>
        </w:tc>
      </w:tr>
      <w:tr w:rsidR="007D4082" w:rsidRPr="00401515" w14:paraId="665AD78A" w14:textId="77777777" w:rsidTr="0073737A">
        <w:trPr>
          <w:cantSplit/>
          <w:jc w:val="center"/>
        </w:trPr>
        <w:tc>
          <w:tcPr>
            <w:tcW w:w="1146" w:type="dxa"/>
            <w:tcBorders>
              <w:top w:val="nil"/>
              <w:left w:val="single" w:sz="2" w:space="0" w:color="000000"/>
              <w:bottom w:val="single" w:sz="2" w:space="0" w:color="000000"/>
              <w:right w:val="nil"/>
            </w:tcBorders>
            <w:shd w:val="clear" w:color="auto" w:fill="FFFFFF"/>
            <w:tcMar>
              <w:left w:w="60" w:type="dxa"/>
              <w:right w:w="60" w:type="dxa"/>
            </w:tcMar>
          </w:tcPr>
          <w:p w14:paraId="108CDC61" w14:textId="77777777" w:rsidR="007D4082" w:rsidRPr="00401515" w:rsidRDefault="007D4082" w:rsidP="00A55DB0">
            <w:pPr>
              <w:keepNext/>
              <w:adjustRightInd w:val="0"/>
              <w:spacing w:before="60" w:after="60"/>
              <w:rPr>
                <w:color w:val="000000"/>
              </w:rPr>
            </w:pPr>
            <w:r w:rsidRPr="00401515">
              <w:rPr>
                <w:color w:val="000000"/>
              </w:rPr>
              <w:t>Sex</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6EF2A37" w14:textId="77777777" w:rsidR="007D4082" w:rsidRPr="00401515" w:rsidRDefault="007D4082" w:rsidP="00A55DB0">
            <w:pPr>
              <w:keepNext/>
              <w:adjustRightInd w:val="0"/>
              <w:spacing w:before="60" w:after="60"/>
              <w:rPr>
                <w:color w:val="000000"/>
              </w:rPr>
            </w:pPr>
            <w:r w:rsidRPr="00401515">
              <w:rPr>
                <w:color w:val="000000"/>
              </w:rPr>
              <w:t>Female</w:t>
            </w:r>
          </w:p>
        </w:tc>
        <w:tc>
          <w:tcPr>
            <w:tcW w:w="1914" w:type="dxa"/>
            <w:tcBorders>
              <w:top w:val="nil"/>
              <w:left w:val="single" w:sz="2" w:space="0" w:color="000000"/>
              <w:bottom w:val="single" w:sz="2" w:space="0" w:color="000000"/>
              <w:right w:val="nil"/>
            </w:tcBorders>
            <w:shd w:val="clear" w:color="auto" w:fill="FFFFFF"/>
            <w:tcMar>
              <w:left w:w="60" w:type="dxa"/>
              <w:right w:w="60" w:type="dxa"/>
            </w:tcMar>
          </w:tcPr>
          <w:p w14:paraId="20334391" w14:textId="77777777" w:rsidR="007D4082" w:rsidRPr="00401515" w:rsidRDefault="007D4082" w:rsidP="00A55DB0">
            <w:pPr>
              <w:keepNext/>
              <w:adjustRightInd w:val="0"/>
              <w:spacing w:before="60" w:after="60"/>
              <w:rPr>
                <w:color w:val="000000"/>
              </w:rPr>
            </w:pPr>
            <w:r w:rsidRPr="00401515">
              <w:rPr>
                <w:color w:val="000000"/>
              </w:rPr>
              <w:t>23.38 [15.83, 30.92]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9B3E55E" w14:textId="77777777" w:rsidR="007D4082" w:rsidRPr="00401515" w:rsidRDefault="007D4082" w:rsidP="00A55DB0">
            <w:pPr>
              <w:keepNext/>
              <w:adjustRightInd w:val="0"/>
              <w:spacing w:before="60" w:after="60"/>
              <w:rPr>
                <w:color w:val="000000"/>
              </w:rPr>
            </w:pPr>
            <w:r w:rsidRPr="00401515">
              <w:rPr>
                <w:color w:val="000000"/>
              </w:rPr>
              <w:t>1.85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573433B" w14:textId="77777777" w:rsidR="007D4082" w:rsidRPr="00401515" w:rsidRDefault="007D4082" w:rsidP="00A55DB0">
            <w:pPr>
              <w:keepNext/>
              <w:adjustRightInd w:val="0"/>
              <w:spacing w:before="60" w:after="60"/>
              <w:rPr>
                <w:color w:val="000000"/>
              </w:rPr>
            </w:pPr>
            <w:r w:rsidRPr="00401515">
              <w:rPr>
                <w:color w:val="000000"/>
              </w:rPr>
              <w:t>10.42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1E7007B" w14:textId="77777777" w:rsidR="007D4082" w:rsidRPr="00401515" w:rsidRDefault="007D4082" w:rsidP="00A55DB0">
            <w:pPr>
              <w:keepNext/>
              <w:adjustRightInd w:val="0"/>
              <w:spacing w:before="60" w:after="60"/>
              <w:rPr>
                <w:color w:val="000000"/>
              </w:rPr>
            </w:pPr>
            <w:r w:rsidRPr="00401515">
              <w:rPr>
                <w:color w:val="000000"/>
              </w:rPr>
              <w:t>31.71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60A448D" w14:textId="77777777" w:rsidR="007D4082" w:rsidRPr="00401515" w:rsidRDefault="007D4082" w:rsidP="00A55DB0">
            <w:pPr>
              <w:keepNext/>
              <w:adjustRightInd w:val="0"/>
              <w:spacing w:before="60" w:after="60"/>
              <w:rPr>
                <w:color w:val="000000"/>
              </w:rPr>
            </w:pPr>
            <w:r w:rsidRPr="00401515">
              <w:rPr>
                <w:color w:val="000000"/>
              </w:rPr>
              <w:t>79.16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2F4B535" w14:textId="09E6DF7D" w:rsidR="007D4082" w:rsidRPr="00401515" w:rsidRDefault="0031244C" w:rsidP="00A55DB0">
            <w:pPr>
              <w:keepNext/>
              <w:adjustRightInd w:val="0"/>
              <w:spacing w:before="60" w:after="60"/>
              <w:rPr>
                <w:color w:val="000000"/>
              </w:rPr>
            </w:pPr>
            <w:r>
              <w:rPr>
                <w:color w:val="000000"/>
              </w:rPr>
              <w:t>144.9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0D87FE1" w14:textId="6483F5B0" w:rsidR="007D4082" w:rsidRPr="00401515" w:rsidRDefault="0031244C" w:rsidP="00A55DB0">
            <w:pPr>
              <w:keepNext/>
              <w:adjustRightInd w:val="0"/>
              <w:spacing w:before="60" w:after="60"/>
              <w:rPr>
                <w:color w:val="000000"/>
              </w:rPr>
            </w:pPr>
            <w:r>
              <w:rPr>
                <w:color w:val="000000"/>
              </w:rPr>
              <w:t>175.6</w:t>
            </w:r>
          </w:p>
        </w:tc>
        <w:tc>
          <w:tcPr>
            <w:tcW w:w="128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AEBB78" w14:textId="77777777" w:rsidR="007D4082" w:rsidRPr="00401515" w:rsidRDefault="007D4082" w:rsidP="00A55DB0">
            <w:pPr>
              <w:keepNext/>
              <w:adjustRightInd w:val="0"/>
              <w:spacing w:before="60" w:after="60"/>
              <w:jc w:val="right"/>
              <w:rPr>
                <w:color w:val="000000"/>
              </w:rPr>
            </w:pPr>
            <w:r w:rsidRPr="00401515">
              <w:rPr>
                <w:color w:val="000000"/>
              </w:rPr>
              <w:t>437</w:t>
            </w:r>
          </w:p>
        </w:tc>
      </w:tr>
      <w:tr w:rsidR="007D4082" w:rsidRPr="00401515" w14:paraId="5B05B3A0" w14:textId="77777777" w:rsidTr="0073737A">
        <w:trPr>
          <w:cantSplit/>
          <w:jc w:val="center"/>
        </w:trPr>
        <w:tc>
          <w:tcPr>
            <w:tcW w:w="1146" w:type="dxa"/>
            <w:tcBorders>
              <w:top w:val="nil"/>
              <w:left w:val="single" w:sz="2" w:space="0" w:color="000000"/>
              <w:bottom w:val="single" w:sz="6" w:space="0" w:color="000000"/>
              <w:right w:val="nil"/>
            </w:tcBorders>
            <w:shd w:val="clear" w:color="auto" w:fill="FFFFFF"/>
            <w:tcMar>
              <w:left w:w="60" w:type="dxa"/>
              <w:right w:w="60" w:type="dxa"/>
            </w:tcMar>
          </w:tcPr>
          <w:p w14:paraId="48133525" w14:textId="77777777" w:rsidR="007D4082" w:rsidRPr="00401515" w:rsidRDefault="007D4082" w:rsidP="00A55DB0">
            <w:pPr>
              <w:adjustRightInd w:val="0"/>
              <w:spacing w:before="60" w:after="60"/>
              <w:rPr>
                <w:color w:val="000000"/>
              </w:rPr>
            </w:pPr>
            <w:r w:rsidRPr="00401515">
              <w:rPr>
                <w:color w:val="000000"/>
              </w:rPr>
              <w:t>Sex</w:t>
            </w:r>
          </w:p>
        </w:tc>
        <w:tc>
          <w:tcPr>
            <w:tcW w:w="1910" w:type="dxa"/>
            <w:tcBorders>
              <w:top w:val="nil"/>
              <w:left w:val="single" w:sz="2" w:space="0" w:color="000000"/>
              <w:bottom w:val="single" w:sz="6" w:space="0" w:color="000000"/>
              <w:right w:val="nil"/>
            </w:tcBorders>
            <w:shd w:val="clear" w:color="auto" w:fill="FFFFFF"/>
            <w:tcMar>
              <w:left w:w="60" w:type="dxa"/>
              <w:right w:w="60" w:type="dxa"/>
            </w:tcMar>
          </w:tcPr>
          <w:p w14:paraId="23EAAD7A" w14:textId="77777777" w:rsidR="007D4082" w:rsidRPr="00401515" w:rsidRDefault="007D4082" w:rsidP="00A55DB0">
            <w:pPr>
              <w:adjustRightInd w:val="0"/>
              <w:spacing w:before="60" w:after="60"/>
              <w:rPr>
                <w:color w:val="000000"/>
              </w:rPr>
            </w:pPr>
            <w:r w:rsidRPr="00401515">
              <w:rPr>
                <w:color w:val="000000"/>
              </w:rPr>
              <w:t>Male</w:t>
            </w:r>
          </w:p>
        </w:tc>
        <w:tc>
          <w:tcPr>
            <w:tcW w:w="1914" w:type="dxa"/>
            <w:tcBorders>
              <w:top w:val="nil"/>
              <w:left w:val="single" w:sz="2" w:space="0" w:color="000000"/>
              <w:bottom w:val="single" w:sz="6" w:space="0" w:color="000000"/>
              <w:right w:val="nil"/>
            </w:tcBorders>
            <w:shd w:val="clear" w:color="auto" w:fill="FFFFFF"/>
            <w:tcMar>
              <w:left w:w="60" w:type="dxa"/>
              <w:right w:w="60" w:type="dxa"/>
            </w:tcMar>
          </w:tcPr>
          <w:p w14:paraId="7D0DDD69" w14:textId="77777777" w:rsidR="007D4082" w:rsidRPr="00401515" w:rsidRDefault="007D4082" w:rsidP="00A55DB0">
            <w:pPr>
              <w:adjustRightInd w:val="0"/>
              <w:spacing w:before="60" w:after="60"/>
              <w:rPr>
                <w:color w:val="000000"/>
              </w:rPr>
            </w:pPr>
            <w:r w:rsidRPr="00401515">
              <w:rPr>
                <w:color w:val="000000"/>
              </w:rPr>
              <w:t>9.99 [7.23, 12.74]</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17F3F8E9" w14:textId="77777777" w:rsidR="007D4082" w:rsidRPr="00401515" w:rsidRDefault="007D4082" w:rsidP="00A55DB0">
            <w:pPr>
              <w:adjustRightInd w:val="0"/>
              <w:spacing w:before="60" w:after="60"/>
              <w:rPr>
                <w:color w:val="000000"/>
              </w:rPr>
            </w:pPr>
            <w:r w:rsidRPr="00401515">
              <w:rPr>
                <w:color w:val="000000"/>
              </w:rPr>
              <w:t>0.59</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05A0CE8D" w14:textId="77777777" w:rsidR="007D4082" w:rsidRPr="00401515" w:rsidRDefault="007D4082" w:rsidP="00A55DB0">
            <w:pPr>
              <w:adjustRightInd w:val="0"/>
              <w:spacing w:before="60" w:after="60"/>
              <w:rPr>
                <w:color w:val="000000"/>
              </w:rPr>
            </w:pPr>
            <w:r w:rsidRPr="00401515">
              <w:rPr>
                <w:color w:val="000000"/>
              </w:rPr>
              <w:t>2.34</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0520AAC7" w14:textId="77777777" w:rsidR="007D4082" w:rsidRPr="00401515" w:rsidRDefault="007D4082" w:rsidP="00A55DB0">
            <w:pPr>
              <w:adjustRightInd w:val="0"/>
              <w:spacing w:before="60" w:after="60"/>
              <w:rPr>
                <w:color w:val="000000"/>
              </w:rPr>
            </w:pPr>
            <w:r w:rsidRPr="00401515">
              <w:rPr>
                <w:color w:val="000000"/>
              </w:rPr>
              <w:t>14.94</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51444692" w14:textId="77777777" w:rsidR="007D4082" w:rsidRPr="00401515" w:rsidRDefault="007D4082" w:rsidP="00A55DB0">
            <w:pPr>
              <w:adjustRightInd w:val="0"/>
              <w:spacing w:before="60" w:after="60"/>
              <w:rPr>
                <w:color w:val="000000"/>
              </w:rPr>
            </w:pPr>
            <w:r w:rsidRPr="00401515">
              <w:rPr>
                <w:color w:val="000000"/>
              </w:rPr>
              <w:t>43.14</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4354244F" w14:textId="77777777" w:rsidR="007D4082" w:rsidRPr="00401515" w:rsidRDefault="007D4082" w:rsidP="00A55DB0">
            <w:pPr>
              <w:adjustRightInd w:val="0"/>
              <w:spacing w:before="60" w:after="60"/>
              <w:rPr>
                <w:color w:val="000000"/>
              </w:rPr>
            </w:pPr>
            <w:r w:rsidRPr="00401515">
              <w:rPr>
                <w:color w:val="000000"/>
              </w:rPr>
              <w:t>93.77</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0E01B94D" w14:textId="279F6424" w:rsidR="007D4082" w:rsidRPr="00401515" w:rsidRDefault="0031244C" w:rsidP="00A55DB0">
            <w:pPr>
              <w:adjustRightInd w:val="0"/>
              <w:spacing w:before="60" w:after="60"/>
              <w:rPr>
                <w:color w:val="000000"/>
              </w:rPr>
            </w:pPr>
            <w:r>
              <w:rPr>
                <w:color w:val="000000"/>
              </w:rPr>
              <w:t>150.9</w:t>
            </w:r>
          </w:p>
        </w:tc>
        <w:tc>
          <w:tcPr>
            <w:tcW w:w="1285"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732E8733" w14:textId="77777777" w:rsidR="007D4082" w:rsidRPr="00401515" w:rsidRDefault="007D4082" w:rsidP="00A55DB0">
            <w:pPr>
              <w:adjustRightInd w:val="0"/>
              <w:spacing w:before="60" w:after="60"/>
              <w:jc w:val="right"/>
              <w:rPr>
                <w:color w:val="000000"/>
              </w:rPr>
            </w:pPr>
            <w:r w:rsidRPr="00401515">
              <w:rPr>
                <w:color w:val="000000"/>
              </w:rPr>
              <w:t>565</w:t>
            </w:r>
          </w:p>
        </w:tc>
      </w:tr>
    </w:tbl>
    <w:p w14:paraId="0FF57300" w14:textId="77777777" w:rsidR="00974133" w:rsidRPr="00401515" w:rsidRDefault="00974133">
      <w:pPr>
        <w:spacing w:after="160" w:line="259" w:lineRule="auto"/>
      </w:pPr>
    </w:p>
    <w:p w14:paraId="5F78C320" w14:textId="77777777" w:rsidR="00974133" w:rsidRPr="00401515" w:rsidRDefault="00974133">
      <w:pPr>
        <w:spacing w:after="160" w:line="259" w:lineRule="auto"/>
      </w:pPr>
    </w:p>
    <w:p w14:paraId="3800B621" w14:textId="19B8C087" w:rsidR="000027E2" w:rsidRDefault="00974133" w:rsidP="0098105B">
      <w:pPr>
        <w:adjustRightInd w:val="0"/>
        <w:spacing w:before="10" w:after="10"/>
        <w:rPr>
          <w:b/>
          <w:bCs/>
          <w:iCs/>
          <w:color w:val="000000"/>
          <w:sz w:val="28"/>
          <w:szCs w:val="28"/>
        </w:rPr>
      </w:pPr>
      <w:r w:rsidRPr="00401515">
        <w:rPr>
          <w:b/>
          <w:bCs/>
          <w:iCs/>
          <w:color w:val="000000"/>
          <w:sz w:val="28"/>
          <w:szCs w:val="28"/>
        </w:rPr>
        <w:t xml:space="preserve">Supplementary table </w:t>
      </w:r>
      <w:r w:rsidR="005F75B5">
        <w:rPr>
          <w:b/>
          <w:bCs/>
          <w:iCs/>
          <w:color w:val="000000"/>
          <w:sz w:val="28"/>
          <w:szCs w:val="28"/>
        </w:rPr>
        <w:t>2</w:t>
      </w:r>
      <w:r w:rsidRPr="00401515">
        <w:rPr>
          <w:b/>
          <w:bCs/>
          <w:iCs/>
          <w:color w:val="000000"/>
          <w:sz w:val="28"/>
          <w:szCs w:val="28"/>
        </w:rPr>
        <w:t>. Geometric means and selected percentiles of urinary AαC concentrations (ng/g) for U.S. population with Serum Cotinine &gt;</w:t>
      </w:r>
      <w:r w:rsidR="00A55DB0" w:rsidRPr="00401515">
        <w:rPr>
          <w:b/>
          <w:bCs/>
          <w:iCs/>
          <w:color w:val="000000"/>
          <w:sz w:val="28"/>
          <w:szCs w:val="28"/>
        </w:rPr>
        <w:t>=</w:t>
      </w:r>
      <w:r w:rsidRPr="00401515">
        <w:rPr>
          <w:b/>
          <w:bCs/>
          <w:iCs/>
          <w:color w:val="000000"/>
          <w:sz w:val="28"/>
          <w:szCs w:val="28"/>
        </w:rPr>
        <w:t>10 ng/</w:t>
      </w:r>
      <w:proofErr w:type="spellStart"/>
      <w:r w:rsidRPr="00401515">
        <w:rPr>
          <w:b/>
          <w:bCs/>
          <w:iCs/>
          <w:color w:val="000000"/>
          <w:sz w:val="28"/>
          <w:szCs w:val="28"/>
        </w:rPr>
        <w:t>mL.</w:t>
      </w:r>
      <w:proofErr w:type="spellEnd"/>
    </w:p>
    <w:p w14:paraId="5BFD4F58" w14:textId="3F9D8153" w:rsidR="000027E2" w:rsidRDefault="000027E2">
      <w:pPr>
        <w:rPr>
          <w:b/>
          <w:bCs/>
          <w:iCs/>
          <w:color w:val="000000"/>
          <w:sz w:val="28"/>
          <w:szCs w:val="28"/>
        </w:rPr>
      </w:pPr>
    </w:p>
    <w:p w14:paraId="36E27E1D" w14:textId="0E57DE71" w:rsidR="00974133" w:rsidRPr="00401515" w:rsidRDefault="00974133" w:rsidP="0098105B">
      <w:pPr>
        <w:adjustRightInd w:val="0"/>
        <w:spacing w:before="10" w:after="10"/>
      </w:pPr>
      <w:r w:rsidRPr="00401515">
        <w:rPr>
          <w:b/>
          <w:bCs/>
          <w:iCs/>
          <w:color w:val="000000"/>
          <w:sz w:val="28"/>
          <w:szCs w:val="28"/>
        </w:rPr>
        <w:br/>
      </w:r>
    </w:p>
    <w:tbl>
      <w:tblPr>
        <w:tblW w:w="0" w:type="auto"/>
        <w:jc w:val="center"/>
        <w:tblLayout w:type="fixed"/>
        <w:tblCellMar>
          <w:left w:w="0" w:type="dxa"/>
          <w:right w:w="0" w:type="dxa"/>
        </w:tblCellMar>
        <w:tblLook w:val="0000" w:firstRow="0" w:lastRow="0" w:firstColumn="0" w:lastColumn="0" w:noHBand="0" w:noVBand="0"/>
      </w:tblPr>
      <w:tblGrid>
        <w:gridCol w:w="963"/>
        <w:gridCol w:w="1910"/>
        <w:gridCol w:w="1580"/>
        <w:gridCol w:w="967"/>
        <w:gridCol w:w="967"/>
        <w:gridCol w:w="967"/>
        <w:gridCol w:w="967"/>
        <w:gridCol w:w="967"/>
        <w:gridCol w:w="967"/>
        <w:gridCol w:w="1201"/>
      </w:tblGrid>
      <w:tr w:rsidR="007D4082" w:rsidRPr="00401515" w14:paraId="23534062" w14:textId="77777777" w:rsidTr="007D4082">
        <w:trPr>
          <w:cantSplit/>
          <w:tblHeader/>
          <w:jc w:val="center"/>
        </w:trPr>
        <w:tc>
          <w:tcPr>
            <w:tcW w:w="96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F5612D4" w14:textId="6705196F" w:rsidR="007D4082" w:rsidRPr="00401515" w:rsidRDefault="00974133" w:rsidP="00A55DB0">
            <w:pPr>
              <w:keepNext/>
              <w:adjustRightInd w:val="0"/>
              <w:spacing w:before="60" w:after="60"/>
              <w:rPr>
                <w:b/>
                <w:bCs/>
                <w:color w:val="000000"/>
              </w:rPr>
            </w:pPr>
            <w:r w:rsidRPr="00401515">
              <w:br w:type="page"/>
            </w:r>
            <w:r w:rsidR="007D4082" w:rsidRPr="00401515">
              <w:rPr>
                <w:b/>
                <w:bCs/>
                <w:color w:val="000000"/>
              </w:rPr>
              <w:t>Predictor</w:t>
            </w:r>
          </w:p>
        </w:tc>
        <w:tc>
          <w:tcPr>
            <w:tcW w:w="19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41D46CA" w14:textId="77777777" w:rsidR="007D4082" w:rsidRPr="00401515" w:rsidRDefault="007D4082" w:rsidP="00A55DB0">
            <w:pPr>
              <w:keepNext/>
              <w:adjustRightInd w:val="0"/>
              <w:spacing w:before="60" w:after="60"/>
              <w:rPr>
                <w:b/>
                <w:bCs/>
                <w:color w:val="000000"/>
              </w:rPr>
            </w:pPr>
            <w:r w:rsidRPr="00401515">
              <w:rPr>
                <w:b/>
                <w:bCs/>
                <w:color w:val="000000"/>
              </w:rPr>
              <w:t>Level</w:t>
            </w:r>
          </w:p>
        </w:tc>
        <w:tc>
          <w:tcPr>
            <w:tcW w:w="158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23187AE" w14:textId="77777777" w:rsidR="007D4082" w:rsidRPr="00401515" w:rsidRDefault="007D4082" w:rsidP="00A55DB0">
            <w:pPr>
              <w:keepNext/>
              <w:adjustRightInd w:val="0"/>
              <w:spacing w:before="60" w:after="60"/>
              <w:rPr>
                <w:b/>
                <w:bCs/>
                <w:color w:val="000000"/>
              </w:rPr>
            </w:pPr>
            <w:r w:rsidRPr="00401515">
              <w:rPr>
                <w:b/>
                <w:bCs/>
                <w:color w:val="000000"/>
              </w:rPr>
              <w:t>GM [95%CI]</w:t>
            </w:r>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12EDEF4" w14:textId="77777777" w:rsidR="007D4082" w:rsidRPr="00401515" w:rsidRDefault="007D4082" w:rsidP="00A55DB0">
            <w:pPr>
              <w:keepNext/>
              <w:adjustRightInd w:val="0"/>
              <w:spacing w:before="60" w:after="60"/>
              <w:rPr>
                <w:b/>
                <w:bCs/>
                <w:color w:val="000000"/>
              </w:rPr>
            </w:pPr>
            <w:r w:rsidRPr="00401515">
              <w:rPr>
                <w:b/>
                <w:bCs/>
                <w:color w:val="000000"/>
              </w:rPr>
              <w:t>10th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E2BE7B8" w14:textId="77777777" w:rsidR="007D4082" w:rsidRPr="00401515" w:rsidRDefault="007D4082" w:rsidP="00A55DB0">
            <w:pPr>
              <w:keepNext/>
              <w:adjustRightInd w:val="0"/>
              <w:spacing w:before="60" w:after="60"/>
              <w:rPr>
                <w:b/>
                <w:bCs/>
                <w:color w:val="000000"/>
              </w:rPr>
            </w:pPr>
            <w:r w:rsidRPr="00401515">
              <w:rPr>
                <w:b/>
                <w:bCs/>
                <w:color w:val="000000"/>
              </w:rPr>
              <w:t>25th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56556B6" w14:textId="77777777" w:rsidR="007D4082" w:rsidRPr="00401515" w:rsidRDefault="007D4082" w:rsidP="00A55DB0">
            <w:pPr>
              <w:keepNext/>
              <w:adjustRightInd w:val="0"/>
              <w:spacing w:before="60" w:after="60"/>
              <w:rPr>
                <w:b/>
                <w:bCs/>
                <w:color w:val="000000"/>
              </w:rPr>
            </w:pPr>
            <w:r w:rsidRPr="00401515">
              <w:rPr>
                <w:b/>
                <w:bCs/>
                <w:color w:val="000000"/>
              </w:rPr>
              <w:t>50th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BBC47EE" w14:textId="77777777" w:rsidR="007D4082" w:rsidRPr="00401515" w:rsidRDefault="007D4082" w:rsidP="00A55DB0">
            <w:pPr>
              <w:keepNext/>
              <w:adjustRightInd w:val="0"/>
              <w:spacing w:before="60" w:after="60"/>
              <w:rPr>
                <w:b/>
                <w:bCs/>
                <w:color w:val="000000"/>
              </w:rPr>
            </w:pPr>
            <w:r w:rsidRPr="00401515">
              <w:rPr>
                <w:b/>
                <w:bCs/>
                <w:color w:val="000000"/>
              </w:rPr>
              <w:t>75th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12037B3" w14:textId="77777777" w:rsidR="007D4082" w:rsidRPr="00401515" w:rsidRDefault="007D4082" w:rsidP="00A55DB0">
            <w:pPr>
              <w:keepNext/>
              <w:adjustRightInd w:val="0"/>
              <w:spacing w:before="60" w:after="60"/>
              <w:rPr>
                <w:b/>
                <w:bCs/>
                <w:color w:val="000000"/>
              </w:rPr>
            </w:pPr>
            <w:r w:rsidRPr="00401515">
              <w:rPr>
                <w:b/>
                <w:bCs/>
                <w:color w:val="000000"/>
              </w:rPr>
              <w:t>90th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C059761" w14:textId="77777777" w:rsidR="007D4082" w:rsidRPr="00401515" w:rsidRDefault="007D4082" w:rsidP="00A55DB0">
            <w:pPr>
              <w:keepNext/>
              <w:adjustRightInd w:val="0"/>
              <w:spacing w:before="60" w:after="60"/>
              <w:rPr>
                <w:b/>
                <w:bCs/>
                <w:color w:val="000000"/>
              </w:rPr>
            </w:pPr>
            <w:r w:rsidRPr="00401515">
              <w:rPr>
                <w:b/>
                <w:bCs/>
                <w:color w:val="000000"/>
              </w:rPr>
              <w:t>95th %</w:t>
            </w:r>
            <w:proofErr w:type="spellStart"/>
            <w:r w:rsidRPr="00401515">
              <w:rPr>
                <w:b/>
                <w:bCs/>
                <w:color w:val="000000"/>
              </w:rPr>
              <w:t>ile</w:t>
            </w:r>
            <w:proofErr w:type="spellEnd"/>
          </w:p>
        </w:tc>
        <w:tc>
          <w:tcPr>
            <w:tcW w:w="1201"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2D8D5DC6" w14:textId="77777777" w:rsidR="007D4082" w:rsidRPr="00401515" w:rsidRDefault="007D4082" w:rsidP="00A55DB0">
            <w:pPr>
              <w:keepNext/>
              <w:adjustRightInd w:val="0"/>
              <w:spacing w:before="60" w:after="60"/>
              <w:jc w:val="right"/>
              <w:rPr>
                <w:b/>
                <w:bCs/>
                <w:color w:val="000000"/>
              </w:rPr>
            </w:pPr>
            <w:r w:rsidRPr="00401515">
              <w:rPr>
                <w:b/>
                <w:bCs/>
                <w:color w:val="000000"/>
              </w:rPr>
              <w:t>Sample Size</w:t>
            </w:r>
          </w:p>
        </w:tc>
      </w:tr>
      <w:tr w:rsidR="007D4082" w:rsidRPr="00401515" w14:paraId="3D116FDD"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7C906B8A" w14:textId="77777777" w:rsidR="007D4082" w:rsidRPr="00401515" w:rsidRDefault="007D4082" w:rsidP="00A55DB0">
            <w:pPr>
              <w:adjustRightInd w:val="0"/>
              <w:spacing w:before="60" w:after="60"/>
              <w:rPr>
                <w:color w:val="000000"/>
              </w:rPr>
            </w:pPr>
            <w:r w:rsidRPr="00401515">
              <w:rPr>
                <w:color w:val="000000"/>
              </w:rPr>
              <w:t>All</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4B7A8684" w14:textId="77777777" w:rsidR="007D4082" w:rsidRPr="00401515" w:rsidRDefault="007D4082" w:rsidP="00A55DB0">
            <w:pPr>
              <w:adjustRightInd w:val="0"/>
              <w:spacing w:before="60" w:after="60"/>
              <w:rPr>
                <w:color w:val="000000"/>
              </w:rPr>
            </w:pP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368759AF" w14:textId="77777777" w:rsidR="007D4082" w:rsidRPr="00401515" w:rsidRDefault="007D4082" w:rsidP="00A55DB0">
            <w:pPr>
              <w:adjustRightInd w:val="0"/>
              <w:spacing w:before="60" w:after="60"/>
              <w:rPr>
                <w:color w:val="000000"/>
              </w:rPr>
            </w:pPr>
            <w:r w:rsidRPr="00401515">
              <w:rPr>
                <w:color w:val="000000"/>
              </w:rPr>
              <w:t>0.92 [0.84, 1.00]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1885F5A" w14:textId="77777777" w:rsidR="007D4082" w:rsidRPr="00401515" w:rsidRDefault="007D4082" w:rsidP="00A55DB0">
            <w:pPr>
              <w:adjustRightInd w:val="0"/>
              <w:spacing w:before="60" w:after="60"/>
              <w:rPr>
                <w:color w:val="000000"/>
              </w:rPr>
            </w:pPr>
            <w:r w:rsidRPr="00401515">
              <w:rPr>
                <w:color w:val="000000"/>
              </w:rPr>
              <w:t>0.29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7BEABD3" w14:textId="77777777" w:rsidR="007D4082" w:rsidRPr="00401515" w:rsidRDefault="007D4082" w:rsidP="00A55DB0">
            <w:pPr>
              <w:adjustRightInd w:val="0"/>
              <w:spacing w:before="60" w:after="60"/>
              <w:rPr>
                <w:color w:val="000000"/>
              </w:rPr>
            </w:pPr>
            <w:r w:rsidRPr="00401515">
              <w:rPr>
                <w:color w:val="000000"/>
              </w:rPr>
              <w:t>0.46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8D2BD56" w14:textId="77777777" w:rsidR="007D4082" w:rsidRPr="00401515" w:rsidRDefault="007D4082" w:rsidP="00A55DB0">
            <w:pPr>
              <w:adjustRightInd w:val="0"/>
              <w:spacing w:before="60" w:after="60"/>
              <w:rPr>
                <w:color w:val="000000"/>
              </w:rPr>
            </w:pPr>
            <w:r w:rsidRPr="00401515">
              <w:rPr>
                <w:color w:val="000000"/>
              </w:rPr>
              <w:t>0.82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7B63899" w14:textId="77777777" w:rsidR="007D4082" w:rsidRPr="00401515" w:rsidRDefault="007D4082" w:rsidP="00A55DB0">
            <w:pPr>
              <w:adjustRightInd w:val="0"/>
              <w:spacing w:before="60" w:after="60"/>
              <w:rPr>
                <w:color w:val="000000"/>
              </w:rPr>
            </w:pPr>
            <w:r w:rsidRPr="00401515">
              <w:rPr>
                <w:color w:val="000000"/>
              </w:rPr>
              <w:t>1.51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4A633CD" w14:textId="77777777" w:rsidR="007D4082" w:rsidRPr="00401515" w:rsidRDefault="007D4082" w:rsidP="00A55DB0">
            <w:pPr>
              <w:adjustRightInd w:val="0"/>
              <w:spacing w:before="60" w:after="60"/>
              <w:rPr>
                <w:color w:val="000000"/>
              </w:rPr>
            </w:pPr>
            <w:r w:rsidRPr="00401515">
              <w:rPr>
                <w:color w:val="000000"/>
              </w:rPr>
              <w:t>3.19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71E20BC" w14:textId="77777777" w:rsidR="007D4082" w:rsidRPr="00401515" w:rsidRDefault="007D4082" w:rsidP="00A55DB0">
            <w:pPr>
              <w:adjustRightInd w:val="0"/>
              <w:spacing w:before="60" w:after="60"/>
              <w:rPr>
                <w:color w:val="000000"/>
              </w:rPr>
            </w:pPr>
            <w:r w:rsidRPr="00401515">
              <w:rPr>
                <w:color w:val="000000"/>
              </w:rPr>
              <w:t>5.80</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DA76EF" w14:textId="77777777" w:rsidR="007D4082" w:rsidRPr="00401515" w:rsidRDefault="007D4082" w:rsidP="00A55DB0">
            <w:pPr>
              <w:adjustRightInd w:val="0"/>
              <w:spacing w:before="60" w:after="60"/>
              <w:jc w:val="right"/>
              <w:rPr>
                <w:color w:val="000000"/>
              </w:rPr>
            </w:pPr>
            <w:r w:rsidRPr="00401515">
              <w:rPr>
                <w:color w:val="000000"/>
              </w:rPr>
              <w:t>1,327</w:t>
            </w:r>
          </w:p>
        </w:tc>
      </w:tr>
      <w:tr w:rsidR="007D4082" w:rsidRPr="00401515" w14:paraId="2BB75234"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6E49728A" w14:textId="77777777" w:rsidR="007D4082" w:rsidRPr="00401515" w:rsidRDefault="007D4082" w:rsidP="00A55DB0">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12BC03CF" w14:textId="77777777" w:rsidR="007D4082" w:rsidRPr="00401515" w:rsidRDefault="007D4082" w:rsidP="00A55DB0">
            <w:pPr>
              <w:adjustRightInd w:val="0"/>
              <w:spacing w:before="60" w:after="60"/>
              <w:rPr>
                <w:color w:val="000000"/>
              </w:rPr>
            </w:pPr>
            <w:r w:rsidRPr="00401515">
              <w:rPr>
                <w:color w:val="000000"/>
              </w:rPr>
              <w:t>18 – 39</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51EAD06C" w14:textId="77777777" w:rsidR="007D4082" w:rsidRPr="00401515" w:rsidRDefault="007D4082" w:rsidP="00A55DB0">
            <w:pPr>
              <w:adjustRightInd w:val="0"/>
              <w:spacing w:before="60" w:after="60"/>
              <w:rPr>
                <w:color w:val="000000"/>
              </w:rPr>
            </w:pPr>
            <w:r w:rsidRPr="00401515">
              <w:rPr>
                <w:color w:val="000000"/>
              </w:rPr>
              <w:t>0.92 [0.79, 1.04]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84AB03A" w14:textId="77777777" w:rsidR="007D4082" w:rsidRPr="00401515" w:rsidRDefault="007D4082" w:rsidP="00A55DB0">
            <w:pPr>
              <w:adjustRightInd w:val="0"/>
              <w:spacing w:before="60" w:after="60"/>
              <w:rPr>
                <w:color w:val="000000"/>
              </w:rPr>
            </w:pPr>
            <w:r w:rsidRPr="00401515">
              <w:rPr>
                <w:color w:val="000000"/>
              </w:rPr>
              <w:t>0.27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457779D" w14:textId="77777777" w:rsidR="007D4082" w:rsidRPr="00401515" w:rsidRDefault="007D4082" w:rsidP="00A55DB0">
            <w:pPr>
              <w:adjustRightInd w:val="0"/>
              <w:spacing w:before="60" w:after="60"/>
              <w:rPr>
                <w:color w:val="000000"/>
              </w:rPr>
            </w:pPr>
            <w:r w:rsidRPr="00401515">
              <w:rPr>
                <w:color w:val="000000"/>
              </w:rPr>
              <w:t>0.45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A949402" w14:textId="77777777" w:rsidR="007D4082" w:rsidRPr="00401515" w:rsidRDefault="007D4082" w:rsidP="00A55DB0">
            <w:pPr>
              <w:adjustRightInd w:val="0"/>
              <w:spacing w:before="60" w:after="60"/>
              <w:rPr>
                <w:color w:val="000000"/>
              </w:rPr>
            </w:pPr>
            <w:r w:rsidRPr="00401515">
              <w:rPr>
                <w:color w:val="000000"/>
              </w:rPr>
              <w:t>0.80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0FEDFA0" w14:textId="77777777" w:rsidR="007D4082" w:rsidRPr="00401515" w:rsidRDefault="007D4082" w:rsidP="00A55DB0">
            <w:pPr>
              <w:adjustRightInd w:val="0"/>
              <w:spacing w:before="60" w:after="60"/>
              <w:rPr>
                <w:color w:val="000000"/>
              </w:rPr>
            </w:pPr>
            <w:r w:rsidRPr="00401515">
              <w:rPr>
                <w:color w:val="000000"/>
              </w:rPr>
              <w:t>1.54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CD5E13C" w14:textId="77777777" w:rsidR="007D4082" w:rsidRPr="00401515" w:rsidRDefault="007D4082" w:rsidP="00A55DB0">
            <w:pPr>
              <w:adjustRightInd w:val="0"/>
              <w:spacing w:before="60" w:after="60"/>
              <w:rPr>
                <w:color w:val="000000"/>
              </w:rPr>
            </w:pPr>
            <w:r w:rsidRPr="00401515">
              <w:rPr>
                <w:color w:val="000000"/>
              </w:rPr>
              <w:t>3.03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42E61B0" w14:textId="77777777" w:rsidR="007D4082" w:rsidRPr="00401515" w:rsidRDefault="007D4082" w:rsidP="00A55DB0">
            <w:pPr>
              <w:adjustRightInd w:val="0"/>
              <w:spacing w:before="60" w:after="60"/>
              <w:rPr>
                <w:color w:val="000000"/>
              </w:rPr>
            </w:pPr>
            <w:r w:rsidRPr="00401515">
              <w:rPr>
                <w:color w:val="000000"/>
              </w:rPr>
              <w:t>5.51</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665AD5" w14:textId="77777777" w:rsidR="007D4082" w:rsidRPr="00401515" w:rsidRDefault="007D4082" w:rsidP="00A55DB0">
            <w:pPr>
              <w:adjustRightInd w:val="0"/>
              <w:spacing w:before="60" w:after="60"/>
              <w:jc w:val="right"/>
              <w:rPr>
                <w:color w:val="000000"/>
              </w:rPr>
            </w:pPr>
            <w:r w:rsidRPr="00401515">
              <w:rPr>
                <w:color w:val="000000"/>
              </w:rPr>
              <w:t>479</w:t>
            </w:r>
          </w:p>
        </w:tc>
      </w:tr>
      <w:tr w:rsidR="007D4082" w:rsidRPr="00401515" w14:paraId="616B66B6"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5ACD40DB" w14:textId="77777777" w:rsidR="007D4082" w:rsidRPr="00401515" w:rsidRDefault="007D4082" w:rsidP="00A55DB0">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F3E03D4" w14:textId="77777777" w:rsidR="007D4082" w:rsidRPr="00401515" w:rsidRDefault="007D4082" w:rsidP="00A55DB0">
            <w:pPr>
              <w:adjustRightInd w:val="0"/>
              <w:spacing w:before="60" w:after="60"/>
              <w:rPr>
                <w:color w:val="000000"/>
              </w:rPr>
            </w:pPr>
            <w:r w:rsidRPr="00401515">
              <w:rPr>
                <w:color w:val="000000"/>
              </w:rPr>
              <w:t>40 – 59</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59258F91" w14:textId="77777777" w:rsidR="007D4082" w:rsidRPr="00401515" w:rsidRDefault="007D4082" w:rsidP="00A55DB0">
            <w:pPr>
              <w:adjustRightInd w:val="0"/>
              <w:spacing w:before="60" w:after="60"/>
              <w:rPr>
                <w:color w:val="000000"/>
              </w:rPr>
            </w:pPr>
            <w:r w:rsidRPr="00401515">
              <w:rPr>
                <w:color w:val="000000"/>
              </w:rPr>
              <w:t>0.99 [0.84, 1.14]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1018652" w14:textId="77777777" w:rsidR="007D4082" w:rsidRPr="00401515" w:rsidRDefault="007D4082" w:rsidP="00A55DB0">
            <w:pPr>
              <w:adjustRightInd w:val="0"/>
              <w:spacing w:before="60" w:after="60"/>
              <w:rPr>
                <w:color w:val="000000"/>
              </w:rPr>
            </w:pPr>
            <w:r w:rsidRPr="00401515">
              <w:rPr>
                <w:color w:val="000000"/>
              </w:rPr>
              <w:t>0.31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28AA6B3" w14:textId="77777777" w:rsidR="007D4082" w:rsidRPr="00401515" w:rsidRDefault="007D4082" w:rsidP="00A55DB0">
            <w:pPr>
              <w:adjustRightInd w:val="0"/>
              <w:spacing w:before="60" w:after="60"/>
              <w:rPr>
                <w:color w:val="000000"/>
              </w:rPr>
            </w:pPr>
            <w:r w:rsidRPr="00401515">
              <w:rPr>
                <w:color w:val="000000"/>
              </w:rPr>
              <w:t>0.46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C29C944" w14:textId="77777777" w:rsidR="007D4082" w:rsidRPr="00401515" w:rsidRDefault="007D4082" w:rsidP="00A55DB0">
            <w:pPr>
              <w:adjustRightInd w:val="0"/>
              <w:spacing w:before="60" w:after="60"/>
              <w:rPr>
                <w:color w:val="000000"/>
              </w:rPr>
            </w:pPr>
            <w:r w:rsidRPr="00401515">
              <w:rPr>
                <w:color w:val="000000"/>
              </w:rPr>
              <w:t>0.83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A1AFDF1" w14:textId="77777777" w:rsidR="007D4082" w:rsidRPr="00401515" w:rsidRDefault="007D4082" w:rsidP="00A55DB0">
            <w:pPr>
              <w:adjustRightInd w:val="0"/>
              <w:spacing w:before="60" w:after="60"/>
              <w:rPr>
                <w:color w:val="000000"/>
              </w:rPr>
            </w:pPr>
            <w:r w:rsidRPr="00401515">
              <w:rPr>
                <w:color w:val="000000"/>
              </w:rPr>
              <w:t>1.57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88CAE90" w14:textId="77777777" w:rsidR="007D4082" w:rsidRPr="00401515" w:rsidRDefault="007D4082" w:rsidP="00A55DB0">
            <w:pPr>
              <w:adjustRightInd w:val="0"/>
              <w:spacing w:before="60" w:after="60"/>
              <w:rPr>
                <w:color w:val="000000"/>
              </w:rPr>
            </w:pPr>
            <w:r w:rsidRPr="00401515">
              <w:rPr>
                <w:color w:val="000000"/>
              </w:rPr>
              <w:t>4.41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811A400" w14:textId="77777777" w:rsidR="007D4082" w:rsidRPr="00401515" w:rsidRDefault="007D4082" w:rsidP="00A55DB0">
            <w:pPr>
              <w:adjustRightInd w:val="0"/>
              <w:spacing w:before="60" w:after="60"/>
              <w:rPr>
                <w:color w:val="000000"/>
              </w:rPr>
            </w:pPr>
            <w:r w:rsidRPr="00401515">
              <w:rPr>
                <w:color w:val="000000"/>
              </w:rPr>
              <w:t>7.34</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CD7E19" w14:textId="77777777" w:rsidR="007D4082" w:rsidRPr="00401515" w:rsidRDefault="007D4082" w:rsidP="00A55DB0">
            <w:pPr>
              <w:adjustRightInd w:val="0"/>
              <w:spacing w:before="60" w:after="60"/>
              <w:jc w:val="right"/>
              <w:rPr>
                <w:color w:val="000000"/>
              </w:rPr>
            </w:pPr>
            <w:r w:rsidRPr="00401515">
              <w:rPr>
                <w:color w:val="000000"/>
              </w:rPr>
              <w:t>418</w:t>
            </w:r>
          </w:p>
        </w:tc>
      </w:tr>
      <w:tr w:rsidR="007D4082" w:rsidRPr="00401515" w14:paraId="2ECC65F8"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52E554CD" w14:textId="77777777" w:rsidR="007D4082" w:rsidRPr="00401515" w:rsidRDefault="007D4082" w:rsidP="00A55DB0">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42F30B5F" w14:textId="77777777" w:rsidR="007D4082" w:rsidRPr="00401515" w:rsidRDefault="007D4082" w:rsidP="00A55DB0">
            <w:pPr>
              <w:adjustRightInd w:val="0"/>
              <w:spacing w:before="60" w:after="60"/>
              <w:rPr>
                <w:color w:val="000000"/>
              </w:rPr>
            </w:pPr>
            <w:r w:rsidRPr="00401515">
              <w:rPr>
                <w:color w:val="000000"/>
              </w:rPr>
              <w:t>≥60</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01081F9F" w14:textId="77777777" w:rsidR="007D4082" w:rsidRPr="00401515" w:rsidRDefault="007D4082" w:rsidP="00A55DB0">
            <w:pPr>
              <w:adjustRightInd w:val="0"/>
              <w:spacing w:before="60" w:after="60"/>
              <w:rPr>
                <w:color w:val="000000"/>
              </w:rPr>
            </w:pPr>
            <w:r w:rsidRPr="00401515">
              <w:rPr>
                <w:color w:val="000000"/>
              </w:rPr>
              <w:t>0.85 [0.73, 0.97]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FB1BDA7" w14:textId="77777777" w:rsidR="007D4082" w:rsidRPr="00401515" w:rsidRDefault="007D4082" w:rsidP="00A55DB0">
            <w:pPr>
              <w:adjustRightInd w:val="0"/>
              <w:spacing w:before="60" w:after="60"/>
              <w:rPr>
                <w:color w:val="000000"/>
              </w:rPr>
            </w:pPr>
            <w:r w:rsidRPr="00401515">
              <w:rPr>
                <w:color w:val="000000"/>
              </w:rPr>
              <w:t>0.30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0C56D8F" w14:textId="77777777" w:rsidR="007D4082" w:rsidRPr="00401515" w:rsidRDefault="007D4082" w:rsidP="00A55DB0">
            <w:pPr>
              <w:adjustRightInd w:val="0"/>
              <w:spacing w:before="60" w:after="60"/>
              <w:rPr>
                <w:color w:val="000000"/>
              </w:rPr>
            </w:pPr>
            <w:r w:rsidRPr="00401515">
              <w:rPr>
                <w:color w:val="000000"/>
              </w:rPr>
              <w:t>0.46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108EDA4" w14:textId="77777777" w:rsidR="007D4082" w:rsidRPr="00401515" w:rsidRDefault="007D4082" w:rsidP="00A55DB0">
            <w:pPr>
              <w:adjustRightInd w:val="0"/>
              <w:spacing w:before="60" w:after="60"/>
              <w:rPr>
                <w:color w:val="000000"/>
              </w:rPr>
            </w:pPr>
            <w:r w:rsidRPr="00401515">
              <w:rPr>
                <w:color w:val="000000"/>
              </w:rPr>
              <w:t>0.79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E9170EB" w14:textId="77777777" w:rsidR="007D4082" w:rsidRPr="00401515" w:rsidRDefault="007D4082" w:rsidP="00A55DB0">
            <w:pPr>
              <w:adjustRightInd w:val="0"/>
              <w:spacing w:before="60" w:after="60"/>
              <w:rPr>
                <w:color w:val="000000"/>
              </w:rPr>
            </w:pPr>
            <w:r w:rsidRPr="00401515">
              <w:rPr>
                <w:color w:val="000000"/>
              </w:rPr>
              <w:t>1.29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CA58DA8" w14:textId="77777777" w:rsidR="007D4082" w:rsidRPr="00401515" w:rsidRDefault="007D4082" w:rsidP="00A55DB0">
            <w:pPr>
              <w:adjustRightInd w:val="0"/>
              <w:spacing w:before="60" w:after="60"/>
              <w:rPr>
                <w:color w:val="000000"/>
              </w:rPr>
            </w:pPr>
            <w:r w:rsidRPr="00401515">
              <w:rPr>
                <w:color w:val="000000"/>
              </w:rPr>
              <w:t>2.58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6385F43" w14:textId="77777777" w:rsidR="007D4082" w:rsidRPr="00401515" w:rsidRDefault="007D4082" w:rsidP="00A55DB0">
            <w:pPr>
              <w:adjustRightInd w:val="0"/>
              <w:spacing w:before="60" w:after="60"/>
              <w:rPr>
                <w:color w:val="000000"/>
              </w:rPr>
            </w:pPr>
            <w:r w:rsidRPr="00401515">
              <w:rPr>
                <w:color w:val="000000"/>
              </w:rPr>
              <w:t>3.75</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AB89A5" w14:textId="77777777" w:rsidR="007D4082" w:rsidRPr="00401515" w:rsidRDefault="007D4082" w:rsidP="00A55DB0">
            <w:pPr>
              <w:adjustRightInd w:val="0"/>
              <w:spacing w:before="60" w:after="60"/>
              <w:jc w:val="right"/>
              <w:rPr>
                <w:color w:val="000000"/>
              </w:rPr>
            </w:pPr>
            <w:r w:rsidRPr="00401515">
              <w:rPr>
                <w:color w:val="000000"/>
              </w:rPr>
              <w:t>430</w:t>
            </w:r>
          </w:p>
        </w:tc>
      </w:tr>
      <w:tr w:rsidR="007D4082" w:rsidRPr="00401515" w14:paraId="1EBD71DC"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67759688" w14:textId="77777777" w:rsidR="007D4082" w:rsidRPr="00401515" w:rsidRDefault="007D4082" w:rsidP="00A55DB0">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251CC53C" w14:textId="77777777" w:rsidR="007D4082" w:rsidRPr="00401515" w:rsidRDefault="007D4082" w:rsidP="00A55DB0">
            <w:pPr>
              <w:adjustRightInd w:val="0"/>
              <w:spacing w:before="60" w:after="60"/>
              <w:rPr>
                <w:color w:val="000000"/>
              </w:rPr>
            </w:pPr>
            <w:r w:rsidRPr="00401515">
              <w:rPr>
                <w:color w:val="000000"/>
              </w:rPr>
              <w:t>Healthy Weight</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5BC762DD" w14:textId="77777777" w:rsidR="007D4082" w:rsidRPr="00401515" w:rsidRDefault="007D4082" w:rsidP="00A55DB0">
            <w:pPr>
              <w:adjustRightInd w:val="0"/>
              <w:spacing w:before="60" w:after="60"/>
              <w:rPr>
                <w:color w:val="000000"/>
              </w:rPr>
            </w:pPr>
            <w:r w:rsidRPr="00401515">
              <w:rPr>
                <w:color w:val="000000"/>
              </w:rPr>
              <w:t>1.06 [0.94, 1.19]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B28B0D9" w14:textId="77777777" w:rsidR="007D4082" w:rsidRPr="00401515" w:rsidRDefault="007D4082" w:rsidP="00A55DB0">
            <w:pPr>
              <w:adjustRightInd w:val="0"/>
              <w:spacing w:before="60" w:after="60"/>
              <w:rPr>
                <w:color w:val="000000"/>
              </w:rPr>
            </w:pPr>
            <w:r w:rsidRPr="00401515">
              <w:rPr>
                <w:color w:val="000000"/>
              </w:rPr>
              <w:t>0.34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3153246" w14:textId="77777777" w:rsidR="007D4082" w:rsidRPr="00401515" w:rsidRDefault="007D4082" w:rsidP="00A55DB0">
            <w:pPr>
              <w:adjustRightInd w:val="0"/>
              <w:spacing w:before="60" w:after="60"/>
              <w:rPr>
                <w:color w:val="000000"/>
              </w:rPr>
            </w:pPr>
            <w:r w:rsidRPr="00401515">
              <w:rPr>
                <w:color w:val="000000"/>
              </w:rPr>
              <w:t>0.56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F367F2C" w14:textId="77777777" w:rsidR="007D4082" w:rsidRPr="00401515" w:rsidRDefault="007D4082" w:rsidP="00A55DB0">
            <w:pPr>
              <w:adjustRightInd w:val="0"/>
              <w:spacing w:before="60" w:after="60"/>
              <w:rPr>
                <w:color w:val="000000"/>
              </w:rPr>
            </w:pPr>
            <w:r w:rsidRPr="00401515">
              <w:rPr>
                <w:color w:val="000000"/>
              </w:rPr>
              <w:t>0.96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8B9895B" w14:textId="77777777" w:rsidR="007D4082" w:rsidRPr="00401515" w:rsidRDefault="007D4082" w:rsidP="00A55DB0">
            <w:pPr>
              <w:adjustRightInd w:val="0"/>
              <w:spacing w:before="60" w:after="60"/>
              <w:rPr>
                <w:color w:val="000000"/>
              </w:rPr>
            </w:pPr>
            <w:r w:rsidRPr="00401515">
              <w:rPr>
                <w:color w:val="000000"/>
              </w:rPr>
              <w:t>1.72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0D7681D" w14:textId="77777777" w:rsidR="007D4082" w:rsidRPr="00401515" w:rsidRDefault="007D4082" w:rsidP="00A55DB0">
            <w:pPr>
              <w:adjustRightInd w:val="0"/>
              <w:spacing w:before="60" w:after="60"/>
              <w:rPr>
                <w:color w:val="000000"/>
              </w:rPr>
            </w:pPr>
            <w:r w:rsidRPr="00401515">
              <w:rPr>
                <w:color w:val="000000"/>
              </w:rPr>
              <w:t>3.77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2C1E458" w14:textId="77777777" w:rsidR="007D4082" w:rsidRPr="00401515" w:rsidRDefault="007D4082" w:rsidP="00A55DB0">
            <w:pPr>
              <w:adjustRightInd w:val="0"/>
              <w:spacing w:before="60" w:after="60"/>
              <w:rPr>
                <w:color w:val="000000"/>
              </w:rPr>
            </w:pPr>
            <w:r w:rsidRPr="00401515">
              <w:rPr>
                <w:color w:val="000000"/>
              </w:rPr>
              <w:t>5.63</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61EC92" w14:textId="77777777" w:rsidR="007D4082" w:rsidRPr="00401515" w:rsidRDefault="007D4082" w:rsidP="00A55DB0">
            <w:pPr>
              <w:adjustRightInd w:val="0"/>
              <w:spacing w:before="60" w:after="60"/>
              <w:jc w:val="right"/>
              <w:rPr>
                <w:color w:val="000000"/>
              </w:rPr>
            </w:pPr>
            <w:r w:rsidRPr="00401515">
              <w:rPr>
                <w:color w:val="000000"/>
              </w:rPr>
              <w:t>392</w:t>
            </w:r>
          </w:p>
        </w:tc>
      </w:tr>
      <w:tr w:rsidR="007D4082" w:rsidRPr="00401515" w14:paraId="75106987"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13CC49DD" w14:textId="77777777" w:rsidR="007D4082" w:rsidRPr="00401515" w:rsidRDefault="007D4082" w:rsidP="00A55DB0">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1F3A5869" w14:textId="77777777" w:rsidR="007D4082" w:rsidRPr="00401515" w:rsidRDefault="007D4082" w:rsidP="00A55DB0">
            <w:pPr>
              <w:adjustRightInd w:val="0"/>
              <w:spacing w:before="60" w:after="60"/>
              <w:rPr>
                <w:color w:val="000000"/>
              </w:rPr>
            </w:pPr>
            <w:r w:rsidRPr="00401515">
              <w:rPr>
                <w:color w:val="000000"/>
              </w:rPr>
              <w:t>Overweight/Obese</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1C5E85AB" w14:textId="77777777" w:rsidR="007D4082" w:rsidRPr="00401515" w:rsidRDefault="007D4082" w:rsidP="00A55DB0">
            <w:pPr>
              <w:adjustRightInd w:val="0"/>
              <w:spacing w:before="60" w:after="60"/>
              <w:rPr>
                <w:color w:val="000000"/>
              </w:rPr>
            </w:pPr>
            <w:r w:rsidRPr="00401515">
              <w:rPr>
                <w:color w:val="000000"/>
              </w:rPr>
              <w:t>0.86 [0.77, 0.95]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13ABC92" w14:textId="77777777" w:rsidR="007D4082" w:rsidRPr="00401515" w:rsidRDefault="007D4082" w:rsidP="00A55DB0">
            <w:pPr>
              <w:adjustRightInd w:val="0"/>
              <w:spacing w:before="60" w:after="60"/>
              <w:rPr>
                <w:color w:val="000000"/>
              </w:rPr>
            </w:pPr>
            <w:r w:rsidRPr="00401515">
              <w:rPr>
                <w:color w:val="000000"/>
              </w:rPr>
              <w:t>0.27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56129DE" w14:textId="77777777" w:rsidR="007D4082" w:rsidRPr="00401515" w:rsidRDefault="007D4082" w:rsidP="00A55DB0">
            <w:pPr>
              <w:adjustRightInd w:val="0"/>
              <w:spacing w:before="60" w:after="60"/>
              <w:rPr>
                <w:color w:val="000000"/>
              </w:rPr>
            </w:pPr>
            <w:r w:rsidRPr="00401515">
              <w:rPr>
                <w:color w:val="000000"/>
              </w:rPr>
              <w:t>0.43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B901B2B" w14:textId="77777777" w:rsidR="007D4082" w:rsidRPr="00401515" w:rsidRDefault="007D4082" w:rsidP="00A55DB0">
            <w:pPr>
              <w:adjustRightInd w:val="0"/>
              <w:spacing w:before="60" w:after="60"/>
              <w:rPr>
                <w:color w:val="000000"/>
              </w:rPr>
            </w:pPr>
            <w:r w:rsidRPr="00401515">
              <w:rPr>
                <w:color w:val="000000"/>
              </w:rPr>
              <w:t>0.75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26EFB4A" w14:textId="77777777" w:rsidR="007D4082" w:rsidRPr="00401515" w:rsidRDefault="007D4082" w:rsidP="00A55DB0">
            <w:pPr>
              <w:adjustRightInd w:val="0"/>
              <w:spacing w:before="60" w:after="60"/>
              <w:rPr>
                <w:color w:val="000000"/>
              </w:rPr>
            </w:pPr>
            <w:r w:rsidRPr="00401515">
              <w:rPr>
                <w:color w:val="000000"/>
              </w:rPr>
              <w:t>1.37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6AB2858" w14:textId="77777777" w:rsidR="007D4082" w:rsidRPr="00401515" w:rsidRDefault="007D4082" w:rsidP="00A55DB0">
            <w:pPr>
              <w:adjustRightInd w:val="0"/>
              <w:spacing w:before="60" w:after="60"/>
              <w:rPr>
                <w:color w:val="000000"/>
              </w:rPr>
            </w:pPr>
            <w:r w:rsidRPr="00401515">
              <w:rPr>
                <w:color w:val="000000"/>
              </w:rPr>
              <w:t>3.11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F375F01" w14:textId="77777777" w:rsidR="007D4082" w:rsidRPr="00401515" w:rsidRDefault="007D4082" w:rsidP="00A55DB0">
            <w:pPr>
              <w:adjustRightInd w:val="0"/>
              <w:spacing w:before="60" w:after="60"/>
              <w:rPr>
                <w:color w:val="000000"/>
              </w:rPr>
            </w:pPr>
            <w:r w:rsidRPr="00401515">
              <w:rPr>
                <w:color w:val="000000"/>
              </w:rPr>
              <w:t>5.94</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449B8E" w14:textId="77777777" w:rsidR="007D4082" w:rsidRPr="00401515" w:rsidRDefault="007D4082" w:rsidP="00A55DB0">
            <w:pPr>
              <w:adjustRightInd w:val="0"/>
              <w:spacing w:before="60" w:after="60"/>
              <w:jc w:val="right"/>
              <w:rPr>
                <w:color w:val="000000"/>
              </w:rPr>
            </w:pPr>
            <w:r w:rsidRPr="00401515">
              <w:rPr>
                <w:color w:val="000000"/>
              </w:rPr>
              <w:t>908</w:t>
            </w:r>
          </w:p>
        </w:tc>
      </w:tr>
      <w:tr w:rsidR="007D4082" w:rsidRPr="00401515" w14:paraId="0FA04ED8"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43C23DAA" w14:textId="77777777" w:rsidR="007D4082" w:rsidRPr="00401515" w:rsidRDefault="007D4082" w:rsidP="00A55DB0">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DC482D2" w14:textId="77777777" w:rsidR="007D4082" w:rsidRPr="00401515" w:rsidRDefault="007D4082" w:rsidP="00A55DB0">
            <w:pPr>
              <w:adjustRightInd w:val="0"/>
              <w:spacing w:before="60" w:after="60"/>
              <w:rPr>
                <w:color w:val="000000"/>
              </w:rPr>
            </w:pPr>
            <w:r w:rsidRPr="00401515">
              <w:rPr>
                <w:color w:val="000000"/>
              </w:rPr>
              <w:t>Underweight</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46DB6085" w14:textId="77777777" w:rsidR="007D4082" w:rsidRPr="00401515" w:rsidRDefault="007D4082" w:rsidP="00A55DB0">
            <w:pPr>
              <w:adjustRightInd w:val="0"/>
              <w:spacing w:before="60" w:after="60"/>
              <w:rPr>
                <w:color w:val="000000"/>
              </w:rPr>
            </w:pPr>
            <w:r w:rsidRPr="00401515">
              <w:rPr>
                <w:color w:val="000000"/>
              </w:rPr>
              <w:t>1.40 [0.18, 2.63]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912AAED" w14:textId="77777777" w:rsidR="007D4082" w:rsidRPr="00401515" w:rsidRDefault="007D4082" w:rsidP="00A55DB0">
            <w:pPr>
              <w:adjustRightInd w:val="0"/>
              <w:spacing w:before="60" w:after="60"/>
              <w:rPr>
                <w:color w:val="000000"/>
              </w:rPr>
            </w:pPr>
            <w:r w:rsidRPr="00401515">
              <w:rPr>
                <w:color w:val="000000"/>
              </w:rPr>
              <w:t>0.36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C34336C" w14:textId="77777777" w:rsidR="007D4082" w:rsidRPr="00401515" w:rsidRDefault="007D4082" w:rsidP="00A55DB0">
            <w:pPr>
              <w:adjustRightInd w:val="0"/>
              <w:spacing w:before="60" w:after="60"/>
              <w:rPr>
                <w:color w:val="000000"/>
              </w:rPr>
            </w:pPr>
            <w:r w:rsidRPr="00401515">
              <w:rPr>
                <w:color w:val="000000"/>
              </w:rPr>
              <w:t>0.50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9A56A3C" w14:textId="77777777" w:rsidR="007D4082" w:rsidRPr="00401515" w:rsidRDefault="007D4082" w:rsidP="00A55DB0">
            <w:pPr>
              <w:adjustRightInd w:val="0"/>
              <w:spacing w:before="60" w:after="60"/>
              <w:rPr>
                <w:color w:val="000000"/>
              </w:rPr>
            </w:pPr>
            <w:r w:rsidRPr="00401515">
              <w:rPr>
                <w:color w:val="000000"/>
              </w:rPr>
              <w:t>1.40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9E95BE2" w14:textId="77777777" w:rsidR="007D4082" w:rsidRPr="00401515" w:rsidRDefault="007D4082" w:rsidP="00A55DB0">
            <w:pPr>
              <w:adjustRightInd w:val="0"/>
              <w:spacing w:before="60" w:after="60"/>
              <w:rPr>
                <w:color w:val="000000"/>
              </w:rPr>
            </w:pPr>
            <w:r w:rsidRPr="00401515">
              <w:rPr>
                <w:color w:val="000000"/>
              </w:rPr>
              <w:t>2.18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876D002" w14:textId="77777777" w:rsidR="007D4082" w:rsidRPr="00401515" w:rsidRDefault="007D4082" w:rsidP="00A55DB0">
            <w:pPr>
              <w:adjustRightInd w:val="0"/>
              <w:spacing w:before="60" w:after="60"/>
              <w:rPr>
                <w:color w:val="000000"/>
              </w:rPr>
            </w:pPr>
            <w:r w:rsidRPr="00401515">
              <w:rPr>
                <w:color w:val="000000"/>
              </w:rPr>
              <w:t>2.86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116AD93" w14:textId="6D7CE5A8" w:rsidR="007D4082" w:rsidRPr="00401515" w:rsidRDefault="007D4082" w:rsidP="00C121FB">
            <w:pPr>
              <w:adjustRightInd w:val="0"/>
              <w:spacing w:before="60" w:after="60"/>
              <w:rPr>
                <w:color w:val="000000"/>
              </w:rPr>
            </w:pPr>
            <w:r w:rsidRPr="00401515">
              <w:rPr>
                <w:color w:val="000000"/>
              </w:rPr>
              <w:t>11.</w:t>
            </w:r>
            <w:r w:rsidR="00C121FB">
              <w:rPr>
                <w:color w:val="000000"/>
              </w:rPr>
              <w:t>4</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0DB9DE" w14:textId="77777777" w:rsidR="007D4082" w:rsidRPr="00401515" w:rsidRDefault="007D4082" w:rsidP="00A55DB0">
            <w:pPr>
              <w:adjustRightInd w:val="0"/>
              <w:spacing w:before="60" w:after="60"/>
              <w:jc w:val="right"/>
              <w:rPr>
                <w:color w:val="000000"/>
              </w:rPr>
            </w:pPr>
            <w:r w:rsidRPr="00401515">
              <w:rPr>
                <w:color w:val="000000"/>
              </w:rPr>
              <w:t>17</w:t>
            </w:r>
          </w:p>
        </w:tc>
      </w:tr>
      <w:tr w:rsidR="007D4082" w:rsidRPr="00401515" w14:paraId="53250D23"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7E8EBDCB" w14:textId="77777777" w:rsidR="007D4082" w:rsidRPr="00401515" w:rsidRDefault="007D4082" w:rsidP="00A55DB0">
            <w:pPr>
              <w:adjustRightInd w:val="0"/>
              <w:spacing w:before="60" w:after="60"/>
              <w:rPr>
                <w:color w:val="000000"/>
              </w:rPr>
            </w:pPr>
            <w:r w:rsidRPr="00401515">
              <w:rPr>
                <w:color w:val="000000"/>
              </w:rPr>
              <w:t>PIR</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45141878" w14:textId="77777777" w:rsidR="007D4082" w:rsidRPr="00401515" w:rsidRDefault="007D4082" w:rsidP="00A55DB0">
            <w:pPr>
              <w:adjustRightInd w:val="0"/>
              <w:spacing w:before="60" w:after="60"/>
              <w:rPr>
                <w:color w:val="000000"/>
              </w:rPr>
            </w:pPr>
            <w:r w:rsidRPr="00401515">
              <w:rPr>
                <w:color w:val="000000"/>
              </w:rPr>
              <w:t>No</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2EFB9A06" w14:textId="77777777" w:rsidR="007D4082" w:rsidRPr="00401515" w:rsidRDefault="007D4082" w:rsidP="00A55DB0">
            <w:pPr>
              <w:adjustRightInd w:val="0"/>
              <w:spacing w:before="60" w:after="60"/>
              <w:rPr>
                <w:color w:val="000000"/>
              </w:rPr>
            </w:pPr>
            <w:r w:rsidRPr="00401515">
              <w:rPr>
                <w:color w:val="000000"/>
              </w:rPr>
              <w:t>0.92 [0.83, 1.02]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5509746" w14:textId="77777777" w:rsidR="007D4082" w:rsidRPr="00401515" w:rsidRDefault="007D4082" w:rsidP="00A55DB0">
            <w:pPr>
              <w:adjustRightInd w:val="0"/>
              <w:spacing w:before="60" w:after="60"/>
              <w:rPr>
                <w:color w:val="000000"/>
              </w:rPr>
            </w:pPr>
            <w:r w:rsidRPr="00401515">
              <w:rPr>
                <w:color w:val="000000"/>
              </w:rPr>
              <w:t>0.29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FC809A7" w14:textId="77777777" w:rsidR="007D4082" w:rsidRPr="00401515" w:rsidRDefault="007D4082" w:rsidP="00A55DB0">
            <w:pPr>
              <w:adjustRightInd w:val="0"/>
              <w:spacing w:before="60" w:after="60"/>
              <w:rPr>
                <w:color w:val="000000"/>
              </w:rPr>
            </w:pPr>
            <w:r w:rsidRPr="00401515">
              <w:rPr>
                <w:color w:val="000000"/>
              </w:rPr>
              <w:t>0.46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82758D5" w14:textId="77777777" w:rsidR="007D4082" w:rsidRPr="00401515" w:rsidRDefault="007D4082" w:rsidP="00A55DB0">
            <w:pPr>
              <w:adjustRightInd w:val="0"/>
              <w:spacing w:before="60" w:after="60"/>
              <w:rPr>
                <w:color w:val="000000"/>
              </w:rPr>
            </w:pPr>
            <w:r w:rsidRPr="00401515">
              <w:rPr>
                <w:color w:val="000000"/>
              </w:rPr>
              <w:t>0.80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887C54F" w14:textId="77777777" w:rsidR="007D4082" w:rsidRPr="00401515" w:rsidRDefault="007D4082" w:rsidP="00A55DB0">
            <w:pPr>
              <w:adjustRightInd w:val="0"/>
              <w:spacing w:before="60" w:after="60"/>
              <w:rPr>
                <w:color w:val="000000"/>
              </w:rPr>
            </w:pPr>
            <w:r w:rsidRPr="00401515">
              <w:rPr>
                <w:color w:val="000000"/>
              </w:rPr>
              <w:t>1.52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BA9510C" w14:textId="77777777" w:rsidR="007D4082" w:rsidRPr="00401515" w:rsidRDefault="007D4082" w:rsidP="00A55DB0">
            <w:pPr>
              <w:adjustRightInd w:val="0"/>
              <w:spacing w:before="60" w:after="60"/>
              <w:rPr>
                <w:color w:val="000000"/>
              </w:rPr>
            </w:pPr>
            <w:r w:rsidRPr="00401515">
              <w:rPr>
                <w:color w:val="000000"/>
              </w:rPr>
              <w:t>3.39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9972208" w14:textId="77777777" w:rsidR="007D4082" w:rsidRPr="00401515" w:rsidRDefault="007D4082" w:rsidP="00A55DB0">
            <w:pPr>
              <w:adjustRightInd w:val="0"/>
              <w:spacing w:before="60" w:after="60"/>
              <w:rPr>
                <w:color w:val="000000"/>
              </w:rPr>
            </w:pPr>
            <w:r w:rsidRPr="00401515">
              <w:rPr>
                <w:color w:val="000000"/>
              </w:rPr>
              <w:t>6.04</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0183AC" w14:textId="77777777" w:rsidR="007D4082" w:rsidRPr="00401515" w:rsidRDefault="007D4082" w:rsidP="00A55DB0">
            <w:pPr>
              <w:adjustRightInd w:val="0"/>
              <w:spacing w:before="60" w:after="60"/>
              <w:jc w:val="right"/>
              <w:rPr>
                <w:color w:val="000000"/>
              </w:rPr>
            </w:pPr>
            <w:r w:rsidRPr="00401515">
              <w:rPr>
                <w:color w:val="000000"/>
              </w:rPr>
              <w:t>995</w:t>
            </w:r>
          </w:p>
        </w:tc>
      </w:tr>
      <w:tr w:rsidR="007D4082" w:rsidRPr="00401515" w14:paraId="7603CDB2"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78F76398" w14:textId="77777777" w:rsidR="007D4082" w:rsidRPr="00401515" w:rsidRDefault="007D4082" w:rsidP="00A55DB0">
            <w:pPr>
              <w:adjustRightInd w:val="0"/>
              <w:spacing w:before="60" w:after="60"/>
              <w:rPr>
                <w:color w:val="000000"/>
              </w:rPr>
            </w:pPr>
            <w:r w:rsidRPr="00401515">
              <w:rPr>
                <w:color w:val="000000"/>
              </w:rPr>
              <w:t>PIR</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45B4C610" w14:textId="77777777" w:rsidR="007D4082" w:rsidRPr="00401515" w:rsidRDefault="007D4082" w:rsidP="00A55DB0">
            <w:pPr>
              <w:adjustRightInd w:val="0"/>
              <w:spacing w:before="60" w:after="60"/>
              <w:rPr>
                <w:color w:val="000000"/>
              </w:rPr>
            </w:pPr>
            <w:r w:rsidRPr="00401515">
              <w:rPr>
                <w:color w:val="000000"/>
              </w:rPr>
              <w:t>Yes</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431F39CA" w14:textId="77777777" w:rsidR="007D4082" w:rsidRPr="00401515" w:rsidRDefault="007D4082" w:rsidP="00A55DB0">
            <w:pPr>
              <w:adjustRightInd w:val="0"/>
              <w:spacing w:before="60" w:after="60"/>
              <w:rPr>
                <w:color w:val="000000"/>
              </w:rPr>
            </w:pPr>
            <w:r w:rsidRPr="00401515">
              <w:rPr>
                <w:color w:val="000000"/>
              </w:rPr>
              <w:t>0.80 [0.66, 0.94]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FF8DC64" w14:textId="77777777" w:rsidR="007D4082" w:rsidRPr="00401515" w:rsidRDefault="007D4082" w:rsidP="00A55DB0">
            <w:pPr>
              <w:adjustRightInd w:val="0"/>
              <w:spacing w:before="60" w:after="60"/>
              <w:rPr>
                <w:color w:val="000000"/>
              </w:rPr>
            </w:pPr>
            <w:r w:rsidRPr="00401515">
              <w:rPr>
                <w:color w:val="000000"/>
              </w:rPr>
              <w:t>0.27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92BB249" w14:textId="77777777" w:rsidR="007D4082" w:rsidRPr="00401515" w:rsidRDefault="007D4082" w:rsidP="00A55DB0">
            <w:pPr>
              <w:adjustRightInd w:val="0"/>
              <w:spacing w:before="60" w:after="60"/>
              <w:rPr>
                <w:color w:val="000000"/>
              </w:rPr>
            </w:pPr>
            <w:r w:rsidRPr="00401515">
              <w:rPr>
                <w:color w:val="000000"/>
              </w:rPr>
              <w:t>0.41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C6358B7" w14:textId="77777777" w:rsidR="007D4082" w:rsidRPr="00401515" w:rsidRDefault="007D4082" w:rsidP="00A55DB0">
            <w:pPr>
              <w:adjustRightInd w:val="0"/>
              <w:spacing w:before="60" w:after="60"/>
              <w:rPr>
                <w:color w:val="000000"/>
              </w:rPr>
            </w:pPr>
            <w:r w:rsidRPr="00401515">
              <w:rPr>
                <w:color w:val="000000"/>
              </w:rPr>
              <w:t>0.70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A4F0ED0" w14:textId="77777777" w:rsidR="007D4082" w:rsidRPr="00401515" w:rsidRDefault="007D4082" w:rsidP="00A55DB0">
            <w:pPr>
              <w:adjustRightInd w:val="0"/>
              <w:spacing w:before="60" w:after="60"/>
              <w:rPr>
                <w:color w:val="000000"/>
              </w:rPr>
            </w:pPr>
            <w:r w:rsidRPr="00401515">
              <w:rPr>
                <w:color w:val="000000"/>
              </w:rPr>
              <w:t>1.39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5F83375" w14:textId="77777777" w:rsidR="007D4082" w:rsidRPr="00401515" w:rsidRDefault="007D4082" w:rsidP="00A55DB0">
            <w:pPr>
              <w:adjustRightInd w:val="0"/>
              <w:spacing w:before="60" w:after="60"/>
              <w:rPr>
                <w:color w:val="000000"/>
              </w:rPr>
            </w:pPr>
            <w:r w:rsidRPr="00401515">
              <w:rPr>
                <w:color w:val="000000"/>
              </w:rPr>
              <w:t>2.45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DDAC694" w14:textId="77777777" w:rsidR="007D4082" w:rsidRPr="00401515" w:rsidRDefault="007D4082" w:rsidP="00A55DB0">
            <w:pPr>
              <w:adjustRightInd w:val="0"/>
              <w:spacing w:before="60" w:after="60"/>
              <w:rPr>
                <w:color w:val="000000"/>
              </w:rPr>
            </w:pPr>
            <w:r w:rsidRPr="00401515">
              <w:rPr>
                <w:color w:val="000000"/>
              </w:rPr>
              <w:t>4.30</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00E2A7" w14:textId="77777777" w:rsidR="007D4082" w:rsidRPr="00401515" w:rsidRDefault="007D4082" w:rsidP="00A55DB0">
            <w:pPr>
              <w:adjustRightInd w:val="0"/>
              <w:spacing w:before="60" w:after="60"/>
              <w:jc w:val="right"/>
              <w:rPr>
                <w:color w:val="000000"/>
              </w:rPr>
            </w:pPr>
            <w:r w:rsidRPr="00401515">
              <w:rPr>
                <w:color w:val="000000"/>
              </w:rPr>
              <w:t>236</w:t>
            </w:r>
          </w:p>
        </w:tc>
      </w:tr>
      <w:tr w:rsidR="007D4082" w:rsidRPr="00401515" w14:paraId="0A27C05F"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4768DC54"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1CD956E3" w14:textId="77777777" w:rsidR="007D4082" w:rsidRPr="00401515" w:rsidRDefault="007D4082" w:rsidP="00A55DB0">
            <w:pPr>
              <w:adjustRightInd w:val="0"/>
              <w:spacing w:before="60" w:after="60"/>
              <w:rPr>
                <w:color w:val="000000"/>
              </w:rPr>
            </w:pPr>
            <w:r w:rsidRPr="00401515">
              <w:rPr>
                <w:color w:val="000000"/>
              </w:rPr>
              <w:t>Mexican American</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58E70A2C" w14:textId="77777777" w:rsidR="007D4082" w:rsidRPr="00401515" w:rsidRDefault="007D4082" w:rsidP="00A55DB0">
            <w:pPr>
              <w:adjustRightInd w:val="0"/>
              <w:spacing w:before="60" w:after="60"/>
              <w:rPr>
                <w:color w:val="000000"/>
              </w:rPr>
            </w:pPr>
            <w:r w:rsidRPr="00401515">
              <w:rPr>
                <w:color w:val="000000"/>
              </w:rPr>
              <w:t>0.98 [0.84, 1.11]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27E0D4E" w14:textId="77777777" w:rsidR="007D4082" w:rsidRPr="00401515" w:rsidRDefault="007D4082" w:rsidP="00A55DB0">
            <w:pPr>
              <w:adjustRightInd w:val="0"/>
              <w:spacing w:before="60" w:after="60"/>
              <w:rPr>
                <w:color w:val="000000"/>
              </w:rPr>
            </w:pPr>
            <w:r w:rsidRPr="00401515">
              <w:rPr>
                <w:color w:val="000000"/>
              </w:rPr>
              <w:t>0.30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8D14294" w14:textId="77777777" w:rsidR="007D4082" w:rsidRPr="00401515" w:rsidRDefault="007D4082" w:rsidP="00A55DB0">
            <w:pPr>
              <w:adjustRightInd w:val="0"/>
              <w:spacing w:before="60" w:after="60"/>
              <w:rPr>
                <w:color w:val="000000"/>
              </w:rPr>
            </w:pPr>
            <w:r w:rsidRPr="00401515">
              <w:rPr>
                <w:color w:val="000000"/>
              </w:rPr>
              <w:t>0.49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EF3E80D" w14:textId="77777777" w:rsidR="007D4082" w:rsidRPr="00401515" w:rsidRDefault="007D4082" w:rsidP="00A55DB0">
            <w:pPr>
              <w:adjustRightInd w:val="0"/>
              <w:spacing w:before="60" w:after="60"/>
              <w:rPr>
                <w:color w:val="000000"/>
              </w:rPr>
            </w:pPr>
            <w:r w:rsidRPr="00401515">
              <w:rPr>
                <w:color w:val="000000"/>
              </w:rPr>
              <w:t>0.88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E1A3514" w14:textId="77777777" w:rsidR="007D4082" w:rsidRPr="00401515" w:rsidRDefault="007D4082" w:rsidP="00A55DB0">
            <w:pPr>
              <w:adjustRightInd w:val="0"/>
              <w:spacing w:before="60" w:after="60"/>
              <w:rPr>
                <w:color w:val="000000"/>
              </w:rPr>
            </w:pPr>
            <w:r w:rsidRPr="00401515">
              <w:rPr>
                <w:color w:val="000000"/>
              </w:rPr>
              <w:t>1.58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E7331EE" w14:textId="77777777" w:rsidR="007D4082" w:rsidRPr="00401515" w:rsidRDefault="007D4082" w:rsidP="00A55DB0">
            <w:pPr>
              <w:adjustRightInd w:val="0"/>
              <w:spacing w:before="60" w:after="60"/>
              <w:rPr>
                <w:color w:val="000000"/>
              </w:rPr>
            </w:pPr>
            <w:r w:rsidRPr="00401515">
              <w:rPr>
                <w:color w:val="000000"/>
              </w:rPr>
              <w:t>3.12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44F666F" w14:textId="77777777" w:rsidR="007D4082" w:rsidRPr="00401515" w:rsidRDefault="007D4082" w:rsidP="00A55DB0">
            <w:pPr>
              <w:adjustRightInd w:val="0"/>
              <w:spacing w:before="60" w:after="60"/>
              <w:rPr>
                <w:color w:val="000000"/>
              </w:rPr>
            </w:pPr>
            <w:r w:rsidRPr="00401515">
              <w:rPr>
                <w:color w:val="000000"/>
              </w:rPr>
              <w:t>5.79</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196441" w14:textId="77777777" w:rsidR="007D4082" w:rsidRPr="00401515" w:rsidRDefault="007D4082" w:rsidP="00A55DB0">
            <w:pPr>
              <w:adjustRightInd w:val="0"/>
              <w:spacing w:before="60" w:after="60"/>
              <w:jc w:val="right"/>
              <w:rPr>
                <w:color w:val="000000"/>
              </w:rPr>
            </w:pPr>
            <w:r w:rsidRPr="00401515">
              <w:rPr>
                <w:color w:val="000000"/>
              </w:rPr>
              <w:t>244</w:t>
            </w:r>
          </w:p>
        </w:tc>
      </w:tr>
      <w:tr w:rsidR="007D4082" w:rsidRPr="00401515" w14:paraId="7345A791"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076537D3"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511B5046" w14:textId="77777777" w:rsidR="007D4082" w:rsidRPr="00401515" w:rsidRDefault="007D4082" w:rsidP="00A55DB0">
            <w:pPr>
              <w:adjustRightInd w:val="0"/>
              <w:spacing w:before="60" w:after="60"/>
              <w:rPr>
                <w:color w:val="000000"/>
              </w:rPr>
            </w:pPr>
            <w:r w:rsidRPr="00401515">
              <w:rPr>
                <w:color w:val="000000"/>
              </w:rPr>
              <w:t>Non-Hispanic Black</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1FE3773B" w14:textId="77777777" w:rsidR="007D4082" w:rsidRPr="00401515" w:rsidRDefault="007D4082" w:rsidP="00A55DB0">
            <w:pPr>
              <w:adjustRightInd w:val="0"/>
              <w:spacing w:before="60" w:after="60"/>
              <w:rPr>
                <w:color w:val="000000"/>
              </w:rPr>
            </w:pPr>
            <w:r w:rsidRPr="00401515">
              <w:rPr>
                <w:color w:val="000000"/>
              </w:rPr>
              <w:t>0.56 [0.51, 0.62]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461D830" w14:textId="77777777" w:rsidR="007D4082" w:rsidRPr="00401515" w:rsidRDefault="007D4082" w:rsidP="00A55DB0">
            <w:pPr>
              <w:adjustRightInd w:val="0"/>
              <w:spacing w:before="60" w:after="60"/>
              <w:rPr>
                <w:color w:val="000000"/>
              </w:rPr>
            </w:pPr>
            <w:r w:rsidRPr="00401515">
              <w:rPr>
                <w:color w:val="000000"/>
              </w:rPr>
              <w:t>0.22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8AFADC2" w14:textId="77777777" w:rsidR="007D4082" w:rsidRPr="00401515" w:rsidRDefault="007D4082" w:rsidP="00A55DB0">
            <w:pPr>
              <w:adjustRightInd w:val="0"/>
              <w:spacing w:before="60" w:after="60"/>
              <w:rPr>
                <w:color w:val="000000"/>
              </w:rPr>
            </w:pPr>
            <w:r w:rsidRPr="00401515">
              <w:rPr>
                <w:color w:val="000000"/>
              </w:rPr>
              <w:t>0.31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6A9E34A" w14:textId="77777777" w:rsidR="007D4082" w:rsidRPr="00401515" w:rsidRDefault="007D4082" w:rsidP="00A55DB0">
            <w:pPr>
              <w:adjustRightInd w:val="0"/>
              <w:spacing w:before="60" w:after="60"/>
              <w:rPr>
                <w:color w:val="000000"/>
              </w:rPr>
            </w:pPr>
            <w:r w:rsidRPr="00401515">
              <w:rPr>
                <w:color w:val="000000"/>
              </w:rPr>
              <w:t>0.46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E81525E" w14:textId="77777777" w:rsidR="007D4082" w:rsidRPr="00401515" w:rsidRDefault="007D4082" w:rsidP="00A55DB0">
            <w:pPr>
              <w:adjustRightInd w:val="0"/>
              <w:spacing w:before="60" w:after="60"/>
              <w:rPr>
                <w:color w:val="000000"/>
              </w:rPr>
            </w:pPr>
            <w:r w:rsidRPr="00401515">
              <w:rPr>
                <w:color w:val="000000"/>
              </w:rPr>
              <w:t>0.91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241BABD" w14:textId="77777777" w:rsidR="007D4082" w:rsidRPr="00401515" w:rsidRDefault="007D4082" w:rsidP="00A55DB0">
            <w:pPr>
              <w:adjustRightInd w:val="0"/>
              <w:spacing w:before="60" w:after="60"/>
              <w:rPr>
                <w:color w:val="000000"/>
              </w:rPr>
            </w:pPr>
            <w:r w:rsidRPr="00401515">
              <w:rPr>
                <w:color w:val="000000"/>
              </w:rPr>
              <w:t>1.47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EA5AF4B" w14:textId="77777777" w:rsidR="007D4082" w:rsidRPr="00401515" w:rsidRDefault="007D4082" w:rsidP="00A55DB0">
            <w:pPr>
              <w:adjustRightInd w:val="0"/>
              <w:spacing w:before="60" w:after="60"/>
              <w:rPr>
                <w:color w:val="000000"/>
              </w:rPr>
            </w:pPr>
            <w:r w:rsidRPr="00401515">
              <w:rPr>
                <w:color w:val="000000"/>
              </w:rPr>
              <w:t>3.17</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42806D" w14:textId="77777777" w:rsidR="007D4082" w:rsidRPr="00401515" w:rsidRDefault="007D4082" w:rsidP="00A55DB0">
            <w:pPr>
              <w:adjustRightInd w:val="0"/>
              <w:spacing w:before="60" w:after="60"/>
              <w:jc w:val="right"/>
              <w:rPr>
                <w:color w:val="000000"/>
              </w:rPr>
            </w:pPr>
            <w:r w:rsidRPr="00401515">
              <w:rPr>
                <w:color w:val="000000"/>
              </w:rPr>
              <w:t>217</w:t>
            </w:r>
          </w:p>
        </w:tc>
      </w:tr>
      <w:tr w:rsidR="007D4082" w:rsidRPr="00401515" w14:paraId="41B7B880"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23BF8D5E"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69F235F" w14:textId="77777777" w:rsidR="007D4082" w:rsidRPr="00401515" w:rsidRDefault="007D4082" w:rsidP="00A55DB0">
            <w:pPr>
              <w:adjustRightInd w:val="0"/>
              <w:spacing w:before="60" w:after="60"/>
              <w:rPr>
                <w:color w:val="000000"/>
              </w:rPr>
            </w:pPr>
            <w:r w:rsidRPr="00401515">
              <w:rPr>
                <w:color w:val="000000"/>
              </w:rPr>
              <w:t>Non-Hispanic White</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221CAD49" w14:textId="77777777" w:rsidR="007D4082" w:rsidRPr="00401515" w:rsidRDefault="007D4082" w:rsidP="00A55DB0">
            <w:pPr>
              <w:adjustRightInd w:val="0"/>
              <w:spacing w:before="60" w:after="60"/>
              <w:rPr>
                <w:color w:val="000000"/>
              </w:rPr>
            </w:pPr>
            <w:r w:rsidRPr="00401515">
              <w:rPr>
                <w:color w:val="000000"/>
              </w:rPr>
              <w:t>0.96 [0.85, 1.08]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1307EB8" w14:textId="77777777" w:rsidR="007D4082" w:rsidRPr="00401515" w:rsidRDefault="007D4082" w:rsidP="00A55DB0">
            <w:pPr>
              <w:adjustRightInd w:val="0"/>
              <w:spacing w:before="60" w:after="60"/>
              <w:rPr>
                <w:color w:val="000000"/>
              </w:rPr>
            </w:pPr>
            <w:r w:rsidRPr="00401515">
              <w:rPr>
                <w:color w:val="000000"/>
              </w:rPr>
              <w:t>0.31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C7A3155" w14:textId="77777777" w:rsidR="007D4082" w:rsidRPr="00401515" w:rsidRDefault="007D4082" w:rsidP="00A55DB0">
            <w:pPr>
              <w:adjustRightInd w:val="0"/>
              <w:spacing w:before="60" w:after="60"/>
              <w:rPr>
                <w:color w:val="000000"/>
              </w:rPr>
            </w:pPr>
            <w:r w:rsidRPr="00401515">
              <w:rPr>
                <w:color w:val="000000"/>
              </w:rPr>
              <w:t>0.49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6C37792" w14:textId="77777777" w:rsidR="007D4082" w:rsidRPr="00401515" w:rsidRDefault="007D4082" w:rsidP="00A55DB0">
            <w:pPr>
              <w:adjustRightInd w:val="0"/>
              <w:spacing w:before="60" w:after="60"/>
              <w:rPr>
                <w:color w:val="000000"/>
              </w:rPr>
            </w:pPr>
            <w:r w:rsidRPr="00401515">
              <w:rPr>
                <w:color w:val="000000"/>
              </w:rPr>
              <w:t>0.85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3CF193F" w14:textId="77777777" w:rsidR="007D4082" w:rsidRPr="00401515" w:rsidRDefault="007D4082" w:rsidP="00A55DB0">
            <w:pPr>
              <w:adjustRightInd w:val="0"/>
              <w:spacing w:before="60" w:after="60"/>
              <w:rPr>
                <w:color w:val="000000"/>
              </w:rPr>
            </w:pPr>
            <w:r w:rsidRPr="00401515">
              <w:rPr>
                <w:color w:val="000000"/>
              </w:rPr>
              <w:t>1.55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B084D71" w14:textId="77777777" w:rsidR="007D4082" w:rsidRPr="00401515" w:rsidRDefault="007D4082" w:rsidP="00A55DB0">
            <w:pPr>
              <w:adjustRightInd w:val="0"/>
              <w:spacing w:before="60" w:after="60"/>
              <w:rPr>
                <w:color w:val="000000"/>
              </w:rPr>
            </w:pPr>
            <w:r w:rsidRPr="00401515">
              <w:rPr>
                <w:color w:val="000000"/>
              </w:rPr>
              <w:t>3.65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88FD3CD" w14:textId="77777777" w:rsidR="007D4082" w:rsidRPr="00401515" w:rsidRDefault="007D4082" w:rsidP="00A55DB0">
            <w:pPr>
              <w:adjustRightInd w:val="0"/>
              <w:spacing w:before="60" w:after="60"/>
              <w:rPr>
                <w:color w:val="000000"/>
              </w:rPr>
            </w:pPr>
            <w:r w:rsidRPr="00401515">
              <w:rPr>
                <w:color w:val="000000"/>
              </w:rPr>
              <w:t>6.10</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BD1ABF" w14:textId="77777777" w:rsidR="007D4082" w:rsidRPr="00401515" w:rsidRDefault="007D4082" w:rsidP="00A55DB0">
            <w:pPr>
              <w:adjustRightInd w:val="0"/>
              <w:spacing w:before="60" w:after="60"/>
              <w:jc w:val="right"/>
              <w:rPr>
                <w:color w:val="000000"/>
              </w:rPr>
            </w:pPr>
            <w:r w:rsidRPr="00401515">
              <w:rPr>
                <w:color w:val="000000"/>
              </w:rPr>
              <w:t>528</w:t>
            </w:r>
          </w:p>
        </w:tc>
      </w:tr>
      <w:tr w:rsidR="007D4082" w:rsidRPr="00401515" w14:paraId="6380C078"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39F6076F"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2E880A76" w14:textId="77777777" w:rsidR="007D4082" w:rsidRPr="00401515" w:rsidRDefault="007D4082" w:rsidP="00A55DB0">
            <w:pPr>
              <w:adjustRightInd w:val="0"/>
              <w:spacing w:before="60" w:after="60"/>
              <w:rPr>
                <w:color w:val="000000"/>
              </w:rPr>
            </w:pPr>
            <w:r w:rsidRPr="00401515">
              <w:rPr>
                <w:color w:val="000000"/>
              </w:rPr>
              <w:t>Other Hispanic</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3406223E" w14:textId="77777777" w:rsidR="007D4082" w:rsidRPr="00401515" w:rsidRDefault="007D4082" w:rsidP="00A55DB0">
            <w:pPr>
              <w:adjustRightInd w:val="0"/>
              <w:spacing w:before="60" w:after="60"/>
              <w:rPr>
                <w:color w:val="000000"/>
              </w:rPr>
            </w:pPr>
            <w:r w:rsidRPr="00401515">
              <w:rPr>
                <w:color w:val="000000"/>
              </w:rPr>
              <w:t>0.95 [0.69, 1.20]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A5C620A" w14:textId="77777777" w:rsidR="007D4082" w:rsidRPr="00401515" w:rsidRDefault="007D4082" w:rsidP="00A55DB0">
            <w:pPr>
              <w:adjustRightInd w:val="0"/>
              <w:spacing w:before="60" w:after="60"/>
              <w:rPr>
                <w:color w:val="000000"/>
              </w:rPr>
            </w:pPr>
            <w:r w:rsidRPr="00401515">
              <w:rPr>
                <w:color w:val="000000"/>
              </w:rPr>
              <w:t>0.27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529F857" w14:textId="77777777" w:rsidR="007D4082" w:rsidRPr="00401515" w:rsidRDefault="007D4082" w:rsidP="00A55DB0">
            <w:pPr>
              <w:adjustRightInd w:val="0"/>
              <w:spacing w:before="60" w:after="60"/>
              <w:rPr>
                <w:color w:val="000000"/>
              </w:rPr>
            </w:pPr>
            <w:r w:rsidRPr="00401515">
              <w:rPr>
                <w:color w:val="000000"/>
              </w:rPr>
              <w:t>0.46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6291238" w14:textId="77777777" w:rsidR="007D4082" w:rsidRPr="00401515" w:rsidRDefault="007D4082" w:rsidP="00A55DB0">
            <w:pPr>
              <w:adjustRightInd w:val="0"/>
              <w:spacing w:before="60" w:after="60"/>
              <w:rPr>
                <w:color w:val="000000"/>
              </w:rPr>
            </w:pPr>
            <w:r w:rsidRPr="00401515">
              <w:rPr>
                <w:color w:val="000000"/>
              </w:rPr>
              <w:t>0.80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0ACEED8" w14:textId="77777777" w:rsidR="007D4082" w:rsidRPr="00401515" w:rsidRDefault="007D4082" w:rsidP="00A55DB0">
            <w:pPr>
              <w:adjustRightInd w:val="0"/>
              <w:spacing w:before="60" w:after="60"/>
              <w:rPr>
                <w:color w:val="000000"/>
              </w:rPr>
            </w:pPr>
            <w:r w:rsidRPr="00401515">
              <w:rPr>
                <w:color w:val="000000"/>
              </w:rPr>
              <w:t>1.76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553C204" w14:textId="77777777" w:rsidR="007D4082" w:rsidRPr="00401515" w:rsidRDefault="007D4082" w:rsidP="00A55DB0">
            <w:pPr>
              <w:adjustRightInd w:val="0"/>
              <w:spacing w:before="60" w:after="60"/>
              <w:rPr>
                <w:color w:val="000000"/>
              </w:rPr>
            </w:pPr>
            <w:r w:rsidRPr="00401515">
              <w:rPr>
                <w:color w:val="000000"/>
              </w:rPr>
              <w:t>3.79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946DC5C" w14:textId="77777777" w:rsidR="007D4082" w:rsidRPr="00401515" w:rsidRDefault="007D4082" w:rsidP="00A55DB0">
            <w:pPr>
              <w:adjustRightInd w:val="0"/>
              <w:spacing w:before="60" w:after="60"/>
              <w:rPr>
                <w:color w:val="000000"/>
              </w:rPr>
            </w:pPr>
            <w:r w:rsidRPr="00401515">
              <w:rPr>
                <w:color w:val="000000"/>
              </w:rPr>
              <w:t>6.48</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808525" w14:textId="77777777" w:rsidR="007D4082" w:rsidRPr="00401515" w:rsidRDefault="007D4082" w:rsidP="00A55DB0">
            <w:pPr>
              <w:adjustRightInd w:val="0"/>
              <w:spacing w:before="60" w:after="60"/>
              <w:jc w:val="right"/>
              <w:rPr>
                <w:color w:val="000000"/>
              </w:rPr>
            </w:pPr>
            <w:r w:rsidRPr="00401515">
              <w:rPr>
                <w:color w:val="000000"/>
              </w:rPr>
              <w:t>136</w:t>
            </w:r>
          </w:p>
        </w:tc>
      </w:tr>
      <w:tr w:rsidR="007D4082" w:rsidRPr="00401515" w14:paraId="5B303407"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79971488" w14:textId="77777777" w:rsidR="007D4082" w:rsidRPr="00401515" w:rsidRDefault="007D4082" w:rsidP="00A55DB0">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33FBA695" w14:textId="77777777" w:rsidR="007D4082" w:rsidRPr="00401515" w:rsidRDefault="007D4082" w:rsidP="00A55DB0">
            <w:pPr>
              <w:adjustRightInd w:val="0"/>
              <w:spacing w:before="60" w:after="60"/>
              <w:rPr>
                <w:color w:val="000000"/>
              </w:rPr>
            </w:pPr>
            <w:r w:rsidRPr="00401515">
              <w:rPr>
                <w:color w:val="000000"/>
              </w:rPr>
              <w:t>Other/Multi-Racial</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583281A9" w14:textId="77777777" w:rsidR="007D4082" w:rsidRPr="00401515" w:rsidRDefault="007D4082" w:rsidP="00A55DB0">
            <w:pPr>
              <w:adjustRightInd w:val="0"/>
              <w:spacing w:before="60" w:after="60"/>
              <w:rPr>
                <w:color w:val="000000"/>
              </w:rPr>
            </w:pPr>
            <w:r w:rsidRPr="00401515">
              <w:rPr>
                <w:color w:val="000000"/>
              </w:rPr>
              <w:t>0.98 [0.84, 1.11]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4A520F0" w14:textId="77777777" w:rsidR="007D4082" w:rsidRPr="00401515" w:rsidRDefault="007D4082" w:rsidP="00A55DB0">
            <w:pPr>
              <w:adjustRightInd w:val="0"/>
              <w:spacing w:before="60" w:after="60"/>
              <w:rPr>
                <w:color w:val="000000"/>
              </w:rPr>
            </w:pPr>
            <w:r w:rsidRPr="00401515">
              <w:rPr>
                <w:color w:val="000000"/>
              </w:rPr>
              <w:t>0.40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DED6A48" w14:textId="77777777" w:rsidR="007D4082" w:rsidRPr="00401515" w:rsidRDefault="007D4082" w:rsidP="00A55DB0">
            <w:pPr>
              <w:adjustRightInd w:val="0"/>
              <w:spacing w:before="60" w:after="60"/>
              <w:rPr>
                <w:color w:val="000000"/>
              </w:rPr>
            </w:pPr>
            <w:r w:rsidRPr="00401515">
              <w:rPr>
                <w:color w:val="000000"/>
              </w:rPr>
              <w:t>0.55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81336DB" w14:textId="77777777" w:rsidR="007D4082" w:rsidRPr="00401515" w:rsidRDefault="007D4082" w:rsidP="00A55DB0">
            <w:pPr>
              <w:adjustRightInd w:val="0"/>
              <w:spacing w:before="60" w:after="60"/>
              <w:rPr>
                <w:color w:val="000000"/>
              </w:rPr>
            </w:pPr>
            <w:r w:rsidRPr="00401515">
              <w:rPr>
                <w:color w:val="000000"/>
              </w:rPr>
              <w:t>0.79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42C3C36" w14:textId="77777777" w:rsidR="007D4082" w:rsidRPr="00401515" w:rsidRDefault="007D4082" w:rsidP="00A55DB0">
            <w:pPr>
              <w:adjustRightInd w:val="0"/>
              <w:spacing w:before="60" w:after="60"/>
              <w:rPr>
                <w:color w:val="000000"/>
              </w:rPr>
            </w:pPr>
            <w:r w:rsidRPr="00401515">
              <w:rPr>
                <w:color w:val="000000"/>
              </w:rPr>
              <w:t>1.58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00EB67D" w14:textId="77777777" w:rsidR="007D4082" w:rsidRPr="00401515" w:rsidRDefault="007D4082" w:rsidP="00A55DB0">
            <w:pPr>
              <w:adjustRightInd w:val="0"/>
              <w:spacing w:before="60" w:after="60"/>
              <w:rPr>
                <w:color w:val="000000"/>
              </w:rPr>
            </w:pPr>
            <w:r w:rsidRPr="00401515">
              <w:rPr>
                <w:color w:val="000000"/>
              </w:rPr>
              <w:t>2.70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F7BAF34" w14:textId="77777777" w:rsidR="007D4082" w:rsidRPr="00401515" w:rsidRDefault="007D4082" w:rsidP="00A55DB0">
            <w:pPr>
              <w:adjustRightInd w:val="0"/>
              <w:spacing w:before="60" w:after="60"/>
              <w:rPr>
                <w:color w:val="000000"/>
              </w:rPr>
            </w:pPr>
            <w:r w:rsidRPr="00401515">
              <w:rPr>
                <w:color w:val="000000"/>
              </w:rPr>
              <w:t>3.93</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FD36E8" w14:textId="77777777" w:rsidR="007D4082" w:rsidRPr="00401515" w:rsidRDefault="007D4082" w:rsidP="00A55DB0">
            <w:pPr>
              <w:adjustRightInd w:val="0"/>
              <w:spacing w:before="60" w:after="60"/>
              <w:jc w:val="right"/>
              <w:rPr>
                <w:color w:val="000000"/>
              </w:rPr>
            </w:pPr>
            <w:r w:rsidRPr="00401515">
              <w:rPr>
                <w:color w:val="000000"/>
              </w:rPr>
              <w:t>202</w:t>
            </w:r>
          </w:p>
        </w:tc>
      </w:tr>
      <w:tr w:rsidR="007D4082" w:rsidRPr="00401515" w14:paraId="06CF9C1F" w14:textId="77777777" w:rsidTr="007D4082">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7B82F805" w14:textId="77777777" w:rsidR="007D4082" w:rsidRPr="00401515" w:rsidRDefault="007D4082" w:rsidP="00A55DB0">
            <w:pPr>
              <w:keepNext/>
              <w:adjustRightInd w:val="0"/>
              <w:spacing w:before="60" w:after="60"/>
              <w:rPr>
                <w:color w:val="000000"/>
              </w:rPr>
            </w:pPr>
            <w:r w:rsidRPr="00401515">
              <w:rPr>
                <w:color w:val="000000"/>
              </w:rPr>
              <w:t>Sex</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6A71CA4E" w14:textId="77777777" w:rsidR="007D4082" w:rsidRPr="00401515" w:rsidRDefault="007D4082" w:rsidP="00A55DB0">
            <w:pPr>
              <w:keepNext/>
              <w:adjustRightInd w:val="0"/>
              <w:spacing w:before="60" w:after="60"/>
              <w:rPr>
                <w:color w:val="000000"/>
              </w:rPr>
            </w:pPr>
            <w:r w:rsidRPr="00401515">
              <w:rPr>
                <w:color w:val="000000"/>
              </w:rPr>
              <w:t>Female</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2A6B0128" w14:textId="77777777" w:rsidR="007D4082" w:rsidRPr="00401515" w:rsidRDefault="007D4082" w:rsidP="00A55DB0">
            <w:pPr>
              <w:keepNext/>
              <w:adjustRightInd w:val="0"/>
              <w:spacing w:before="60" w:after="60"/>
              <w:rPr>
                <w:color w:val="000000"/>
              </w:rPr>
            </w:pPr>
            <w:r w:rsidRPr="00401515">
              <w:rPr>
                <w:color w:val="000000"/>
              </w:rPr>
              <w:t>1.02 [0.90, 1.13]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61827CE" w14:textId="77777777" w:rsidR="007D4082" w:rsidRPr="00401515" w:rsidRDefault="007D4082" w:rsidP="00A55DB0">
            <w:pPr>
              <w:keepNext/>
              <w:adjustRightInd w:val="0"/>
              <w:spacing w:before="60" w:after="60"/>
              <w:rPr>
                <w:color w:val="000000"/>
              </w:rPr>
            </w:pPr>
            <w:r w:rsidRPr="00401515">
              <w:rPr>
                <w:color w:val="000000"/>
              </w:rPr>
              <w:t>0.32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7BC0697" w14:textId="77777777" w:rsidR="007D4082" w:rsidRPr="00401515" w:rsidRDefault="007D4082" w:rsidP="00A55DB0">
            <w:pPr>
              <w:keepNext/>
              <w:adjustRightInd w:val="0"/>
              <w:spacing w:before="60" w:after="60"/>
              <w:rPr>
                <w:color w:val="000000"/>
              </w:rPr>
            </w:pPr>
            <w:r w:rsidRPr="00401515">
              <w:rPr>
                <w:color w:val="000000"/>
              </w:rPr>
              <w:t>0.54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355B942" w14:textId="77777777" w:rsidR="007D4082" w:rsidRPr="00401515" w:rsidRDefault="007D4082" w:rsidP="00A55DB0">
            <w:pPr>
              <w:keepNext/>
              <w:adjustRightInd w:val="0"/>
              <w:spacing w:before="60" w:after="60"/>
              <w:rPr>
                <w:color w:val="000000"/>
              </w:rPr>
            </w:pPr>
            <w:r w:rsidRPr="00401515">
              <w:rPr>
                <w:color w:val="000000"/>
              </w:rPr>
              <w:t>0.87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AB0C9C1" w14:textId="77777777" w:rsidR="007D4082" w:rsidRPr="00401515" w:rsidRDefault="007D4082" w:rsidP="00A55DB0">
            <w:pPr>
              <w:keepNext/>
              <w:adjustRightInd w:val="0"/>
              <w:spacing w:before="60" w:after="60"/>
              <w:rPr>
                <w:color w:val="000000"/>
              </w:rPr>
            </w:pPr>
            <w:r w:rsidRPr="00401515">
              <w:rPr>
                <w:color w:val="000000"/>
              </w:rPr>
              <w:t>1.69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B38D478" w14:textId="77777777" w:rsidR="007D4082" w:rsidRPr="00401515" w:rsidRDefault="007D4082" w:rsidP="00A55DB0">
            <w:pPr>
              <w:keepNext/>
              <w:adjustRightInd w:val="0"/>
              <w:spacing w:before="60" w:after="60"/>
              <w:rPr>
                <w:color w:val="000000"/>
              </w:rPr>
            </w:pPr>
            <w:r w:rsidRPr="00401515">
              <w:rPr>
                <w:color w:val="000000"/>
              </w:rPr>
              <w:t>3.40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E3BD3E3" w14:textId="77777777" w:rsidR="007D4082" w:rsidRPr="00401515" w:rsidRDefault="007D4082" w:rsidP="00A55DB0">
            <w:pPr>
              <w:keepNext/>
              <w:adjustRightInd w:val="0"/>
              <w:spacing w:before="60" w:after="60"/>
              <w:rPr>
                <w:color w:val="000000"/>
              </w:rPr>
            </w:pPr>
            <w:r w:rsidRPr="00401515">
              <w:rPr>
                <w:color w:val="000000"/>
              </w:rPr>
              <w:t>5.95</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3C9291" w14:textId="77777777" w:rsidR="007D4082" w:rsidRPr="00401515" w:rsidRDefault="007D4082" w:rsidP="00A55DB0">
            <w:pPr>
              <w:keepNext/>
              <w:adjustRightInd w:val="0"/>
              <w:spacing w:before="60" w:after="60"/>
              <w:jc w:val="right"/>
              <w:rPr>
                <w:color w:val="000000"/>
              </w:rPr>
            </w:pPr>
            <w:r w:rsidRPr="00401515">
              <w:rPr>
                <w:color w:val="000000"/>
              </w:rPr>
              <w:t>729</w:t>
            </w:r>
          </w:p>
        </w:tc>
      </w:tr>
      <w:tr w:rsidR="007D4082" w:rsidRPr="00401515" w14:paraId="731F12A2" w14:textId="77777777" w:rsidTr="007D4082">
        <w:trPr>
          <w:cantSplit/>
          <w:jc w:val="center"/>
        </w:trPr>
        <w:tc>
          <w:tcPr>
            <w:tcW w:w="963" w:type="dxa"/>
            <w:tcBorders>
              <w:top w:val="nil"/>
              <w:left w:val="single" w:sz="2" w:space="0" w:color="000000"/>
              <w:bottom w:val="single" w:sz="6" w:space="0" w:color="000000"/>
              <w:right w:val="nil"/>
            </w:tcBorders>
            <w:shd w:val="clear" w:color="auto" w:fill="FFFFFF"/>
            <w:tcMar>
              <w:left w:w="60" w:type="dxa"/>
              <w:right w:w="60" w:type="dxa"/>
            </w:tcMar>
          </w:tcPr>
          <w:p w14:paraId="068E3A04" w14:textId="77777777" w:rsidR="007D4082" w:rsidRPr="00401515" w:rsidRDefault="007D4082" w:rsidP="00A55DB0">
            <w:pPr>
              <w:adjustRightInd w:val="0"/>
              <w:spacing w:before="60" w:after="60"/>
              <w:rPr>
                <w:color w:val="000000"/>
              </w:rPr>
            </w:pPr>
            <w:r w:rsidRPr="00401515">
              <w:rPr>
                <w:color w:val="000000"/>
              </w:rPr>
              <w:t>Sex</w:t>
            </w:r>
          </w:p>
        </w:tc>
        <w:tc>
          <w:tcPr>
            <w:tcW w:w="1910" w:type="dxa"/>
            <w:tcBorders>
              <w:top w:val="nil"/>
              <w:left w:val="single" w:sz="2" w:space="0" w:color="000000"/>
              <w:bottom w:val="single" w:sz="6" w:space="0" w:color="000000"/>
              <w:right w:val="nil"/>
            </w:tcBorders>
            <w:shd w:val="clear" w:color="auto" w:fill="FFFFFF"/>
            <w:tcMar>
              <w:left w:w="60" w:type="dxa"/>
              <w:right w:w="60" w:type="dxa"/>
            </w:tcMar>
          </w:tcPr>
          <w:p w14:paraId="19546DB1" w14:textId="77777777" w:rsidR="007D4082" w:rsidRPr="00401515" w:rsidRDefault="007D4082" w:rsidP="00A55DB0">
            <w:pPr>
              <w:adjustRightInd w:val="0"/>
              <w:spacing w:before="60" w:after="60"/>
              <w:rPr>
                <w:color w:val="000000"/>
              </w:rPr>
            </w:pPr>
            <w:r w:rsidRPr="00401515">
              <w:rPr>
                <w:color w:val="000000"/>
              </w:rPr>
              <w:t>Male</w:t>
            </w:r>
          </w:p>
        </w:tc>
        <w:tc>
          <w:tcPr>
            <w:tcW w:w="1580" w:type="dxa"/>
            <w:tcBorders>
              <w:top w:val="nil"/>
              <w:left w:val="single" w:sz="2" w:space="0" w:color="000000"/>
              <w:bottom w:val="single" w:sz="6" w:space="0" w:color="000000"/>
              <w:right w:val="nil"/>
            </w:tcBorders>
            <w:shd w:val="clear" w:color="auto" w:fill="FFFFFF"/>
            <w:tcMar>
              <w:left w:w="60" w:type="dxa"/>
              <w:right w:w="60" w:type="dxa"/>
            </w:tcMar>
          </w:tcPr>
          <w:p w14:paraId="5700E8A8" w14:textId="77777777" w:rsidR="007D4082" w:rsidRPr="00401515" w:rsidRDefault="007D4082" w:rsidP="00A55DB0">
            <w:pPr>
              <w:adjustRightInd w:val="0"/>
              <w:spacing w:before="60" w:after="60"/>
              <w:rPr>
                <w:color w:val="000000"/>
              </w:rPr>
            </w:pPr>
            <w:r w:rsidRPr="00401515">
              <w:rPr>
                <w:color w:val="000000"/>
              </w:rPr>
              <w:t>0.82 [0.75, 0.88]</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58EA4833" w14:textId="77777777" w:rsidR="007D4082" w:rsidRPr="00401515" w:rsidRDefault="007D4082" w:rsidP="00A55DB0">
            <w:pPr>
              <w:adjustRightInd w:val="0"/>
              <w:spacing w:before="60" w:after="60"/>
              <w:rPr>
                <w:color w:val="000000"/>
              </w:rPr>
            </w:pPr>
            <w:r w:rsidRPr="00401515">
              <w:rPr>
                <w:color w:val="000000"/>
              </w:rPr>
              <w:t>0.26</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2EE0BE32" w14:textId="77777777" w:rsidR="007D4082" w:rsidRPr="00401515" w:rsidRDefault="007D4082" w:rsidP="00A55DB0">
            <w:pPr>
              <w:adjustRightInd w:val="0"/>
              <w:spacing w:before="60" w:after="60"/>
              <w:rPr>
                <w:color w:val="000000"/>
              </w:rPr>
            </w:pPr>
            <w:r w:rsidRPr="00401515">
              <w:rPr>
                <w:color w:val="000000"/>
              </w:rPr>
              <w:t>0.40</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7EED4CB1" w14:textId="77777777" w:rsidR="007D4082" w:rsidRPr="00401515" w:rsidRDefault="007D4082" w:rsidP="00A55DB0">
            <w:pPr>
              <w:adjustRightInd w:val="0"/>
              <w:spacing w:before="60" w:after="60"/>
              <w:rPr>
                <w:color w:val="000000"/>
              </w:rPr>
            </w:pPr>
            <w:r w:rsidRPr="00401515">
              <w:rPr>
                <w:color w:val="000000"/>
              </w:rPr>
              <w:t>0.70</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70A41BE8" w14:textId="77777777" w:rsidR="007D4082" w:rsidRPr="00401515" w:rsidRDefault="007D4082" w:rsidP="00A55DB0">
            <w:pPr>
              <w:adjustRightInd w:val="0"/>
              <w:spacing w:before="60" w:after="60"/>
              <w:rPr>
                <w:color w:val="000000"/>
              </w:rPr>
            </w:pPr>
            <w:r w:rsidRPr="00401515">
              <w:rPr>
                <w:color w:val="000000"/>
              </w:rPr>
              <w:t>1.33</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62CF8BFD" w14:textId="77777777" w:rsidR="007D4082" w:rsidRPr="00401515" w:rsidRDefault="007D4082" w:rsidP="00A55DB0">
            <w:pPr>
              <w:adjustRightInd w:val="0"/>
              <w:spacing w:before="60" w:after="60"/>
              <w:rPr>
                <w:color w:val="000000"/>
              </w:rPr>
            </w:pPr>
            <w:r w:rsidRPr="00401515">
              <w:rPr>
                <w:color w:val="000000"/>
              </w:rPr>
              <w:t>3.06</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4F3A5ABA" w14:textId="77777777" w:rsidR="007D4082" w:rsidRPr="00401515" w:rsidRDefault="007D4082" w:rsidP="00A55DB0">
            <w:pPr>
              <w:adjustRightInd w:val="0"/>
              <w:spacing w:before="60" w:after="60"/>
              <w:rPr>
                <w:color w:val="000000"/>
              </w:rPr>
            </w:pPr>
            <w:r w:rsidRPr="00401515">
              <w:rPr>
                <w:color w:val="000000"/>
              </w:rPr>
              <w:t>5.44</w:t>
            </w:r>
          </w:p>
        </w:tc>
        <w:tc>
          <w:tcPr>
            <w:tcW w:w="1201"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CB7680B" w14:textId="77777777" w:rsidR="007D4082" w:rsidRPr="00401515" w:rsidRDefault="007D4082" w:rsidP="00A55DB0">
            <w:pPr>
              <w:adjustRightInd w:val="0"/>
              <w:spacing w:before="60" w:after="60"/>
              <w:jc w:val="right"/>
              <w:rPr>
                <w:color w:val="000000"/>
              </w:rPr>
            </w:pPr>
            <w:r w:rsidRPr="00401515">
              <w:rPr>
                <w:color w:val="000000"/>
              </w:rPr>
              <w:t>598</w:t>
            </w:r>
          </w:p>
        </w:tc>
      </w:tr>
    </w:tbl>
    <w:p w14:paraId="56D0EFD0" w14:textId="77777777" w:rsidR="00A55DB0" w:rsidRPr="00401515" w:rsidRDefault="00A55DB0">
      <w:pPr>
        <w:spacing w:after="160" w:line="259" w:lineRule="auto"/>
      </w:pPr>
    </w:p>
    <w:p w14:paraId="124823F9" w14:textId="6BEEE7BE" w:rsidR="00974133" w:rsidRPr="00401515" w:rsidRDefault="00974133">
      <w:pPr>
        <w:spacing w:after="160" w:line="259" w:lineRule="auto"/>
      </w:pPr>
      <w:r w:rsidRPr="00401515">
        <w:rPr>
          <w:b/>
          <w:bCs/>
          <w:iCs/>
          <w:color w:val="000000"/>
          <w:sz w:val="28"/>
          <w:szCs w:val="28"/>
        </w:rPr>
        <w:t xml:space="preserve">Supplementary table </w:t>
      </w:r>
      <w:r w:rsidR="005F75B5">
        <w:rPr>
          <w:b/>
          <w:bCs/>
          <w:iCs/>
          <w:color w:val="000000"/>
          <w:sz w:val="28"/>
          <w:szCs w:val="28"/>
        </w:rPr>
        <w:t>3</w:t>
      </w:r>
      <w:r w:rsidRPr="00401515">
        <w:rPr>
          <w:b/>
          <w:bCs/>
          <w:iCs/>
          <w:color w:val="000000"/>
          <w:sz w:val="28"/>
          <w:szCs w:val="28"/>
        </w:rPr>
        <w:t>. Geometric means and selected percentiles of urinary AαC concentrations (ng/g) for U.S. population with serum cotinine &lt;10 ng/</w:t>
      </w:r>
      <w:proofErr w:type="spellStart"/>
      <w:r w:rsidRPr="00401515">
        <w:rPr>
          <w:b/>
          <w:bCs/>
          <w:iCs/>
          <w:color w:val="000000"/>
          <w:sz w:val="28"/>
          <w:szCs w:val="28"/>
        </w:rPr>
        <w:t>mL.</w:t>
      </w:r>
      <w:proofErr w:type="spellEnd"/>
    </w:p>
    <w:p w14:paraId="0ABDA651" w14:textId="77777777" w:rsidR="00974133" w:rsidRPr="00401515" w:rsidRDefault="00974133"/>
    <w:p w14:paraId="28A218C4" w14:textId="77777777" w:rsidR="00974133" w:rsidRPr="00401515" w:rsidRDefault="00974133"/>
    <w:tbl>
      <w:tblPr>
        <w:tblW w:w="0" w:type="auto"/>
        <w:jc w:val="center"/>
        <w:tblLayout w:type="fixed"/>
        <w:tblCellMar>
          <w:left w:w="0" w:type="dxa"/>
          <w:right w:w="0" w:type="dxa"/>
        </w:tblCellMar>
        <w:tblLook w:val="0000" w:firstRow="0" w:lastRow="0" w:firstColumn="0" w:lastColumn="0" w:noHBand="0" w:noVBand="0"/>
      </w:tblPr>
      <w:tblGrid>
        <w:gridCol w:w="963"/>
        <w:gridCol w:w="1910"/>
        <w:gridCol w:w="1580"/>
        <w:gridCol w:w="967"/>
        <w:gridCol w:w="967"/>
        <w:gridCol w:w="967"/>
        <w:gridCol w:w="967"/>
        <w:gridCol w:w="967"/>
        <w:gridCol w:w="967"/>
        <w:gridCol w:w="1201"/>
      </w:tblGrid>
      <w:tr w:rsidR="00055434" w:rsidRPr="00401515" w14:paraId="0FD82132" w14:textId="77777777" w:rsidTr="00055434">
        <w:trPr>
          <w:cantSplit/>
          <w:tblHeader/>
          <w:jc w:val="center"/>
        </w:trPr>
        <w:tc>
          <w:tcPr>
            <w:tcW w:w="96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2CCF23D" w14:textId="77777777" w:rsidR="00055434" w:rsidRPr="00401515" w:rsidRDefault="00055434" w:rsidP="00065FD6">
            <w:pPr>
              <w:keepNext/>
              <w:adjustRightInd w:val="0"/>
              <w:spacing w:before="60" w:after="60"/>
              <w:rPr>
                <w:b/>
                <w:bCs/>
                <w:color w:val="000000"/>
              </w:rPr>
            </w:pPr>
            <w:r w:rsidRPr="00401515">
              <w:rPr>
                <w:b/>
                <w:bCs/>
                <w:color w:val="000000"/>
              </w:rPr>
              <w:t>Predictor</w:t>
            </w:r>
          </w:p>
        </w:tc>
        <w:tc>
          <w:tcPr>
            <w:tcW w:w="19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B75E9F2" w14:textId="77777777" w:rsidR="00055434" w:rsidRPr="00401515" w:rsidRDefault="00055434" w:rsidP="00065FD6">
            <w:pPr>
              <w:keepNext/>
              <w:adjustRightInd w:val="0"/>
              <w:spacing w:before="60" w:after="60"/>
              <w:rPr>
                <w:b/>
                <w:bCs/>
                <w:color w:val="000000"/>
              </w:rPr>
            </w:pPr>
            <w:r w:rsidRPr="00401515">
              <w:rPr>
                <w:b/>
                <w:bCs/>
                <w:color w:val="000000"/>
              </w:rPr>
              <w:t>Level</w:t>
            </w:r>
          </w:p>
        </w:tc>
        <w:tc>
          <w:tcPr>
            <w:tcW w:w="158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59CD64E" w14:textId="77777777" w:rsidR="00055434" w:rsidRPr="00401515" w:rsidRDefault="00055434" w:rsidP="00065FD6">
            <w:pPr>
              <w:keepNext/>
              <w:adjustRightInd w:val="0"/>
              <w:spacing w:before="60" w:after="60"/>
              <w:rPr>
                <w:b/>
                <w:bCs/>
                <w:color w:val="000000"/>
              </w:rPr>
            </w:pPr>
            <w:r w:rsidRPr="00401515">
              <w:rPr>
                <w:b/>
                <w:bCs/>
                <w:color w:val="000000"/>
              </w:rPr>
              <w:t>GM [95%CI]</w:t>
            </w:r>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CD67609" w14:textId="77777777" w:rsidR="00055434" w:rsidRPr="00401515" w:rsidRDefault="00055434" w:rsidP="00065FD6">
            <w:pPr>
              <w:keepNext/>
              <w:adjustRightInd w:val="0"/>
              <w:spacing w:before="60" w:after="60"/>
              <w:rPr>
                <w:b/>
                <w:bCs/>
                <w:color w:val="000000"/>
              </w:rPr>
            </w:pPr>
            <w:r w:rsidRPr="00401515">
              <w:rPr>
                <w:b/>
                <w:bCs/>
                <w:color w:val="000000"/>
              </w:rPr>
              <w:t>10th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A7AE8F2" w14:textId="77777777" w:rsidR="00055434" w:rsidRPr="00401515" w:rsidRDefault="00055434" w:rsidP="00065FD6">
            <w:pPr>
              <w:keepNext/>
              <w:adjustRightInd w:val="0"/>
              <w:spacing w:before="60" w:after="60"/>
              <w:rPr>
                <w:b/>
                <w:bCs/>
                <w:color w:val="000000"/>
              </w:rPr>
            </w:pPr>
            <w:r w:rsidRPr="00401515">
              <w:rPr>
                <w:b/>
                <w:bCs/>
                <w:color w:val="000000"/>
              </w:rPr>
              <w:t>25th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847762B" w14:textId="77777777" w:rsidR="00055434" w:rsidRPr="00401515" w:rsidRDefault="00055434" w:rsidP="00065FD6">
            <w:pPr>
              <w:keepNext/>
              <w:adjustRightInd w:val="0"/>
              <w:spacing w:before="60" w:after="60"/>
              <w:rPr>
                <w:b/>
                <w:bCs/>
                <w:color w:val="000000"/>
              </w:rPr>
            </w:pPr>
            <w:r w:rsidRPr="00401515">
              <w:rPr>
                <w:b/>
                <w:bCs/>
                <w:color w:val="000000"/>
              </w:rPr>
              <w:t>50th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88CF277" w14:textId="77777777" w:rsidR="00055434" w:rsidRPr="00401515" w:rsidRDefault="00055434" w:rsidP="00065FD6">
            <w:pPr>
              <w:keepNext/>
              <w:adjustRightInd w:val="0"/>
              <w:spacing w:before="60" w:after="60"/>
              <w:rPr>
                <w:b/>
                <w:bCs/>
                <w:color w:val="000000"/>
              </w:rPr>
            </w:pPr>
            <w:r w:rsidRPr="00401515">
              <w:rPr>
                <w:b/>
                <w:bCs/>
                <w:color w:val="000000"/>
              </w:rPr>
              <w:t>75th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23E8478" w14:textId="77777777" w:rsidR="00055434" w:rsidRPr="00401515" w:rsidRDefault="00055434" w:rsidP="00065FD6">
            <w:pPr>
              <w:keepNext/>
              <w:adjustRightInd w:val="0"/>
              <w:spacing w:before="60" w:after="60"/>
              <w:rPr>
                <w:b/>
                <w:bCs/>
                <w:color w:val="000000"/>
              </w:rPr>
            </w:pPr>
            <w:r w:rsidRPr="00401515">
              <w:rPr>
                <w:b/>
                <w:bCs/>
                <w:color w:val="000000"/>
              </w:rPr>
              <w:t>90th %</w:t>
            </w:r>
            <w:proofErr w:type="spellStart"/>
            <w:r w:rsidRPr="00401515">
              <w:rPr>
                <w:b/>
                <w:bCs/>
                <w:color w:val="000000"/>
              </w:rPr>
              <w:t>ile</w:t>
            </w:r>
            <w:proofErr w:type="spellEnd"/>
          </w:p>
        </w:tc>
        <w:tc>
          <w:tcPr>
            <w:tcW w:w="9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36C9CC8" w14:textId="77777777" w:rsidR="00055434" w:rsidRPr="00401515" w:rsidRDefault="00055434" w:rsidP="00065FD6">
            <w:pPr>
              <w:keepNext/>
              <w:adjustRightInd w:val="0"/>
              <w:spacing w:before="60" w:after="60"/>
              <w:rPr>
                <w:b/>
                <w:bCs/>
                <w:color w:val="000000"/>
              </w:rPr>
            </w:pPr>
            <w:r w:rsidRPr="00401515">
              <w:rPr>
                <w:b/>
                <w:bCs/>
                <w:color w:val="000000"/>
              </w:rPr>
              <w:t>95th %</w:t>
            </w:r>
            <w:proofErr w:type="spellStart"/>
            <w:r w:rsidRPr="00401515">
              <w:rPr>
                <w:b/>
                <w:bCs/>
                <w:color w:val="000000"/>
              </w:rPr>
              <w:t>ile</w:t>
            </w:r>
            <w:proofErr w:type="spellEnd"/>
          </w:p>
        </w:tc>
        <w:tc>
          <w:tcPr>
            <w:tcW w:w="1201"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8C74612" w14:textId="77777777" w:rsidR="00055434" w:rsidRPr="00401515" w:rsidRDefault="00055434" w:rsidP="00065FD6">
            <w:pPr>
              <w:keepNext/>
              <w:adjustRightInd w:val="0"/>
              <w:spacing w:before="60" w:after="60"/>
              <w:jc w:val="right"/>
              <w:rPr>
                <w:b/>
                <w:bCs/>
                <w:color w:val="000000"/>
              </w:rPr>
            </w:pPr>
            <w:r w:rsidRPr="00401515">
              <w:rPr>
                <w:b/>
                <w:bCs/>
                <w:color w:val="000000"/>
              </w:rPr>
              <w:t>Sample Size</w:t>
            </w:r>
          </w:p>
        </w:tc>
      </w:tr>
      <w:tr w:rsidR="00055434" w:rsidRPr="00401515" w14:paraId="5B63B855"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101DE345" w14:textId="77777777" w:rsidR="00055434" w:rsidRPr="00401515" w:rsidRDefault="00055434" w:rsidP="00065FD6">
            <w:pPr>
              <w:adjustRightInd w:val="0"/>
              <w:spacing w:before="60" w:after="60"/>
              <w:rPr>
                <w:color w:val="000000"/>
              </w:rPr>
            </w:pPr>
            <w:r w:rsidRPr="00401515">
              <w:rPr>
                <w:color w:val="000000"/>
              </w:rPr>
              <w:t>All</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65A49A6B" w14:textId="77777777" w:rsidR="00055434" w:rsidRPr="00401515" w:rsidRDefault="00055434" w:rsidP="00065FD6">
            <w:pPr>
              <w:adjustRightInd w:val="0"/>
              <w:spacing w:before="60" w:after="60"/>
              <w:rPr>
                <w:color w:val="000000"/>
              </w:rPr>
            </w:pP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76C4D83B" w14:textId="274291E6"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8A835B5" w14:textId="77777777" w:rsidR="00055434" w:rsidRPr="00401515" w:rsidRDefault="00055434" w:rsidP="00065FD6">
            <w:pPr>
              <w:adjustRightInd w:val="0"/>
              <w:spacing w:before="60" w:after="60"/>
              <w:rPr>
                <w:color w:val="000000"/>
              </w:rPr>
            </w:pPr>
            <w:r w:rsidRPr="00401515">
              <w:rPr>
                <w:color w:val="000000"/>
              </w:rPr>
              <w:t>0.13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8215EB5" w14:textId="77777777" w:rsidR="00055434" w:rsidRPr="00401515" w:rsidRDefault="00055434" w:rsidP="00065FD6">
            <w:pPr>
              <w:adjustRightInd w:val="0"/>
              <w:spacing w:before="60" w:after="60"/>
              <w:rPr>
                <w:color w:val="000000"/>
              </w:rPr>
            </w:pPr>
            <w:r w:rsidRPr="00401515">
              <w:rPr>
                <w:color w:val="000000"/>
              </w:rPr>
              <w:t>0.23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33B2CA1" w14:textId="77777777" w:rsidR="00055434" w:rsidRPr="00401515" w:rsidRDefault="00055434" w:rsidP="00065FD6">
            <w:pPr>
              <w:adjustRightInd w:val="0"/>
              <w:spacing w:before="60" w:after="60"/>
              <w:rPr>
                <w:color w:val="000000"/>
              </w:rPr>
            </w:pPr>
            <w:r w:rsidRPr="00401515">
              <w:rPr>
                <w:color w:val="000000"/>
              </w:rPr>
              <w:t>0.79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02C0563" w14:textId="77777777" w:rsidR="00055434" w:rsidRPr="00401515" w:rsidRDefault="00055434" w:rsidP="00065FD6">
            <w:pPr>
              <w:adjustRightInd w:val="0"/>
              <w:spacing w:before="60" w:after="60"/>
              <w:rPr>
                <w:color w:val="000000"/>
              </w:rPr>
            </w:pPr>
            <w:r w:rsidRPr="00401515">
              <w:rPr>
                <w:color w:val="000000"/>
              </w:rPr>
              <w:t>3.03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3D78C31" w14:textId="77777777" w:rsidR="00055434" w:rsidRPr="00401515" w:rsidRDefault="00055434" w:rsidP="00065FD6">
            <w:pPr>
              <w:adjustRightInd w:val="0"/>
              <w:spacing w:before="60" w:after="60"/>
              <w:rPr>
                <w:color w:val="000000"/>
              </w:rPr>
            </w:pPr>
            <w:r w:rsidRPr="00401515">
              <w:rPr>
                <w:color w:val="000000"/>
              </w:rPr>
              <w:t>7.41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F2A1CEC" w14:textId="77777777" w:rsidR="00055434" w:rsidRPr="00401515" w:rsidRDefault="00055434" w:rsidP="00065FD6">
            <w:pPr>
              <w:adjustRightInd w:val="0"/>
              <w:spacing w:before="60" w:after="60"/>
              <w:rPr>
                <w:color w:val="000000"/>
              </w:rPr>
            </w:pPr>
            <w:r w:rsidRPr="00401515">
              <w:rPr>
                <w:color w:val="000000"/>
              </w:rPr>
              <w:t>9.99</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A483DD" w14:textId="77777777" w:rsidR="00055434" w:rsidRPr="00401515" w:rsidRDefault="00055434" w:rsidP="00065FD6">
            <w:pPr>
              <w:adjustRightInd w:val="0"/>
              <w:spacing w:before="60" w:after="60"/>
              <w:jc w:val="right"/>
              <w:rPr>
                <w:color w:val="000000"/>
              </w:rPr>
            </w:pPr>
            <w:r w:rsidRPr="00401515">
              <w:rPr>
                <w:color w:val="000000"/>
              </w:rPr>
              <w:t>1,004</w:t>
            </w:r>
          </w:p>
        </w:tc>
      </w:tr>
      <w:tr w:rsidR="00055434" w:rsidRPr="00401515" w14:paraId="46DE7727"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6BD4ECBB" w14:textId="77777777" w:rsidR="00055434" w:rsidRPr="00401515" w:rsidRDefault="00055434" w:rsidP="00065FD6">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628AC0A3" w14:textId="77777777" w:rsidR="00055434" w:rsidRPr="00401515" w:rsidRDefault="00055434" w:rsidP="00065FD6">
            <w:pPr>
              <w:adjustRightInd w:val="0"/>
              <w:spacing w:before="60" w:after="60"/>
              <w:rPr>
                <w:color w:val="000000"/>
              </w:rPr>
            </w:pPr>
            <w:r w:rsidRPr="00401515">
              <w:rPr>
                <w:color w:val="000000"/>
              </w:rPr>
              <w:t>18 – 39</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000D0D0D" w14:textId="6B0321F1"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FBA6B6A" w14:textId="77777777" w:rsidR="00055434" w:rsidRPr="00401515" w:rsidRDefault="00055434" w:rsidP="00065FD6">
            <w:pPr>
              <w:adjustRightInd w:val="0"/>
              <w:spacing w:before="60" w:after="60"/>
              <w:rPr>
                <w:color w:val="000000"/>
              </w:rPr>
            </w:pPr>
            <w:r w:rsidRPr="00401515">
              <w:rPr>
                <w:color w:val="000000"/>
              </w:rPr>
              <w:t>0.11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DB7841E" w14:textId="77777777" w:rsidR="00055434" w:rsidRPr="00401515" w:rsidRDefault="00055434" w:rsidP="00065FD6">
            <w:pPr>
              <w:adjustRightInd w:val="0"/>
              <w:spacing w:before="60" w:after="60"/>
              <w:rPr>
                <w:color w:val="000000"/>
              </w:rPr>
            </w:pPr>
            <w:r w:rsidRPr="00401515">
              <w:rPr>
                <w:color w:val="000000"/>
              </w:rPr>
              <w:t>0.21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4546CC1" w14:textId="77777777" w:rsidR="00055434" w:rsidRPr="00401515" w:rsidRDefault="00055434" w:rsidP="00065FD6">
            <w:pPr>
              <w:adjustRightInd w:val="0"/>
              <w:spacing w:before="60" w:after="60"/>
              <w:rPr>
                <w:color w:val="000000"/>
              </w:rPr>
            </w:pPr>
            <w:r w:rsidRPr="00401515">
              <w:rPr>
                <w:color w:val="000000"/>
              </w:rPr>
              <w:t>0.59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5DCE122" w14:textId="77777777" w:rsidR="00055434" w:rsidRPr="00401515" w:rsidRDefault="00055434" w:rsidP="00065FD6">
            <w:pPr>
              <w:adjustRightInd w:val="0"/>
              <w:spacing w:before="60" w:after="60"/>
              <w:rPr>
                <w:color w:val="000000"/>
              </w:rPr>
            </w:pPr>
            <w:r w:rsidRPr="00401515">
              <w:rPr>
                <w:color w:val="000000"/>
              </w:rPr>
              <w:t>2.21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5B5B7F4" w14:textId="77777777" w:rsidR="00055434" w:rsidRPr="00401515" w:rsidRDefault="00055434" w:rsidP="00065FD6">
            <w:pPr>
              <w:adjustRightInd w:val="0"/>
              <w:spacing w:before="60" w:after="60"/>
              <w:rPr>
                <w:color w:val="000000"/>
              </w:rPr>
            </w:pPr>
            <w:r w:rsidRPr="00401515">
              <w:rPr>
                <w:color w:val="000000"/>
              </w:rPr>
              <w:t>5.95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75F0D57" w14:textId="77777777" w:rsidR="00055434" w:rsidRPr="00401515" w:rsidRDefault="00055434" w:rsidP="00065FD6">
            <w:pPr>
              <w:adjustRightInd w:val="0"/>
              <w:spacing w:before="60" w:after="60"/>
              <w:rPr>
                <w:color w:val="000000"/>
              </w:rPr>
            </w:pPr>
            <w:r w:rsidRPr="00401515">
              <w:rPr>
                <w:color w:val="000000"/>
              </w:rPr>
              <w:t>8.04</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8FACA0" w14:textId="77777777" w:rsidR="00055434" w:rsidRPr="00401515" w:rsidRDefault="00055434" w:rsidP="00065FD6">
            <w:pPr>
              <w:adjustRightInd w:val="0"/>
              <w:spacing w:before="60" w:after="60"/>
              <w:jc w:val="right"/>
              <w:rPr>
                <w:color w:val="000000"/>
              </w:rPr>
            </w:pPr>
            <w:r w:rsidRPr="00401515">
              <w:rPr>
                <w:color w:val="000000"/>
              </w:rPr>
              <w:t>419</w:t>
            </w:r>
          </w:p>
        </w:tc>
      </w:tr>
      <w:tr w:rsidR="00055434" w:rsidRPr="00401515" w14:paraId="62AFCC5F"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6193C55D" w14:textId="77777777" w:rsidR="00055434" w:rsidRPr="00401515" w:rsidRDefault="00055434" w:rsidP="00065FD6">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7D077140" w14:textId="77777777" w:rsidR="00055434" w:rsidRPr="00401515" w:rsidRDefault="00055434" w:rsidP="00065FD6">
            <w:pPr>
              <w:adjustRightInd w:val="0"/>
              <w:spacing w:before="60" w:after="60"/>
              <w:rPr>
                <w:color w:val="000000"/>
              </w:rPr>
            </w:pPr>
            <w:r w:rsidRPr="00401515">
              <w:rPr>
                <w:color w:val="000000"/>
              </w:rPr>
              <w:t>40 – 59</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219096BE" w14:textId="0AEE00A5"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2F3BF7B" w14:textId="77777777" w:rsidR="00055434" w:rsidRPr="00401515" w:rsidRDefault="00055434" w:rsidP="00065FD6">
            <w:pPr>
              <w:adjustRightInd w:val="0"/>
              <w:spacing w:before="60" w:after="60"/>
              <w:rPr>
                <w:color w:val="000000"/>
              </w:rPr>
            </w:pPr>
            <w:r w:rsidRPr="00401515">
              <w:rPr>
                <w:color w:val="000000"/>
              </w:rPr>
              <w:t>0.14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C059DF7" w14:textId="77777777" w:rsidR="00055434" w:rsidRPr="00401515" w:rsidRDefault="00055434" w:rsidP="00065FD6">
            <w:pPr>
              <w:adjustRightInd w:val="0"/>
              <w:spacing w:before="60" w:after="60"/>
              <w:rPr>
                <w:color w:val="000000"/>
              </w:rPr>
            </w:pPr>
            <w:r w:rsidRPr="00401515">
              <w:rPr>
                <w:color w:val="000000"/>
              </w:rPr>
              <w:t>0.30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E89BCC3" w14:textId="77777777" w:rsidR="00055434" w:rsidRPr="00401515" w:rsidRDefault="00055434" w:rsidP="00065FD6">
            <w:pPr>
              <w:adjustRightInd w:val="0"/>
              <w:spacing w:before="60" w:after="60"/>
              <w:rPr>
                <w:color w:val="000000"/>
              </w:rPr>
            </w:pPr>
            <w:r w:rsidRPr="00401515">
              <w:rPr>
                <w:color w:val="000000"/>
              </w:rPr>
              <w:t>1.25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51B48E0" w14:textId="77777777" w:rsidR="00055434" w:rsidRPr="00401515" w:rsidRDefault="00055434" w:rsidP="00065FD6">
            <w:pPr>
              <w:adjustRightInd w:val="0"/>
              <w:spacing w:before="60" w:after="60"/>
              <w:rPr>
                <w:color w:val="000000"/>
              </w:rPr>
            </w:pPr>
            <w:r w:rsidRPr="00401515">
              <w:rPr>
                <w:color w:val="000000"/>
              </w:rPr>
              <w:t>4.24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2C79085" w14:textId="77777777" w:rsidR="00055434" w:rsidRPr="00401515" w:rsidRDefault="00055434" w:rsidP="00065FD6">
            <w:pPr>
              <w:adjustRightInd w:val="0"/>
              <w:spacing w:before="60" w:after="60"/>
              <w:rPr>
                <w:color w:val="000000"/>
              </w:rPr>
            </w:pPr>
            <w:r w:rsidRPr="00401515">
              <w:rPr>
                <w:color w:val="000000"/>
              </w:rPr>
              <w:t>7.98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CFFFB4E" w14:textId="77777777" w:rsidR="00055434" w:rsidRPr="00401515" w:rsidRDefault="00055434" w:rsidP="00065FD6">
            <w:pPr>
              <w:adjustRightInd w:val="0"/>
              <w:spacing w:before="60" w:after="60"/>
              <w:rPr>
                <w:color w:val="000000"/>
              </w:rPr>
            </w:pPr>
            <w:r w:rsidRPr="00401515">
              <w:rPr>
                <w:color w:val="000000"/>
              </w:rPr>
              <w:t>10.30</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58D9FE" w14:textId="77777777" w:rsidR="00055434" w:rsidRPr="00401515" w:rsidRDefault="00055434" w:rsidP="00065FD6">
            <w:pPr>
              <w:adjustRightInd w:val="0"/>
              <w:spacing w:before="60" w:after="60"/>
              <w:jc w:val="right"/>
              <w:rPr>
                <w:color w:val="000000"/>
              </w:rPr>
            </w:pPr>
            <w:r w:rsidRPr="00401515">
              <w:rPr>
                <w:color w:val="000000"/>
              </w:rPr>
              <w:t>401</w:t>
            </w:r>
          </w:p>
        </w:tc>
      </w:tr>
      <w:tr w:rsidR="00055434" w:rsidRPr="00401515" w14:paraId="40BA8698"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783C3A4A" w14:textId="77777777" w:rsidR="00055434" w:rsidRPr="00401515" w:rsidRDefault="00055434" w:rsidP="00065FD6">
            <w:pPr>
              <w:adjustRightInd w:val="0"/>
              <w:spacing w:before="60" w:after="60"/>
              <w:rPr>
                <w:color w:val="000000"/>
              </w:rPr>
            </w:pPr>
            <w:r w:rsidRPr="00401515">
              <w:rPr>
                <w:color w:val="000000"/>
              </w:rPr>
              <w:t>Age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3995130F" w14:textId="77777777" w:rsidR="00055434" w:rsidRPr="00401515" w:rsidRDefault="00055434" w:rsidP="00065FD6">
            <w:pPr>
              <w:adjustRightInd w:val="0"/>
              <w:spacing w:before="60" w:after="60"/>
              <w:rPr>
                <w:color w:val="000000"/>
              </w:rPr>
            </w:pPr>
            <w:r w:rsidRPr="00401515">
              <w:rPr>
                <w:color w:val="000000"/>
              </w:rPr>
              <w:t>≥60</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2708E8C3" w14:textId="5E226647"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BD6512A" w14:textId="77777777" w:rsidR="00055434" w:rsidRPr="00401515" w:rsidRDefault="00055434" w:rsidP="00065FD6">
            <w:pPr>
              <w:adjustRightInd w:val="0"/>
              <w:spacing w:before="60" w:after="60"/>
              <w:rPr>
                <w:color w:val="000000"/>
              </w:rPr>
            </w:pPr>
            <w:r w:rsidRPr="00401515">
              <w:rPr>
                <w:color w:val="000000"/>
              </w:rPr>
              <w:t>0.18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7F48750" w14:textId="77777777" w:rsidR="00055434" w:rsidRPr="00401515" w:rsidRDefault="00055434" w:rsidP="00065FD6">
            <w:pPr>
              <w:adjustRightInd w:val="0"/>
              <w:spacing w:before="60" w:after="60"/>
              <w:rPr>
                <w:color w:val="000000"/>
              </w:rPr>
            </w:pPr>
            <w:r w:rsidRPr="00401515">
              <w:rPr>
                <w:color w:val="000000"/>
              </w:rPr>
              <w:t>0.23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AF7AD60" w14:textId="77777777" w:rsidR="00055434" w:rsidRPr="00401515" w:rsidRDefault="00055434" w:rsidP="00065FD6">
            <w:pPr>
              <w:adjustRightInd w:val="0"/>
              <w:spacing w:before="60" w:after="60"/>
              <w:rPr>
                <w:color w:val="000000"/>
              </w:rPr>
            </w:pPr>
            <w:r w:rsidRPr="00401515">
              <w:rPr>
                <w:color w:val="000000"/>
              </w:rPr>
              <w:t>1.05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AC32740" w14:textId="77777777" w:rsidR="00055434" w:rsidRPr="00401515" w:rsidRDefault="00055434" w:rsidP="00065FD6">
            <w:pPr>
              <w:adjustRightInd w:val="0"/>
              <w:spacing w:before="60" w:after="60"/>
              <w:rPr>
                <w:color w:val="000000"/>
              </w:rPr>
            </w:pPr>
            <w:r w:rsidRPr="00401515">
              <w:rPr>
                <w:color w:val="000000"/>
              </w:rPr>
              <w:t>4.55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BC580E4" w14:textId="77777777" w:rsidR="00055434" w:rsidRPr="00401515" w:rsidRDefault="00055434" w:rsidP="00065FD6">
            <w:pPr>
              <w:adjustRightInd w:val="0"/>
              <w:spacing w:before="60" w:after="60"/>
              <w:rPr>
                <w:color w:val="000000"/>
              </w:rPr>
            </w:pPr>
            <w:r w:rsidRPr="00401515">
              <w:rPr>
                <w:color w:val="000000"/>
              </w:rPr>
              <w:t>9.95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2EE7EF8" w14:textId="77777777" w:rsidR="00055434" w:rsidRPr="00401515" w:rsidRDefault="00055434" w:rsidP="00065FD6">
            <w:pPr>
              <w:adjustRightInd w:val="0"/>
              <w:spacing w:before="60" w:after="60"/>
              <w:rPr>
                <w:color w:val="000000"/>
              </w:rPr>
            </w:pPr>
            <w:r w:rsidRPr="00401515">
              <w:rPr>
                <w:color w:val="000000"/>
              </w:rPr>
              <w:t>17.76</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89EF9F" w14:textId="77777777" w:rsidR="00055434" w:rsidRPr="00401515" w:rsidRDefault="00055434" w:rsidP="00065FD6">
            <w:pPr>
              <w:adjustRightInd w:val="0"/>
              <w:spacing w:before="60" w:after="60"/>
              <w:jc w:val="right"/>
              <w:rPr>
                <w:color w:val="000000"/>
              </w:rPr>
            </w:pPr>
            <w:r w:rsidRPr="00401515">
              <w:rPr>
                <w:color w:val="000000"/>
              </w:rPr>
              <w:t>184</w:t>
            </w:r>
          </w:p>
        </w:tc>
      </w:tr>
      <w:tr w:rsidR="00055434" w:rsidRPr="00401515" w14:paraId="31B6A7E3"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441C4F0B" w14:textId="77777777" w:rsidR="00055434" w:rsidRPr="00401515" w:rsidRDefault="00055434" w:rsidP="00065FD6">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D111ED5" w14:textId="77777777" w:rsidR="00055434" w:rsidRPr="00401515" w:rsidRDefault="00055434" w:rsidP="00065FD6">
            <w:pPr>
              <w:adjustRightInd w:val="0"/>
              <w:spacing w:before="60" w:after="60"/>
              <w:rPr>
                <w:color w:val="000000"/>
              </w:rPr>
            </w:pPr>
            <w:r w:rsidRPr="00401515">
              <w:rPr>
                <w:color w:val="000000"/>
              </w:rPr>
              <w:t>Healthy Weight</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64D88FF1" w14:textId="69C322FB"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3170417" w14:textId="77777777" w:rsidR="00055434" w:rsidRPr="00401515" w:rsidRDefault="00055434" w:rsidP="00065FD6">
            <w:pPr>
              <w:adjustRightInd w:val="0"/>
              <w:spacing w:before="60" w:after="60"/>
              <w:rPr>
                <w:color w:val="000000"/>
              </w:rPr>
            </w:pPr>
            <w:r w:rsidRPr="00401515">
              <w:rPr>
                <w:color w:val="000000"/>
              </w:rPr>
              <w:t>0.15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504C3A5" w14:textId="77777777" w:rsidR="00055434" w:rsidRPr="00401515" w:rsidRDefault="00055434" w:rsidP="00065FD6">
            <w:pPr>
              <w:adjustRightInd w:val="0"/>
              <w:spacing w:before="60" w:after="60"/>
              <w:rPr>
                <w:color w:val="000000"/>
              </w:rPr>
            </w:pPr>
            <w:r w:rsidRPr="00401515">
              <w:rPr>
                <w:color w:val="000000"/>
              </w:rPr>
              <w:t>0.24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2D249E4" w14:textId="77777777" w:rsidR="00055434" w:rsidRPr="00401515" w:rsidRDefault="00055434" w:rsidP="00065FD6">
            <w:pPr>
              <w:adjustRightInd w:val="0"/>
              <w:spacing w:before="60" w:after="60"/>
              <w:rPr>
                <w:color w:val="000000"/>
              </w:rPr>
            </w:pPr>
            <w:r w:rsidRPr="00401515">
              <w:rPr>
                <w:color w:val="000000"/>
              </w:rPr>
              <w:t>1.36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8696519" w14:textId="77777777" w:rsidR="00055434" w:rsidRPr="00401515" w:rsidRDefault="00055434" w:rsidP="00065FD6">
            <w:pPr>
              <w:adjustRightInd w:val="0"/>
              <w:spacing w:before="60" w:after="60"/>
              <w:rPr>
                <w:color w:val="000000"/>
              </w:rPr>
            </w:pPr>
            <w:r w:rsidRPr="00401515">
              <w:rPr>
                <w:color w:val="000000"/>
              </w:rPr>
              <w:t>4.21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E5875E7" w14:textId="77777777" w:rsidR="00055434" w:rsidRPr="00401515" w:rsidRDefault="00055434" w:rsidP="00065FD6">
            <w:pPr>
              <w:adjustRightInd w:val="0"/>
              <w:spacing w:before="60" w:after="60"/>
              <w:rPr>
                <w:color w:val="000000"/>
              </w:rPr>
            </w:pPr>
            <w:r w:rsidRPr="00401515">
              <w:rPr>
                <w:color w:val="000000"/>
              </w:rPr>
              <w:t>8.33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2B008A5" w14:textId="77777777" w:rsidR="00055434" w:rsidRPr="00401515" w:rsidRDefault="00055434" w:rsidP="00065FD6">
            <w:pPr>
              <w:adjustRightInd w:val="0"/>
              <w:spacing w:before="60" w:after="60"/>
              <w:rPr>
                <w:color w:val="000000"/>
              </w:rPr>
            </w:pPr>
            <w:r w:rsidRPr="00401515">
              <w:rPr>
                <w:color w:val="000000"/>
              </w:rPr>
              <w:t>11.39</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4860CE" w14:textId="77777777" w:rsidR="00055434" w:rsidRPr="00401515" w:rsidRDefault="00055434" w:rsidP="00065FD6">
            <w:pPr>
              <w:adjustRightInd w:val="0"/>
              <w:spacing w:before="60" w:after="60"/>
              <w:jc w:val="right"/>
              <w:rPr>
                <w:color w:val="000000"/>
              </w:rPr>
            </w:pPr>
            <w:r w:rsidRPr="00401515">
              <w:rPr>
                <w:color w:val="000000"/>
              </w:rPr>
              <w:t>323</w:t>
            </w:r>
          </w:p>
        </w:tc>
      </w:tr>
      <w:tr w:rsidR="00055434" w:rsidRPr="00401515" w14:paraId="36CCD07F"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68D31D82" w14:textId="77777777" w:rsidR="00055434" w:rsidRPr="00401515" w:rsidRDefault="00055434" w:rsidP="00065FD6">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61FF825" w14:textId="77777777" w:rsidR="00055434" w:rsidRPr="00401515" w:rsidRDefault="00055434" w:rsidP="00065FD6">
            <w:pPr>
              <w:adjustRightInd w:val="0"/>
              <w:spacing w:before="60" w:after="60"/>
              <w:rPr>
                <w:color w:val="000000"/>
              </w:rPr>
            </w:pPr>
            <w:r w:rsidRPr="00401515">
              <w:rPr>
                <w:color w:val="000000"/>
              </w:rPr>
              <w:t>Overweight/Obese</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137F56D8" w14:textId="0DC0C793"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733672D" w14:textId="77777777" w:rsidR="00055434" w:rsidRPr="00401515" w:rsidRDefault="00055434" w:rsidP="00065FD6">
            <w:pPr>
              <w:adjustRightInd w:val="0"/>
              <w:spacing w:before="60" w:after="60"/>
              <w:rPr>
                <w:color w:val="000000"/>
              </w:rPr>
            </w:pPr>
            <w:r w:rsidRPr="00401515">
              <w:rPr>
                <w:color w:val="000000"/>
              </w:rPr>
              <w:t>0.12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A09E07F" w14:textId="77777777" w:rsidR="00055434" w:rsidRPr="00401515" w:rsidRDefault="00055434" w:rsidP="00065FD6">
            <w:pPr>
              <w:adjustRightInd w:val="0"/>
              <w:spacing w:before="60" w:after="60"/>
              <w:rPr>
                <w:color w:val="000000"/>
              </w:rPr>
            </w:pPr>
            <w:r w:rsidRPr="00401515">
              <w:rPr>
                <w:color w:val="000000"/>
              </w:rPr>
              <w:t>0.22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7F635FC" w14:textId="77777777" w:rsidR="00055434" w:rsidRPr="00401515" w:rsidRDefault="00055434" w:rsidP="00065FD6">
            <w:pPr>
              <w:adjustRightInd w:val="0"/>
              <w:spacing w:before="60" w:after="60"/>
              <w:rPr>
                <w:color w:val="000000"/>
              </w:rPr>
            </w:pPr>
            <w:r w:rsidRPr="00401515">
              <w:rPr>
                <w:color w:val="000000"/>
              </w:rPr>
              <w:t>0.66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B81FA30" w14:textId="77777777" w:rsidR="00055434" w:rsidRPr="00401515" w:rsidRDefault="00055434" w:rsidP="00065FD6">
            <w:pPr>
              <w:adjustRightInd w:val="0"/>
              <w:spacing w:before="60" w:after="60"/>
              <w:rPr>
                <w:color w:val="000000"/>
              </w:rPr>
            </w:pPr>
            <w:r w:rsidRPr="00401515">
              <w:rPr>
                <w:color w:val="000000"/>
              </w:rPr>
              <w:t>2.54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467BDA8" w14:textId="77777777" w:rsidR="00055434" w:rsidRPr="00401515" w:rsidRDefault="00055434" w:rsidP="00065FD6">
            <w:pPr>
              <w:adjustRightInd w:val="0"/>
              <w:spacing w:before="60" w:after="60"/>
              <w:rPr>
                <w:color w:val="000000"/>
              </w:rPr>
            </w:pPr>
            <w:r w:rsidRPr="00401515">
              <w:rPr>
                <w:color w:val="000000"/>
              </w:rPr>
              <w:t>6.96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AE3B509" w14:textId="77777777" w:rsidR="00055434" w:rsidRPr="00401515" w:rsidRDefault="00055434" w:rsidP="00065FD6">
            <w:pPr>
              <w:adjustRightInd w:val="0"/>
              <w:spacing w:before="60" w:after="60"/>
              <w:rPr>
                <w:color w:val="000000"/>
              </w:rPr>
            </w:pPr>
            <w:r w:rsidRPr="00401515">
              <w:rPr>
                <w:color w:val="000000"/>
              </w:rPr>
              <w:t>9.65</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A526C3" w14:textId="77777777" w:rsidR="00055434" w:rsidRPr="00401515" w:rsidRDefault="00055434" w:rsidP="00065FD6">
            <w:pPr>
              <w:adjustRightInd w:val="0"/>
              <w:spacing w:before="60" w:after="60"/>
              <w:jc w:val="right"/>
              <w:rPr>
                <w:color w:val="000000"/>
              </w:rPr>
            </w:pPr>
            <w:r w:rsidRPr="00401515">
              <w:rPr>
                <w:color w:val="000000"/>
              </w:rPr>
              <w:t>640</w:t>
            </w:r>
          </w:p>
        </w:tc>
      </w:tr>
      <w:tr w:rsidR="00055434" w:rsidRPr="00401515" w14:paraId="59DB0D57"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1AFA131C" w14:textId="77777777" w:rsidR="00055434" w:rsidRPr="00401515" w:rsidRDefault="00055434" w:rsidP="00065FD6">
            <w:pPr>
              <w:adjustRightInd w:val="0"/>
              <w:spacing w:before="60" w:after="60"/>
              <w:rPr>
                <w:color w:val="000000"/>
              </w:rPr>
            </w:pPr>
            <w:r w:rsidRPr="00401515">
              <w:rPr>
                <w:color w:val="000000"/>
              </w:rPr>
              <w:t>BMI</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06BBE334" w14:textId="77777777" w:rsidR="00055434" w:rsidRPr="00401515" w:rsidRDefault="00055434" w:rsidP="00065FD6">
            <w:pPr>
              <w:adjustRightInd w:val="0"/>
              <w:spacing w:before="60" w:after="60"/>
              <w:rPr>
                <w:color w:val="000000"/>
              </w:rPr>
            </w:pPr>
            <w:r w:rsidRPr="00401515">
              <w:rPr>
                <w:color w:val="000000"/>
              </w:rPr>
              <w:t>Underweight</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7108070C" w14:textId="06E956AA"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C034A4C" w14:textId="77777777" w:rsidR="00055434" w:rsidRPr="00401515" w:rsidRDefault="00055434" w:rsidP="00065FD6">
            <w:pPr>
              <w:adjustRightInd w:val="0"/>
              <w:spacing w:before="60" w:after="60"/>
              <w:rPr>
                <w:color w:val="000000"/>
              </w:rPr>
            </w:pPr>
            <w:r w:rsidRPr="00401515">
              <w:rPr>
                <w:color w:val="000000"/>
              </w:rPr>
              <w:t>0.21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5463807" w14:textId="77777777" w:rsidR="00055434" w:rsidRPr="00401515" w:rsidRDefault="00055434" w:rsidP="00065FD6">
            <w:pPr>
              <w:adjustRightInd w:val="0"/>
              <w:spacing w:before="60" w:after="60"/>
              <w:rPr>
                <w:color w:val="000000"/>
              </w:rPr>
            </w:pPr>
            <w:r w:rsidRPr="00401515">
              <w:rPr>
                <w:color w:val="000000"/>
              </w:rPr>
              <w:t>0.57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1E02607" w14:textId="77777777" w:rsidR="00055434" w:rsidRPr="00401515" w:rsidRDefault="00055434" w:rsidP="00065FD6">
            <w:pPr>
              <w:adjustRightInd w:val="0"/>
              <w:spacing w:before="60" w:after="60"/>
              <w:rPr>
                <w:color w:val="000000"/>
              </w:rPr>
            </w:pPr>
            <w:r w:rsidRPr="00401515">
              <w:rPr>
                <w:color w:val="000000"/>
              </w:rPr>
              <w:t>4.97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F1FD14E" w14:textId="77777777" w:rsidR="00055434" w:rsidRPr="00401515" w:rsidRDefault="00055434" w:rsidP="00065FD6">
            <w:pPr>
              <w:adjustRightInd w:val="0"/>
              <w:spacing w:before="60" w:after="60"/>
              <w:rPr>
                <w:color w:val="000000"/>
              </w:rPr>
            </w:pPr>
            <w:r w:rsidRPr="00401515">
              <w:rPr>
                <w:color w:val="000000"/>
              </w:rPr>
              <w:t>7.70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2AD736E" w14:textId="77777777" w:rsidR="00055434" w:rsidRPr="00401515" w:rsidRDefault="00055434" w:rsidP="00065FD6">
            <w:pPr>
              <w:adjustRightInd w:val="0"/>
              <w:spacing w:before="60" w:after="60"/>
              <w:rPr>
                <w:color w:val="000000"/>
              </w:rPr>
            </w:pPr>
            <w:r w:rsidRPr="00401515">
              <w:rPr>
                <w:color w:val="000000"/>
              </w:rPr>
              <w:t>7.99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332117D" w14:textId="4F3A6EE1" w:rsidR="00055434" w:rsidRPr="00401515" w:rsidRDefault="009F6369" w:rsidP="00065FD6">
            <w:pPr>
              <w:adjustRightInd w:val="0"/>
              <w:spacing w:before="60" w:after="60"/>
              <w:rPr>
                <w:color w:val="000000"/>
              </w:rPr>
            </w:pPr>
            <w:r w:rsidRPr="00401515">
              <w:rPr>
                <w:color w:val="000000"/>
              </w:rPr>
              <w:t>N/A</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D5A9AD" w14:textId="77777777" w:rsidR="00055434" w:rsidRPr="00401515" w:rsidRDefault="00055434" w:rsidP="00065FD6">
            <w:pPr>
              <w:adjustRightInd w:val="0"/>
              <w:spacing w:before="60" w:after="60"/>
              <w:jc w:val="right"/>
              <w:rPr>
                <w:color w:val="000000"/>
              </w:rPr>
            </w:pPr>
            <w:r w:rsidRPr="00401515">
              <w:rPr>
                <w:color w:val="000000"/>
              </w:rPr>
              <w:t>29</w:t>
            </w:r>
          </w:p>
        </w:tc>
      </w:tr>
      <w:tr w:rsidR="00055434" w:rsidRPr="00401515" w14:paraId="19E2F2FA"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45155B59" w14:textId="77777777" w:rsidR="00055434" w:rsidRPr="00401515" w:rsidRDefault="00055434" w:rsidP="00065FD6">
            <w:pPr>
              <w:adjustRightInd w:val="0"/>
              <w:spacing w:before="60" w:after="60"/>
              <w:rPr>
                <w:color w:val="000000"/>
              </w:rPr>
            </w:pPr>
            <w:r w:rsidRPr="00401515">
              <w:rPr>
                <w:color w:val="000000"/>
              </w:rPr>
              <w:t>PIR</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5F5E2C36" w14:textId="77777777" w:rsidR="00055434" w:rsidRPr="00401515" w:rsidRDefault="00055434" w:rsidP="00065FD6">
            <w:pPr>
              <w:adjustRightInd w:val="0"/>
              <w:spacing w:before="60" w:after="60"/>
              <w:rPr>
                <w:color w:val="000000"/>
              </w:rPr>
            </w:pPr>
            <w:r w:rsidRPr="00401515">
              <w:rPr>
                <w:color w:val="000000"/>
              </w:rPr>
              <w:t>No</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3AD30D60" w14:textId="068E976A"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DB4FC15" w14:textId="77777777" w:rsidR="00055434" w:rsidRPr="00401515" w:rsidRDefault="00055434" w:rsidP="00065FD6">
            <w:pPr>
              <w:adjustRightInd w:val="0"/>
              <w:spacing w:before="60" w:after="60"/>
              <w:rPr>
                <w:color w:val="000000"/>
              </w:rPr>
            </w:pPr>
            <w:r w:rsidRPr="00401515">
              <w:rPr>
                <w:color w:val="000000"/>
              </w:rPr>
              <w:t>0.12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3379429" w14:textId="77777777" w:rsidR="00055434" w:rsidRPr="00401515" w:rsidRDefault="00055434" w:rsidP="00065FD6">
            <w:pPr>
              <w:adjustRightInd w:val="0"/>
              <w:spacing w:before="60" w:after="60"/>
              <w:rPr>
                <w:color w:val="000000"/>
              </w:rPr>
            </w:pPr>
            <w:r w:rsidRPr="00401515">
              <w:rPr>
                <w:color w:val="000000"/>
              </w:rPr>
              <w:t>0.20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63BBD43" w14:textId="77777777" w:rsidR="00055434" w:rsidRPr="00401515" w:rsidRDefault="00055434" w:rsidP="00065FD6">
            <w:pPr>
              <w:adjustRightInd w:val="0"/>
              <w:spacing w:before="60" w:after="60"/>
              <w:rPr>
                <w:color w:val="000000"/>
              </w:rPr>
            </w:pPr>
            <w:r w:rsidRPr="00401515">
              <w:rPr>
                <w:color w:val="000000"/>
              </w:rPr>
              <w:t>0.64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CD8A168" w14:textId="77777777" w:rsidR="00055434" w:rsidRPr="00401515" w:rsidRDefault="00055434" w:rsidP="00065FD6">
            <w:pPr>
              <w:adjustRightInd w:val="0"/>
              <w:spacing w:before="60" w:after="60"/>
              <w:rPr>
                <w:color w:val="000000"/>
              </w:rPr>
            </w:pPr>
            <w:r w:rsidRPr="00401515">
              <w:rPr>
                <w:color w:val="000000"/>
              </w:rPr>
              <w:t>2.45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DB50C8A" w14:textId="77777777" w:rsidR="00055434" w:rsidRPr="00401515" w:rsidRDefault="00055434" w:rsidP="00065FD6">
            <w:pPr>
              <w:adjustRightInd w:val="0"/>
              <w:spacing w:before="60" w:after="60"/>
              <w:rPr>
                <w:color w:val="000000"/>
              </w:rPr>
            </w:pPr>
            <w:r w:rsidRPr="00401515">
              <w:rPr>
                <w:color w:val="000000"/>
              </w:rPr>
              <w:t>6.39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5AEEA6B" w14:textId="77777777" w:rsidR="00055434" w:rsidRPr="00401515" w:rsidRDefault="00055434" w:rsidP="00065FD6">
            <w:pPr>
              <w:adjustRightInd w:val="0"/>
              <w:spacing w:before="60" w:after="60"/>
              <w:rPr>
                <w:color w:val="000000"/>
              </w:rPr>
            </w:pPr>
            <w:r w:rsidRPr="00401515">
              <w:rPr>
                <w:color w:val="000000"/>
              </w:rPr>
              <w:t>9.37</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63CE03" w14:textId="77777777" w:rsidR="00055434" w:rsidRPr="00401515" w:rsidRDefault="00055434" w:rsidP="00065FD6">
            <w:pPr>
              <w:adjustRightInd w:val="0"/>
              <w:spacing w:before="60" w:after="60"/>
              <w:jc w:val="right"/>
              <w:rPr>
                <w:color w:val="000000"/>
              </w:rPr>
            </w:pPr>
            <w:r w:rsidRPr="00401515">
              <w:rPr>
                <w:color w:val="000000"/>
              </w:rPr>
              <w:t>584</w:t>
            </w:r>
          </w:p>
        </w:tc>
      </w:tr>
      <w:tr w:rsidR="00055434" w:rsidRPr="00401515" w14:paraId="5EBBD765"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5F7DF5B7" w14:textId="77777777" w:rsidR="00055434" w:rsidRPr="00401515" w:rsidRDefault="00055434" w:rsidP="00065FD6">
            <w:pPr>
              <w:adjustRightInd w:val="0"/>
              <w:spacing w:before="60" w:after="60"/>
              <w:rPr>
                <w:color w:val="000000"/>
              </w:rPr>
            </w:pPr>
            <w:r w:rsidRPr="00401515">
              <w:rPr>
                <w:color w:val="000000"/>
              </w:rPr>
              <w:t>PIR</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7E485879" w14:textId="77777777" w:rsidR="00055434" w:rsidRPr="00401515" w:rsidRDefault="00055434" w:rsidP="00065FD6">
            <w:pPr>
              <w:adjustRightInd w:val="0"/>
              <w:spacing w:before="60" w:after="60"/>
              <w:rPr>
                <w:color w:val="000000"/>
              </w:rPr>
            </w:pPr>
            <w:r w:rsidRPr="00401515">
              <w:rPr>
                <w:color w:val="000000"/>
              </w:rPr>
              <w:t>Yes</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387728D9" w14:textId="6DC14C9F"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E66CF4B" w14:textId="77777777" w:rsidR="00055434" w:rsidRPr="00401515" w:rsidRDefault="00055434" w:rsidP="00065FD6">
            <w:pPr>
              <w:adjustRightInd w:val="0"/>
              <w:spacing w:before="60" w:after="60"/>
              <w:rPr>
                <w:color w:val="000000"/>
              </w:rPr>
            </w:pPr>
            <w:r w:rsidRPr="00401515">
              <w:rPr>
                <w:color w:val="000000"/>
              </w:rPr>
              <w:t>0.18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92B4E81" w14:textId="77777777" w:rsidR="00055434" w:rsidRPr="00401515" w:rsidRDefault="00055434" w:rsidP="00065FD6">
            <w:pPr>
              <w:adjustRightInd w:val="0"/>
              <w:spacing w:before="60" w:after="60"/>
              <w:rPr>
                <w:color w:val="000000"/>
              </w:rPr>
            </w:pPr>
            <w:r w:rsidRPr="00401515">
              <w:rPr>
                <w:color w:val="000000"/>
              </w:rPr>
              <w:t>0.37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D6F9808" w14:textId="77777777" w:rsidR="00055434" w:rsidRPr="00401515" w:rsidRDefault="00055434" w:rsidP="00065FD6">
            <w:pPr>
              <w:adjustRightInd w:val="0"/>
              <w:spacing w:before="60" w:after="60"/>
              <w:rPr>
                <w:color w:val="000000"/>
              </w:rPr>
            </w:pPr>
            <w:r w:rsidRPr="00401515">
              <w:rPr>
                <w:color w:val="000000"/>
              </w:rPr>
              <w:t>1.49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D285DB2" w14:textId="77777777" w:rsidR="00055434" w:rsidRPr="00401515" w:rsidRDefault="00055434" w:rsidP="00065FD6">
            <w:pPr>
              <w:adjustRightInd w:val="0"/>
              <w:spacing w:before="60" w:after="60"/>
              <w:rPr>
                <w:color w:val="000000"/>
              </w:rPr>
            </w:pPr>
            <w:r w:rsidRPr="00401515">
              <w:rPr>
                <w:color w:val="000000"/>
              </w:rPr>
              <w:t>5.21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09F59FE" w14:textId="77777777" w:rsidR="00055434" w:rsidRPr="00401515" w:rsidRDefault="00055434" w:rsidP="00065FD6">
            <w:pPr>
              <w:adjustRightInd w:val="0"/>
              <w:spacing w:before="60" w:after="60"/>
              <w:rPr>
                <w:color w:val="000000"/>
              </w:rPr>
            </w:pPr>
            <w:r w:rsidRPr="00401515">
              <w:rPr>
                <w:color w:val="000000"/>
              </w:rPr>
              <w:t>9.56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C4C4781" w14:textId="77777777" w:rsidR="00055434" w:rsidRPr="00401515" w:rsidRDefault="00055434" w:rsidP="00065FD6">
            <w:pPr>
              <w:adjustRightInd w:val="0"/>
              <w:spacing w:before="60" w:after="60"/>
              <w:rPr>
                <w:color w:val="000000"/>
              </w:rPr>
            </w:pPr>
            <w:r w:rsidRPr="00401515">
              <w:rPr>
                <w:color w:val="000000"/>
              </w:rPr>
              <w:t>11.47</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5FFEB9" w14:textId="77777777" w:rsidR="00055434" w:rsidRPr="00401515" w:rsidRDefault="00055434" w:rsidP="00065FD6">
            <w:pPr>
              <w:adjustRightInd w:val="0"/>
              <w:spacing w:before="60" w:after="60"/>
              <w:jc w:val="right"/>
              <w:rPr>
                <w:color w:val="000000"/>
              </w:rPr>
            </w:pPr>
            <w:r w:rsidRPr="00401515">
              <w:rPr>
                <w:color w:val="000000"/>
              </w:rPr>
              <w:t>346</w:t>
            </w:r>
          </w:p>
        </w:tc>
      </w:tr>
      <w:tr w:rsidR="00055434" w:rsidRPr="00401515" w14:paraId="2C8AB781"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1876B9B4" w14:textId="77777777" w:rsidR="00055434" w:rsidRPr="00401515" w:rsidRDefault="00055434" w:rsidP="00065FD6">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1DBEF460" w14:textId="77777777" w:rsidR="00055434" w:rsidRPr="00401515" w:rsidRDefault="00055434" w:rsidP="00065FD6">
            <w:pPr>
              <w:adjustRightInd w:val="0"/>
              <w:spacing w:before="60" w:after="60"/>
              <w:rPr>
                <w:color w:val="000000"/>
              </w:rPr>
            </w:pPr>
            <w:r w:rsidRPr="00401515">
              <w:rPr>
                <w:color w:val="000000"/>
              </w:rPr>
              <w:t>Mexican American</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41B1D361" w14:textId="095FC0A3"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E06F52C" w14:textId="77777777" w:rsidR="00055434" w:rsidRPr="00401515" w:rsidRDefault="00055434" w:rsidP="00065FD6">
            <w:pPr>
              <w:adjustRightInd w:val="0"/>
              <w:spacing w:before="60" w:after="60"/>
              <w:rPr>
                <w:color w:val="000000"/>
              </w:rPr>
            </w:pPr>
            <w:r w:rsidRPr="00401515">
              <w:rPr>
                <w:color w:val="000000"/>
              </w:rPr>
              <w:t>0.11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BF87705" w14:textId="77777777" w:rsidR="00055434" w:rsidRPr="00401515" w:rsidRDefault="00055434" w:rsidP="00065FD6">
            <w:pPr>
              <w:adjustRightInd w:val="0"/>
              <w:spacing w:before="60" w:after="60"/>
              <w:rPr>
                <w:color w:val="000000"/>
              </w:rPr>
            </w:pPr>
            <w:r w:rsidRPr="00401515">
              <w:rPr>
                <w:color w:val="000000"/>
              </w:rPr>
              <w:t>0.15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5FAD316" w14:textId="77777777" w:rsidR="00055434" w:rsidRPr="00401515" w:rsidRDefault="00055434" w:rsidP="00065FD6">
            <w:pPr>
              <w:adjustRightInd w:val="0"/>
              <w:spacing w:before="60" w:after="60"/>
              <w:rPr>
                <w:color w:val="000000"/>
              </w:rPr>
            </w:pPr>
            <w:r w:rsidRPr="00401515">
              <w:rPr>
                <w:color w:val="000000"/>
              </w:rPr>
              <w:t>0.21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280A56B" w14:textId="77777777" w:rsidR="00055434" w:rsidRPr="00401515" w:rsidRDefault="00055434" w:rsidP="00065FD6">
            <w:pPr>
              <w:adjustRightInd w:val="0"/>
              <w:spacing w:before="60" w:after="60"/>
              <w:rPr>
                <w:color w:val="000000"/>
              </w:rPr>
            </w:pPr>
            <w:r w:rsidRPr="00401515">
              <w:rPr>
                <w:color w:val="000000"/>
              </w:rPr>
              <w:t>0.59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C56DD14" w14:textId="77777777" w:rsidR="00055434" w:rsidRPr="00401515" w:rsidRDefault="00055434" w:rsidP="00065FD6">
            <w:pPr>
              <w:adjustRightInd w:val="0"/>
              <w:spacing w:before="60" w:after="60"/>
              <w:rPr>
                <w:color w:val="000000"/>
              </w:rPr>
            </w:pPr>
            <w:r w:rsidRPr="00401515">
              <w:rPr>
                <w:color w:val="000000"/>
              </w:rPr>
              <w:t>3.45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B6C0EA0" w14:textId="77777777" w:rsidR="00055434" w:rsidRPr="00401515" w:rsidRDefault="00055434" w:rsidP="00065FD6">
            <w:pPr>
              <w:adjustRightInd w:val="0"/>
              <w:spacing w:before="60" w:after="60"/>
              <w:rPr>
                <w:color w:val="000000"/>
              </w:rPr>
            </w:pPr>
            <w:r w:rsidRPr="00401515">
              <w:rPr>
                <w:color w:val="000000"/>
              </w:rPr>
              <w:t>4.79</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79D91C" w14:textId="77777777" w:rsidR="00055434" w:rsidRPr="00401515" w:rsidRDefault="00055434" w:rsidP="00065FD6">
            <w:pPr>
              <w:adjustRightInd w:val="0"/>
              <w:spacing w:before="60" w:after="60"/>
              <w:jc w:val="right"/>
              <w:rPr>
                <w:color w:val="000000"/>
              </w:rPr>
            </w:pPr>
            <w:r w:rsidRPr="00401515">
              <w:rPr>
                <w:color w:val="000000"/>
              </w:rPr>
              <w:t>70</w:t>
            </w:r>
          </w:p>
        </w:tc>
      </w:tr>
      <w:tr w:rsidR="00055434" w:rsidRPr="00401515" w14:paraId="62D6CE9F"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22DA47CE" w14:textId="77777777" w:rsidR="00055434" w:rsidRPr="00401515" w:rsidRDefault="00055434" w:rsidP="00065FD6">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2B016854" w14:textId="77777777" w:rsidR="00055434" w:rsidRPr="00401515" w:rsidRDefault="00055434" w:rsidP="00065FD6">
            <w:pPr>
              <w:adjustRightInd w:val="0"/>
              <w:spacing w:before="60" w:after="60"/>
              <w:rPr>
                <w:color w:val="000000"/>
              </w:rPr>
            </w:pPr>
            <w:r w:rsidRPr="00401515">
              <w:rPr>
                <w:color w:val="000000"/>
              </w:rPr>
              <w:t>Non-Hispanic Black</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700C24B9" w14:textId="331A66F9"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CE9AE9E" w14:textId="77777777" w:rsidR="00055434" w:rsidRPr="00401515" w:rsidRDefault="00055434" w:rsidP="00065FD6">
            <w:pPr>
              <w:adjustRightInd w:val="0"/>
              <w:spacing w:before="60" w:after="60"/>
              <w:rPr>
                <w:color w:val="000000"/>
              </w:rPr>
            </w:pPr>
            <w:r w:rsidRPr="00401515">
              <w:rPr>
                <w:color w:val="000000"/>
              </w:rPr>
              <w:t>0.12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BDC9BF8" w14:textId="77777777" w:rsidR="00055434" w:rsidRPr="00401515" w:rsidRDefault="00055434" w:rsidP="00065FD6">
            <w:pPr>
              <w:adjustRightInd w:val="0"/>
              <w:spacing w:before="60" w:after="60"/>
              <w:rPr>
                <w:color w:val="000000"/>
              </w:rPr>
            </w:pPr>
            <w:r w:rsidRPr="00401515">
              <w:rPr>
                <w:color w:val="000000"/>
              </w:rPr>
              <w:t>0.28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9585840" w14:textId="77777777" w:rsidR="00055434" w:rsidRPr="00401515" w:rsidRDefault="00055434" w:rsidP="00065FD6">
            <w:pPr>
              <w:adjustRightInd w:val="0"/>
              <w:spacing w:before="60" w:after="60"/>
              <w:rPr>
                <w:color w:val="000000"/>
              </w:rPr>
            </w:pPr>
            <w:r w:rsidRPr="00401515">
              <w:rPr>
                <w:color w:val="000000"/>
              </w:rPr>
              <w:t>1.19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7D3E834F" w14:textId="77777777" w:rsidR="00055434" w:rsidRPr="00401515" w:rsidRDefault="00055434" w:rsidP="00065FD6">
            <w:pPr>
              <w:adjustRightInd w:val="0"/>
              <w:spacing w:before="60" w:after="60"/>
              <w:rPr>
                <w:color w:val="000000"/>
              </w:rPr>
            </w:pPr>
            <w:r w:rsidRPr="00401515">
              <w:rPr>
                <w:color w:val="000000"/>
              </w:rPr>
              <w:t>2.98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2407BC3" w14:textId="77777777" w:rsidR="00055434" w:rsidRPr="00401515" w:rsidRDefault="00055434" w:rsidP="00065FD6">
            <w:pPr>
              <w:adjustRightInd w:val="0"/>
              <w:spacing w:before="60" w:after="60"/>
              <w:rPr>
                <w:color w:val="000000"/>
              </w:rPr>
            </w:pPr>
            <w:r w:rsidRPr="00401515">
              <w:rPr>
                <w:color w:val="000000"/>
              </w:rPr>
              <w:t>6.48</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ED8D0AA" w14:textId="77777777" w:rsidR="00055434" w:rsidRPr="00401515" w:rsidRDefault="00055434" w:rsidP="00065FD6">
            <w:pPr>
              <w:adjustRightInd w:val="0"/>
              <w:spacing w:before="60" w:after="60"/>
              <w:rPr>
                <w:color w:val="000000"/>
              </w:rPr>
            </w:pPr>
            <w:r w:rsidRPr="00401515">
              <w:rPr>
                <w:color w:val="000000"/>
              </w:rPr>
              <w:t>9.30</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C9E805" w14:textId="77777777" w:rsidR="00055434" w:rsidRPr="00401515" w:rsidRDefault="00055434" w:rsidP="00065FD6">
            <w:pPr>
              <w:adjustRightInd w:val="0"/>
              <w:spacing w:before="60" w:after="60"/>
              <w:jc w:val="right"/>
              <w:rPr>
                <w:color w:val="000000"/>
              </w:rPr>
            </w:pPr>
            <w:r w:rsidRPr="00401515">
              <w:rPr>
                <w:color w:val="000000"/>
              </w:rPr>
              <w:t>251</w:t>
            </w:r>
          </w:p>
        </w:tc>
      </w:tr>
      <w:tr w:rsidR="00055434" w:rsidRPr="00401515" w14:paraId="2247AD43"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4F9FB18D" w14:textId="77777777" w:rsidR="00055434" w:rsidRPr="00401515" w:rsidRDefault="00055434" w:rsidP="00065FD6">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3C6B5061" w14:textId="77777777" w:rsidR="00055434" w:rsidRPr="00401515" w:rsidRDefault="00055434" w:rsidP="00065FD6">
            <w:pPr>
              <w:adjustRightInd w:val="0"/>
              <w:spacing w:before="60" w:after="60"/>
              <w:rPr>
                <w:color w:val="000000"/>
              </w:rPr>
            </w:pPr>
            <w:r w:rsidRPr="00401515">
              <w:rPr>
                <w:color w:val="000000"/>
              </w:rPr>
              <w:t>Non-Hispanic White</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7BF77120" w14:textId="35D18E38"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EBBDB4C" w14:textId="77777777" w:rsidR="00055434" w:rsidRPr="00401515" w:rsidRDefault="00055434" w:rsidP="00065FD6">
            <w:pPr>
              <w:adjustRightInd w:val="0"/>
              <w:spacing w:before="60" w:after="60"/>
              <w:rPr>
                <w:color w:val="000000"/>
              </w:rPr>
            </w:pPr>
            <w:r w:rsidRPr="00401515">
              <w:rPr>
                <w:color w:val="000000"/>
              </w:rPr>
              <w:t>0.15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7D8EA6B" w14:textId="77777777" w:rsidR="00055434" w:rsidRPr="00401515" w:rsidRDefault="00055434" w:rsidP="00065FD6">
            <w:pPr>
              <w:adjustRightInd w:val="0"/>
              <w:spacing w:before="60" w:after="60"/>
              <w:rPr>
                <w:color w:val="000000"/>
              </w:rPr>
            </w:pPr>
            <w:r w:rsidRPr="00401515">
              <w:rPr>
                <w:color w:val="000000"/>
              </w:rPr>
              <w:t>0.24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7A5F5B9" w14:textId="77777777" w:rsidR="00055434" w:rsidRPr="00401515" w:rsidRDefault="00055434" w:rsidP="00065FD6">
            <w:pPr>
              <w:adjustRightInd w:val="0"/>
              <w:spacing w:before="60" w:after="60"/>
              <w:rPr>
                <w:color w:val="000000"/>
              </w:rPr>
            </w:pPr>
            <w:r w:rsidRPr="00401515">
              <w:rPr>
                <w:color w:val="000000"/>
              </w:rPr>
              <w:t>0.79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4D06E70" w14:textId="77777777" w:rsidR="00055434" w:rsidRPr="00401515" w:rsidRDefault="00055434" w:rsidP="00065FD6">
            <w:pPr>
              <w:adjustRightInd w:val="0"/>
              <w:spacing w:before="60" w:after="60"/>
              <w:rPr>
                <w:color w:val="000000"/>
              </w:rPr>
            </w:pPr>
            <w:r w:rsidRPr="00401515">
              <w:rPr>
                <w:color w:val="000000"/>
              </w:rPr>
              <w:t>3.50</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B2962F4" w14:textId="77777777" w:rsidR="00055434" w:rsidRPr="00401515" w:rsidRDefault="00055434" w:rsidP="00065FD6">
            <w:pPr>
              <w:adjustRightInd w:val="0"/>
              <w:spacing w:before="60" w:after="60"/>
              <w:rPr>
                <w:color w:val="000000"/>
              </w:rPr>
            </w:pPr>
            <w:r w:rsidRPr="00401515">
              <w:rPr>
                <w:color w:val="000000"/>
              </w:rPr>
              <w:t>8.05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DC60130" w14:textId="77777777" w:rsidR="00055434" w:rsidRPr="00401515" w:rsidRDefault="00055434" w:rsidP="00065FD6">
            <w:pPr>
              <w:adjustRightInd w:val="0"/>
              <w:spacing w:before="60" w:after="60"/>
              <w:rPr>
                <w:color w:val="000000"/>
              </w:rPr>
            </w:pPr>
            <w:r w:rsidRPr="00401515">
              <w:rPr>
                <w:color w:val="000000"/>
              </w:rPr>
              <w:t>11.51</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283A0D" w14:textId="77777777" w:rsidR="00055434" w:rsidRPr="00401515" w:rsidRDefault="00055434" w:rsidP="00065FD6">
            <w:pPr>
              <w:adjustRightInd w:val="0"/>
              <w:spacing w:before="60" w:after="60"/>
              <w:jc w:val="right"/>
              <w:rPr>
                <w:color w:val="000000"/>
              </w:rPr>
            </w:pPr>
            <w:r w:rsidRPr="00401515">
              <w:rPr>
                <w:color w:val="000000"/>
              </w:rPr>
              <w:t>526</w:t>
            </w:r>
          </w:p>
        </w:tc>
      </w:tr>
      <w:tr w:rsidR="00055434" w:rsidRPr="00401515" w14:paraId="7F829833"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3C067E44" w14:textId="77777777" w:rsidR="00055434" w:rsidRPr="00401515" w:rsidRDefault="00055434" w:rsidP="00065FD6">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6026D629" w14:textId="77777777" w:rsidR="00055434" w:rsidRPr="00401515" w:rsidRDefault="00055434" w:rsidP="00065FD6">
            <w:pPr>
              <w:adjustRightInd w:val="0"/>
              <w:spacing w:before="60" w:after="60"/>
              <w:rPr>
                <w:color w:val="000000"/>
              </w:rPr>
            </w:pPr>
            <w:r w:rsidRPr="00401515">
              <w:rPr>
                <w:color w:val="000000"/>
              </w:rPr>
              <w:t>Other Hispanic</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4CF2CC78" w14:textId="62C764AC"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99AEED0" w14:textId="77777777" w:rsidR="00055434" w:rsidRPr="00401515" w:rsidRDefault="00055434" w:rsidP="00065FD6">
            <w:pPr>
              <w:adjustRightInd w:val="0"/>
              <w:spacing w:before="60" w:after="60"/>
              <w:rPr>
                <w:color w:val="000000"/>
              </w:rPr>
            </w:pPr>
            <w:r w:rsidRPr="00401515">
              <w:rPr>
                <w:color w:val="000000"/>
              </w:rPr>
              <w:t>0.07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7C86585" w14:textId="77777777" w:rsidR="00055434" w:rsidRPr="00401515" w:rsidRDefault="00055434" w:rsidP="00065FD6">
            <w:pPr>
              <w:adjustRightInd w:val="0"/>
              <w:spacing w:before="60" w:after="60"/>
              <w:rPr>
                <w:color w:val="000000"/>
              </w:rPr>
            </w:pPr>
            <w:r w:rsidRPr="00401515">
              <w:rPr>
                <w:color w:val="000000"/>
              </w:rPr>
              <w:t>0.37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DEB95DB" w14:textId="77777777" w:rsidR="00055434" w:rsidRPr="00401515" w:rsidRDefault="00055434" w:rsidP="00065FD6">
            <w:pPr>
              <w:adjustRightInd w:val="0"/>
              <w:spacing w:before="60" w:after="60"/>
              <w:rPr>
                <w:color w:val="000000"/>
              </w:rPr>
            </w:pPr>
            <w:r w:rsidRPr="00401515">
              <w:rPr>
                <w:color w:val="000000"/>
              </w:rPr>
              <w:t>1.26</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1E0B3AC" w14:textId="77777777" w:rsidR="00055434" w:rsidRPr="00401515" w:rsidRDefault="00055434" w:rsidP="00065FD6">
            <w:pPr>
              <w:adjustRightInd w:val="0"/>
              <w:spacing w:before="60" w:after="60"/>
              <w:rPr>
                <w:color w:val="000000"/>
              </w:rPr>
            </w:pPr>
            <w:r w:rsidRPr="00401515">
              <w:rPr>
                <w:color w:val="000000"/>
              </w:rPr>
              <w:t>3.22</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459A167" w14:textId="77777777" w:rsidR="00055434" w:rsidRPr="00401515" w:rsidRDefault="00055434" w:rsidP="00065FD6">
            <w:pPr>
              <w:adjustRightInd w:val="0"/>
              <w:spacing w:before="60" w:after="60"/>
              <w:rPr>
                <w:color w:val="000000"/>
              </w:rPr>
            </w:pPr>
            <w:r w:rsidRPr="00401515">
              <w:rPr>
                <w:color w:val="000000"/>
              </w:rPr>
              <w:t>7.77</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D91D70B" w14:textId="77777777" w:rsidR="00055434" w:rsidRPr="00401515" w:rsidRDefault="00055434" w:rsidP="00065FD6">
            <w:pPr>
              <w:adjustRightInd w:val="0"/>
              <w:spacing w:before="60" w:after="60"/>
              <w:rPr>
                <w:color w:val="000000"/>
              </w:rPr>
            </w:pPr>
            <w:r w:rsidRPr="00401515">
              <w:rPr>
                <w:color w:val="000000"/>
              </w:rPr>
              <w:t>9.47</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F386AF" w14:textId="77777777" w:rsidR="00055434" w:rsidRPr="00401515" w:rsidRDefault="00055434" w:rsidP="00065FD6">
            <w:pPr>
              <w:adjustRightInd w:val="0"/>
              <w:spacing w:before="60" w:after="60"/>
              <w:jc w:val="right"/>
              <w:rPr>
                <w:color w:val="000000"/>
              </w:rPr>
            </w:pPr>
            <w:r w:rsidRPr="00401515">
              <w:rPr>
                <w:color w:val="000000"/>
              </w:rPr>
              <w:t>59</w:t>
            </w:r>
          </w:p>
        </w:tc>
      </w:tr>
      <w:tr w:rsidR="00055434" w:rsidRPr="00401515" w14:paraId="19E93942"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71182B3C" w14:textId="77777777" w:rsidR="00055434" w:rsidRPr="00401515" w:rsidRDefault="00055434" w:rsidP="00065FD6">
            <w:pPr>
              <w:adjustRightInd w:val="0"/>
              <w:spacing w:before="60" w:after="60"/>
              <w:rPr>
                <w:color w:val="000000"/>
              </w:rPr>
            </w:pPr>
            <w:r w:rsidRPr="00401515">
              <w:rPr>
                <w:color w:val="000000"/>
              </w:rPr>
              <w:t>Race</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473F8326" w14:textId="77777777" w:rsidR="00055434" w:rsidRPr="00401515" w:rsidRDefault="00055434" w:rsidP="00065FD6">
            <w:pPr>
              <w:adjustRightInd w:val="0"/>
              <w:spacing w:before="60" w:after="60"/>
              <w:rPr>
                <w:color w:val="000000"/>
              </w:rPr>
            </w:pPr>
            <w:r w:rsidRPr="00401515">
              <w:rPr>
                <w:color w:val="000000"/>
              </w:rPr>
              <w:t>Other/Multi-Racial</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6A972770" w14:textId="1416B9A3"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3D0DD56" w14:textId="77777777" w:rsidR="00055434" w:rsidRPr="00401515" w:rsidRDefault="00055434" w:rsidP="00065FD6">
            <w:pPr>
              <w:adjustRightInd w:val="0"/>
              <w:spacing w:before="60" w:after="60"/>
              <w:rPr>
                <w:color w:val="000000"/>
              </w:rPr>
            </w:pPr>
            <w:r w:rsidRPr="00401515">
              <w:rPr>
                <w:color w:val="000000"/>
              </w:rPr>
              <w:t>0.11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EC80A6D" w14:textId="77777777" w:rsidR="00055434" w:rsidRPr="00401515" w:rsidRDefault="00055434" w:rsidP="00065FD6">
            <w:pPr>
              <w:adjustRightInd w:val="0"/>
              <w:spacing w:before="60" w:after="60"/>
              <w:rPr>
                <w:color w:val="000000"/>
              </w:rPr>
            </w:pPr>
            <w:r w:rsidRPr="00401515">
              <w:rPr>
                <w:color w:val="000000"/>
              </w:rPr>
              <w:t>0.14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B44DDCD" w14:textId="77777777" w:rsidR="00055434" w:rsidRPr="00401515" w:rsidRDefault="00055434" w:rsidP="00065FD6">
            <w:pPr>
              <w:adjustRightInd w:val="0"/>
              <w:spacing w:before="60" w:after="60"/>
              <w:rPr>
                <w:color w:val="000000"/>
              </w:rPr>
            </w:pPr>
            <w:r w:rsidRPr="00401515">
              <w:rPr>
                <w:color w:val="000000"/>
              </w:rPr>
              <w:t>0.49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3BFDD205" w14:textId="77777777" w:rsidR="00055434" w:rsidRPr="00401515" w:rsidRDefault="00055434" w:rsidP="00065FD6">
            <w:pPr>
              <w:adjustRightInd w:val="0"/>
              <w:spacing w:before="60" w:after="60"/>
              <w:rPr>
                <w:color w:val="000000"/>
              </w:rPr>
            </w:pPr>
            <w:r w:rsidRPr="00401515">
              <w:rPr>
                <w:color w:val="000000"/>
              </w:rPr>
              <w:t>2.34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136EEDC6" w14:textId="77777777" w:rsidR="00055434" w:rsidRPr="00401515" w:rsidRDefault="00055434" w:rsidP="00065FD6">
            <w:pPr>
              <w:adjustRightInd w:val="0"/>
              <w:spacing w:before="60" w:after="60"/>
              <w:rPr>
                <w:color w:val="000000"/>
              </w:rPr>
            </w:pPr>
            <w:r w:rsidRPr="00401515">
              <w:rPr>
                <w:color w:val="000000"/>
              </w:rPr>
              <w:t>3.85</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1A4843F" w14:textId="77777777" w:rsidR="00055434" w:rsidRPr="00401515" w:rsidRDefault="00055434" w:rsidP="00065FD6">
            <w:pPr>
              <w:adjustRightInd w:val="0"/>
              <w:spacing w:before="60" w:after="60"/>
              <w:rPr>
                <w:color w:val="000000"/>
              </w:rPr>
            </w:pPr>
            <w:r w:rsidRPr="00401515">
              <w:rPr>
                <w:color w:val="000000"/>
              </w:rPr>
              <w:t>6.42</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722B05" w14:textId="77777777" w:rsidR="00055434" w:rsidRPr="00401515" w:rsidRDefault="00055434" w:rsidP="00065FD6">
            <w:pPr>
              <w:adjustRightInd w:val="0"/>
              <w:spacing w:before="60" w:after="60"/>
              <w:jc w:val="right"/>
              <w:rPr>
                <w:color w:val="000000"/>
              </w:rPr>
            </w:pPr>
            <w:r w:rsidRPr="00401515">
              <w:rPr>
                <w:color w:val="000000"/>
              </w:rPr>
              <w:t>98</w:t>
            </w:r>
          </w:p>
        </w:tc>
      </w:tr>
      <w:tr w:rsidR="00055434" w:rsidRPr="00401515" w14:paraId="60CF8E73" w14:textId="77777777" w:rsidTr="00055434">
        <w:trPr>
          <w:cantSplit/>
          <w:jc w:val="center"/>
        </w:trPr>
        <w:tc>
          <w:tcPr>
            <w:tcW w:w="963" w:type="dxa"/>
            <w:tcBorders>
              <w:top w:val="nil"/>
              <w:left w:val="single" w:sz="2" w:space="0" w:color="000000"/>
              <w:bottom w:val="single" w:sz="2" w:space="0" w:color="000000"/>
              <w:right w:val="nil"/>
            </w:tcBorders>
            <w:shd w:val="clear" w:color="auto" w:fill="FFFFFF"/>
            <w:tcMar>
              <w:left w:w="60" w:type="dxa"/>
              <w:right w:w="60" w:type="dxa"/>
            </w:tcMar>
          </w:tcPr>
          <w:p w14:paraId="5C515FE7" w14:textId="77777777" w:rsidR="00055434" w:rsidRPr="00401515" w:rsidRDefault="00055434" w:rsidP="00065FD6">
            <w:pPr>
              <w:keepNext/>
              <w:adjustRightInd w:val="0"/>
              <w:spacing w:before="60" w:after="60"/>
              <w:rPr>
                <w:color w:val="000000"/>
              </w:rPr>
            </w:pPr>
            <w:r w:rsidRPr="00401515">
              <w:rPr>
                <w:color w:val="000000"/>
              </w:rPr>
              <w:t>Sex</w:t>
            </w:r>
          </w:p>
        </w:tc>
        <w:tc>
          <w:tcPr>
            <w:tcW w:w="1910" w:type="dxa"/>
            <w:tcBorders>
              <w:top w:val="nil"/>
              <w:left w:val="single" w:sz="2" w:space="0" w:color="000000"/>
              <w:bottom w:val="single" w:sz="2" w:space="0" w:color="000000"/>
              <w:right w:val="nil"/>
            </w:tcBorders>
            <w:shd w:val="clear" w:color="auto" w:fill="FFFFFF"/>
            <w:tcMar>
              <w:left w:w="60" w:type="dxa"/>
              <w:right w:w="60" w:type="dxa"/>
            </w:tcMar>
          </w:tcPr>
          <w:p w14:paraId="38D91881" w14:textId="77777777" w:rsidR="00055434" w:rsidRPr="00401515" w:rsidRDefault="00055434" w:rsidP="00065FD6">
            <w:pPr>
              <w:keepNext/>
              <w:adjustRightInd w:val="0"/>
              <w:spacing w:before="60" w:after="60"/>
              <w:rPr>
                <w:color w:val="000000"/>
              </w:rPr>
            </w:pPr>
            <w:r w:rsidRPr="00401515">
              <w:rPr>
                <w:color w:val="000000"/>
              </w:rPr>
              <w:t>Female</w:t>
            </w:r>
          </w:p>
        </w:tc>
        <w:tc>
          <w:tcPr>
            <w:tcW w:w="1580" w:type="dxa"/>
            <w:tcBorders>
              <w:top w:val="nil"/>
              <w:left w:val="single" w:sz="2" w:space="0" w:color="000000"/>
              <w:bottom w:val="single" w:sz="2" w:space="0" w:color="000000"/>
              <w:right w:val="nil"/>
            </w:tcBorders>
            <w:shd w:val="clear" w:color="auto" w:fill="FFFFFF"/>
            <w:tcMar>
              <w:left w:w="60" w:type="dxa"/>
              <w:right w:w="60" w:type="dxa"/>
            </w:tcMar>
          </w:tcPr>
          <w:p w14:paraId="7B8DE2CD" w14:textId="78D8E477" w:rsidR="00055434" w:rsidRPr="00401515" w:rsidRDefault="00A018B4" w:rsidP="0073737A">
            <w:pPr>
              <w:keepNext/>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D42DFCA" w14:textId="77777777" w:rsidR="00055434" w:rsidRPr="00401515" w:rsidRDefault="00055434" w:rsidP="00065FD6">
            <w:pPr>
              <w:keepNext/>
              <w:adjustRightInd w:val="0"/>
              <w:spacing w:before="60" w:after="60"/>
              <w:rPr>
                <w:color w:val="000000"/>
              </w:rPr>
            </w:pPr>
            <w:r w:rsidRPr="00401515">
              <w:rPr>
                <w:color w:val="000000"/>
              </w:rPr>
              <w:t>0.13</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59901209" w14:textId="77777777" w:rsidR="00055434" w:rsidRPr="00401515" w:rsidRDefault="00055434" w:rsidP="00065FD6">
            <w:pPr>
              <w:keepNext/>
              <w:adjustRightInd w:val="0"/>
              <w:spacing w:before="60" w:after="60"/>
              <w:rPr>
                <w:color w:val="000000"/>
              </w:rPr>
            </w:pPr>
            <w:r w:rsidRPr="00401515">
              <w:rPr>
                <w:color w:val="000000"/>
              </w:rPr>
              <w:t>0.24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0710D251" w14:textId="77777777" w:rsidR="00055434" w:rsidRPr="00401515" w:rsidRDefault="00055434" w:rsidP="00065FD6">
            <w:pPr>
              <w:keepNext/>
              <w:adjustRightInd w:val="0"/>
              <w:spacing w:before="60" w:after="60"/>
              <w:rPr>
                <w:color w:val="000000"/>
              </w:rPr>
            </w:pPr>
            <w:r w:rsidRPr="00401515">
              <w:rPr>
                <w:color w:val="000000"/>
              </w:rPr>
              <w:t>1.21</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2B61283F" w14:textId="77777777" w:rsidR="00055434" w:rsidRPr="00401515" w:rsidRDefault="00055434" w:rsidP="00065FD6">
            <w:pPr>
              <w:keepNext/>
              <w:adjustRightInd w:val="0"/>
              <w:spacing w:before="60" w:after="60"/>
              <w:rPr>
                <w:color w:val="000000"/>
              </w:rPr>
            </w:pPr>
            <w:r w:rsidRPr="00401515">
              <w:rPr>
                <w:color w:val="000000"/>
              </w:rPr>
              <w:t>4.19</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4951C2EA" w14:textId="77777777" w:rsidR="00055434" w:rsidRPr="00401515" w:rsidRDefault="00055434" w:rsidP="00065FD6">
            <w:pPr>
              <w:keepNext/>
              <w:adjustRightInd w:val="0"/>
              <w:spacing w:before="60" w:after="60"/>
              <w:rPr>
                <w:color w:val="000000"/>
              </w:rPr>
            </w:pPr>
            <w:r w:rsidRPr="00401515">
              <w:rPr>
                <w:color w:val="000000"/>
              </w:rPr>
              <w:t>7.94</w:t>
            </w:r>
          </w:p>
        </w:tc>
        <w:tc>
          <w:tcPr>
            <w:tcW w:w="967" w:type="dxa"/>
            <w:tcBorders>
              <w:top w:val="nil"/>
              <w:left w:val="single" w:sz="2" w:space="0" w:color="000000"/>
              <w:bottom w:val="single" w:sz="2" w:space="0" w:color="000000"/>
              <w:right w:val="nil"/>
            </w:tcBorders>
            <w:shd w:val="clear" w:color="auto" w:fill="FFFFFF"/>
            <w:tcMar>
              <w:left w:w="60" w:type="dxa"/>
              <w:right w:w="60" w:type="dxa"/>
            </w:tcMar>
          </w:tcPr>
          <w:p w14:paraId="60AF7687" w14:textId="77777777" w:rsidR="00055434" w:rsidRPr="00401515" w:rsidRDefault="00055434" w:rsidP="00065FD6">
            <w:pPr>
              <w:keepNext/>
              <w:adjustRightInd w:val="0"/>
              <w:spacing w:before="60" w:after="60"/>
              <w:rPr>
                <w:color w:val="000000"/>
              </w:rPr>
            </w:pPr>
            <w:r w:rsidRPr="00401515">
              <w:rPr>
                <w:color w:val="000000"/>
              </w:rPr>
              <w:t>10.29</w:t>
            </w:r>
          </w:p>
        </w:tc>
        <w:tc>
          <w:tcPr>
            <w:tcW w:w="12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630BFC" w14:textId="77777777" w:rsidR="00055434" w:rsidRPr="00401515" w:rsidRDefault="00055434" w:rsidP="00065FD6">
            <w:pPr>
              <w:keepNext/>
              <w:adjustRightInd w:val="0"/>
              <w:spacing w:before="60" w:after="60"/>
              <w:jc w:val="right"/>
              <w:rPr>
                <w:color w:val="000000"/>
              </w:rPr>
            </w:pPr>
            <w:r w:rsidRPr="00401515">
              <w:rPr>
                <w:color w:val="000000"/>
              </w:rPr>
              <w:t>440</w:t>
            </w:r>
          </w:p>
        </w:tc>
      </w:tr>
      <w:tr w:rsidR="00055434" w:rsidRPr="00401515" w14:paraId="0D480C82" w14:textId="77777777" w:rsidTr="00055434">
        <w:trPr>
          <w:cantSplit/>
          <w:jc w:val="center"/>
        </w:trPr>
        <w:tc>
          <w:tcPr>
            <w:tcW w:w="963" w:type="dxa"/>
            <w:tcBorders>
              <w:top w:val="nil"/>
              <w:left w:val="single" w:sz="2" w:space="0" w:color="000000"/>
              <w:bottom w:val="single" w:sz="6" w:space="0" w:color="000000"/>
              <w:right w:val="nil"/>
            </w:tcBorders>
            <w:shd w:val="clear" w:color="auto" w:fill="FFFFFF"/>
            <w:tcMar>
              <w:left w:w="60" w:type="dxa"/>
              <w:right w:w="60" w:type="dxa"/>
            </w:tcMar>
          </w:tcPr>
          <w:p w14:paraId="1CFF7DF2" w14:textId="77777777" w:rsidR="00055434" w:rsidRPr="00401515" w:rsidRDefault="00055434" w:rsidP="00065FD6">
            <w:pPr>
              <w:adjustRightInd w:val="0"/>
              <w:spacing w:before="60" w:after="60"/>
              <w:rPr>
                <w:color w:val="000000"/>
              </w:rPr>
            </w:pPr>
            <w:r w:rsidRPr="00401515">
              <w:rPr>
                <w:color w:val="000000"/>
              </w:rPr>
              <w:t>Sex</w:t>
            </w:r>
          </w:p>
        </w:tc>
        <w:tc>
          <w:tcPr>
            <w:tcW w:w="1910" w:type="dxa"/>
            <w:tcBorders>
              <w:top w:val="nil"/>
              <w:left w:val="single" w:sz="2" w:space="0" w:color="000000"/>
              <w:bottom w:val="single" w:sz="6" w:space="0" w:color="000000"/>
              <w:right w:val="nil"/>
            </w:tcBorders>
            <w:shd w:val="clear" w:color="auto" w:fill="FFFFFF"/>
            <w:tcMar>
              <w:left w:w="60" w:type="dxa"/>
              <w:right w:w="60" w:type="dxa"/>
            </w:tcMar>
          </w:tcPr>
          <w:p w14:paraId="108F5BD3" w14:textId="77777777" w:rsidR="00055434" w:rsidRPr="00401515" w:rsidRDefault="00055434" w:rsidP="00065FD6">
            <w:pPr>
              <w:adjustRightInd w:val="0"/>
              <w:spacing w:before="60" w:after="60"/>
              <w:rPr>
                <w:color w:val="000000"/>
              </w:rPr>
            </w:pPr>
            <w:r w:rsidRPr="00401515">
              <w:rPr>
                <w:color w:val="000000"/>
              </w:rPr>
              <w:t>Male</w:t>
            </w:r>
          </w:p>
        </w:tc>
        <w:tc>
          <w:tcPr>
            <w:tcW w:w="1580" w:type="dxa"/>
            <w:tcBorders>
              <w:top w:val="nil"/>
              <w:left w:val="single" w:sz="2" w:space="0" w:color="000000"/>
              <w:bottom w:val="single" w:sz="6" w:space="0" w:color="000000"/>
              <w:right w:val="nil"/>
            </w:tcBorders>
            <w:shd w:val="clear" w:color="auto" w:fill="FFFFFF"/>
            <w:tcMar>
              <w:left w:w="60" w:type="dxa"/>
              <w:right w:w="60" w:type="dxa"/>
            </w:tcMar>
          </w:tcPr>
          <w:p w14:paraId="66C255E3" w14:textId="10ACA9A9" w:rsidR="00055434" w:rsidRPr="00401515" w:rsidRDefault="00A018B4" w:rsidP="0073737A">
            <w:pPr>
              <w:adjustRightInd w:val="0"/>
              <w:spacing w:before="60" w:after="60"/>
              <w:jc w:val="center"/>
              <w:rPr>
                <w:color w:val="000000"/>
              </w:rPr>
            </w:pPr>
            <w:r w:rsidRPr="00401515">
              <w:rPr>
                <w:color w:val="000000"/>
              </w:rPr>
              <w:t>-</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4865D40F" w14:textId="77777777" w:rsidR="00055434" w:rsidRPr="00401515" w:rsidRDefault="00055434" w:rsidP="00065FD6">
            <w:pPr>
              <w:adjustRightInd w:val="0"/>
              <w:spacing w:before="60" w:after="60"/>
              <w:rPr>
                <w:color w:val="000000"/>
              </w:rPr>
            </w:pPr>
            <w:r w:rsidRPr="00401515">
              <w:rPr>
                <w:color w:val="000000"/>
              </w:rPr>
              <w:t>0.13</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05852130" w14:textId="77777777" w:rsidR="00055434" w:rsidRPr="00401515" w:rsidRDefault="00055434" w:rsidP="00065FD6">
            <w:pPr>
              <w:adjustRightInd w:val="0"/>
              <w:spacing w:before="60" w:after="60"/>
              <w:rPr>
                <w:color w:val="000000"/>
              </w:rPr>
            </w:pPr>
            <w:r w:rsidRPr="00401515">
              <w:rPr>
                <w:color w:val="000000"/>
              </w:rPr>
              <w:t>0.22</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5F56EAD4" w14:textId="77777777" w:rsidR="00055434" w:rsidRPr="00401515" w:rsidRDefault="00055434" w:rsidP="00065FD6">
            <w:pPr>
              <w:adjustRightInd w:val="0"/>
              <w:spacing w:before="60" w:after="60"/>
              <w:rPr>
                <w:color w:val="000000"/>
              </w:rPr>
            </w:pPr>
            <w:r w:rsidRPr="00401515">
              <w:rPr>
                <w:color w:val="000000"/>
              </w:rPr>
              <w:t>0.59</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247BB04B" w14:textId="77777777" w:rsidR="00055434" w:rsidRPr="00401515" w:rsidRDefault="00055434" w:rsidP="00065FD6">
            <w:pPr>
              <w:adjustRightInd w:val="0"/>
              <w:spacing w:before="60" w:after="60"/>
              <w:rPr>
                <w:color w:val="000000"/>
              </w:rPr>
            </w:pPr>
            <w:r w:rsidRPr="00401515">
              <w:rPr>
                <w:color w:val="000000"/>
              </w:rPr>
              <w:t>2.44</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3826E897" w14:textId="77777777" w:rsidR="00055434" w:rsidRPr="00401515" w:rsidRDefault="00055434" w:rsidP="00065FD6">
            <w:pPr>
              <w:adjustRightInd w:val="0"/>
              <w:spacing w:before="60" w:after="60"/>
              <w:rPr>
                <w:color w:val="000000"/>
              </w:rPr>
            </w:pPr>
            <w:r w:rsidRPr="00401515">
              <w:rPr>
                <w:color w:val="000000"/>
              </w:rPr>
              <w:t>6.47</w:t>
            </w:r>
          </w:p>
        </w:tc>
        <w:tc>
          <w:tcPr>
            <w:tcW w:w="967" w:type="dxa"/>
            <w:tcBorders>
              <w:top w:val="nil"/>
              <w:left w:val="single" w:sz="2" w:space="0" w:color="000000"/>
              <w:bottom w:val="single" w:sz="6" w:space="0" w:color="000000"/>
              <w:right w:val="nil"/>
            </w:tcBorders>
            <w:shd w:val="clear" w:color="auto" w:fill="FFFFFF"/>
            <w:tcMar>
              <w:left w:w="60" w:type="dxa"/>
              <w:right w:w="60" w:type="dxa"/>
            </w:tcMar>
          </w:tcPr>
          <w:p w14:paraId="47B5BD4D" w14:textId="77777777" w:rsidR="00055434" w:rsidRPr="00401515" w:rsidRDefault="00055434" w:rsidP="00065FD6">
            <w:pPr>
              <w:adjustRightInd w:val="0"/>
              <w:spacing w:before="60" w:after="60"/>
              <w:rPr>
                <w:color w:val="000000"/>
              </w:rPr>
            </w:pPr>
            <w:r w:rsidRPr="00401515">
              <w:rPr>
                <w:color w:val="000000"/>
              </w:rPr>
              <w:t>9.67</w:t>
            </w:r>
          </w:p>
        </w:tc>
        <w:tc>
          <w:tcPr>
            <w:tcW w:w="1201"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22C01A6" w14:textId="77777777" w:rsidR="00055434" w:rsidRPr="00401515" w:rsidRDefault="00055434" w:rsidP="00065FD6">
            <w:pPr>
              <w:adjustRightInd w:val="0"/>
              <w:spacing w:before="60" w:after="60"/>
              <w:jc w:val="right"/>
              <w:rPr>
                <w:color w:val="000000"/>
              </w:rPr>
            </w:pPr>
            <w:r w:rsidRPr="00401515">
              <w:rPr>
                <w:color w:val="000000"/>
              </w:rPr>
              <w:t>564</w:t>
            </w:r>
          </w:p>
        </w:tc>
      </w:tr>
    </w:tbl>
    <w:p w14:paraId="6D9CD88A" w14:textId="77777777" w:rsidR="00974133" w:rsidRPr="00401515" w:rsidRDefault="00974133"/>
    <w:p w14:paraId="352C0EF5" w14:textId="77777777" w:rsidR="00974133" w:rsidRPr="00401515" w:rsidRDefault="00974133" w:rsidP="0098105B">
      <w:pPr>
        <w:adjustRightInd w:val="0"/>
        <w:spacing w:before="10" w:after="10"/>
        <w:rPr>
          <w:bCs/>
          <w:iCs/>
          <w:color w:val="000000"/>
        </w:rPr>
      </w:pPr>
      <w:r w:rsidRPr="00401515">
        <w:rPr>
          <w:bCs/>
          <w:iCs/>
          <w:color w:val="000000"/>
        </w:rPr>
        <w:t xml:space="preserve">N/A: not sufficient participants for calculation </w:t>
      </w:r>
    </w:p>
    <w:p w14:paraId="7646AB56" w14:textId="77777777" w:rsidR="00974133" w:rsidRPr="00401515" w:rsidRDefault="00974133" w:rsidP="0098105B">
      <w:r w:rsidRPr="00401515">
        <w:t xml:space="preserve">-:  Geometric means were not calculated because of low detection rate of </w:t>
      </w:r>
      <w:proofErr w:type="spellStart"/>
      <w:r w:rsidRPr="00401515">
        <w:t>MeA</w:t>
      </w:r>
      <w:proofErr w:type="spellEnd"/>
      <w:r w:rsidRPr="00401515">
        <w:t xml:space="preserve">αC in NHANES 2013–2014 participants (30.9%) </w:t>
      </w:r>
    </w:p>
    <w:p w14:paraId="7ED430C4" w14:textId="77777777" w:rsidR="009F6369" w:rsidRPr="00401515" w:rsidRDefault="009F6369" w:rsidP="009F6369">
      <w:r w:rsidRPr="00401515">
        <w:lastRenderedPageBreak/>
        <w:t>Reference: CDC, 2009. Fourth National Report on Human Exposure to Environmental Chemicals. Available: https://www.cdc.gov/exposurereport/pdf/fourthreport.pdf</w:t>
      </w:r>
    </w:p>
    <w:p w14:paraId="1027F662" w14:textId="77777777" w:rsidR="00974133" w:rsidRPr="00401515" w:rsidRDefault="00974133" w:rsidP="0098105B">
      <w:pPr>
        <w:adjustRightInd w:val="0"/>
        <w:spacing w:before="10" w:after="10"/>
        <w:rPr>
          <w:b/>
          <w:bCs/>
          <w:iCs/>
          <w:color w:val="000000"/>
          <w:sz w:val="28"/>
          <w:szCs w:val="28"/>
        </w:rPr>
      </w:pPr>
    </w:p>
    <w:p w14:paraId="6823D60E" w14:textId="6D16F2C4" w:rsidR="00974133" w:rsidRPr="00401515" w:rsidRDefault="00974133" w:rsidP="0098105B">
      <w:pPr>
        <w:adjustRightInd w:val="0"/>
        <w:spacing w:before="10" w:after="10"/>
      </w:pPr>
      <w:r w:rsidRPr="00401515">
        <w:rPr>
          <w:b/>
          <w:bCs/>
          <w:iCs/>
          <w:color w:val="000000"/>
          <w:sz w:val="28"/>
          <w:szCs w:val="28"/>
        </w:rPr>
        <w:t xml:space="preserve">Supplementary table </w:t>
      </w:r>
      <w:r w:rsidR="005F75B5">
        <w:rPr>
          <w:b/>
          <w:bCs/>
          <w:iCs/>
          <w:color w:val="000000"/>
          <w:sz w:val="28"/>
          <w:szCs w:val="28"/>
        </w:rPr>
        <w:t>4</w:t>
      </w:r>
      <w:r w:rsidRPr="00401515">
        <w:rPr>
          <w:b/>
          <w:bCs/>
          <w:iCs/>
          <w:color w:val="000000"/>
          <w:sz w:val="28"/>
          <w:szCs w:val="28"/>
        </w:rPr>
        <w:t xml:space="preserve">. Geometric means and selected percentiles of urinary </w:t>
      </w:r>
      <w:proofErr w:type="spellStart"/>
      <w:r w:rsidRPr="00401515">
        <w:rPr>
          <w:b/>
          <w:bCs/>
          <w:iCs/>
          <w:color w:val="000000"/>
          <w:sz w:val="28"/>
          <w:szCs w:val="28"/>
        </w:rPr>
        <w:t>MeA</w:t>
      </w:r>
      <w:proofErr w:type="spellEnd"/>
      <w:r w:rsidRPr="00401515">
        <w:rPr>
          <w:b/>
          <w:bCs/>
          <w:iCs/>
          <w:color w:val="000000"/>
          <w:sz w:val="28"/>
          <w:szCs w:val="28"/>
        </w:rPr>
        <w:t>αC concentrations (ng/g) for U.S. population with serum cotinine &gt;</w:t>
      </w:r>
      <w:r w:rsidR="00A55DB0" w:rsidRPr="00401515">
        <w:rPr>
          <w:b/>
          <w:bCs/>
          <w:iCs/>
          <w:color w:val="000000"/>
          <w:sz w:val="28"/>
          <w:szCs w:val="28"/>
        </w:rPr>
        <w:t>=</w:t>
      </w:r>
      <w:r w:rsidRPr="00401515">
        <w:rPr>
          <w:b/>
          <w:bCs/>
          <w:iCs/>
          <w:color w:val="000000"/>
          <w:sz w:val="28"/>
          <w:szCs w:val="28"/>
        </w:rPr>
        <w:t>10 ng/</w:t>
      </w:r>
      <w:proofErr w:type="spellStart"/>
      <w:r w:rsidRPr="00401515">
        <w:rPr>
          <w:b/>
          <w:bCs/>
          <w:iCs/>
          <w:color w:val="000000"/>
          <w:sz w:val="28"/>
          <w:szCs w:val="28"/>
        </w:rPr>
        <w:t>mL.</w:t>
      </w:r>
      <w:proofErr w:type="spellEnd"/>
      <w:r w:rsidRPr="00401515">
        <w:br w:type="page"/>
      </w:r>
    </w:p>
    <w:tbl>
      <w:tblPr>
        <w:tblW w:w="0" w:type="auto"/>
        <w:jc w:val="center"/>
        <w:tblLayout w:type="fixed"/>
        <w:tblCellMar>
          <w:left w:w="0" w:type="dxa"/>
          <w:right w:w="0" w:type="dxa"/>
        </w:tblCellMar>
        <w:tblLook w:val="0000" w:firstRow="0" w:lastRow="0" w:firstColumn="0" w:lastColumn="0" w:noHBand="0" w:noVBand="0"/>
      </w:tblPr>
      <w:tblGrid>
        <w:gridCol w:w="977"/>
        <w:gridCol w:w="1939"/>
        <w:gridCol w:w="1604"/>
        <w:gridCol w:w="981"/>
        <w:gridCol w:w="1073"/>
        <w:gridCol w:w="1005"/>
        <w:gridCol w:w="1096"/>
        <w:gridCol w:w="1096"/>
        <w:gridCol w:w="1187"/>
        <w:gridCol w:w="1370"/>
      </w:tblGrid>
      <w:tr w:rsidR="00055434" w:rsidRPr="00401515" w14:paraId="662928F9" w14:textId="77777777" w:rsidTr="00A018B4">
        <w:trPr>
          <w:cantSplit/>
          <w:trHeight w:val="442"/>
          <w:tblHeader/>
          <w:jc w:val="center"/>
        </w:trPr>
        <w:tc>
          <w:tcPr>
            <w:tcW w:w="97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1090081" w14:textId="77777777" w:rsidR="00055434" w:rsidRPr="00401515" w:rsidRDefault="00055434" w:rsidP="00065FD6">
            <w:pPr>
              <w:keepNext/>
              <w:adjustRightInd w:val="0"/>
              <w:spacing w:before="60" w:after="60"/>
              <w:rPr>
                <w:b/>
                <w:bCs/>
                <w:color w:val="000000"/>
              </w:rPr>
            </w:pPr>
            <w:r w:rsidRPr="00401515">
              <w:rPr>
                <w:b/>
                <w:bCs/>
                <w:color w:val="000000"/>
              </w:rPr>
              <w:lastRenderedPageBreak/>
              <w:t>Predictor</w:t>
            </w:r>
          </w:p>
        </w:tc>
        <w:tc>
          <w:tcPr>
            <w:tcW w:w="193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16506D7" w14:textId="77777777" w:rsidR="00055434" w:rsidRPr="00401515" w:rsidRDefault="00055434" w:rsidP="00065FD6">
            <w:pPr>
              <w:keepNext/>
              <w:adjustRightInd w:val="0"/>
              <w:spacing w:before="60" w:after="60"/>
              <w:rPr>
                <w:b/>
                <w:bCs/>
                <w:color w:val="000000"/>
              </w:rPr>
            </w:pPr>
            <w:r w:rsidRPr="00401515">
              <w:rPr>
                <w:b/>
                <w:bCs/>
                <w:color w:val="000000"/>
              </w:rPr>
              <w:t>Level</w:t>
            </w:r>
          </w:p>
        </w:tc>
        <w:tc>
          <w:tcPr>
            <w:tcW w:w="160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BC445DE" w14:textId="77777777" w:rsidR="00055434" w:rsidRPr="00401515" w:rsidRDefault="00055434" w:rsidP="00065FD6">
            <w:pPr>
              <w:keepNext/>
              <w:adjustRightInd w:val="0"/>
              <w:spacing w:before="60" w:after="60"/>
              <w:rPr>
                <w:b/>
                <w:bCs/>
                <w:color w:val="000000"/>
              </w:rPr>
            </w:pPr>
            <w:r w:rsidRPr="00401515">
              <w:rPr>
                <w:b/>
                <w:bCs/>
                <w:color w:val="000000"/>
              </w:rPr>
              <w:t>GM [95%CI]</w:t>
            </w:r>
          </w:p>
        </w:tc>
        <w:tc>
          <w:tcPr>
            <w:tcW w:w="98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3B919D6" w14:textId="77777777" w:rsidR="00055434" w:rsidRPr="00401515" w:rsidRDefault="00055434" w:rsidP="00065FD6">
            <w:pPr>
              <w:keepNext/>
              <w:adjustRightInd w:val="0"/>
              <w:spacing w:before="60" w:after="60"/>
              <w:rPr>
                <w:b/>
                <w:bCs/>
                <w:color w:val="000000"/>
              </w:rPr>
            </w:pPr>
            <w:r w:rsidRPr="00401515">
              <w:rPr>
                <w:b/>
                <w:bCs/>
                <w:color w:val="000000"/>
              </w:rPr>
              <w:t>10th %</w:t>
            </w:r>
            <w:proofErr w:type="spellStart"/>
            <w:r w:rsidRPr="00401515">
              <w:rPr>
                <w:b/>
                <w:bCs/>
                <w:color w:val="000000"/>
              </w:rPr>
              <w:t>ile</w:t>
            </w:r>
            <w:proofErr w:type="spellEnd"/>
          </w:p>
        </w:tc>
        <w:tc>
          <w:tcPr>
            <w:tcW w:w="107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F20E576" w14:textId="77777777" w:rsidR="00055434" w:rsidRPr="00401515" w:rsidRDefault="00055434" w:rsidP="00065FD6">
            <w:pPr>
              <w:keepNext/>
              <w:adjustRightInd w:val="0"/>
              <w:spacing w:before="60" w:after="60"/>
              <w:rPr>
                <w:b/>
                <w:bCs/>
                <w:color w:val="000000"/>
              </w:rPr>
            </w:pPr>
            <w:r w:rsidRPr="00401515">
              <w:rPr>
                <w:b/>
                <w:bCs/>
                <w:color w:val="000000"/>
              </w:rPr>
              <w:t>25th %</w:t>
            </w:r>
            <w:proofErr w:type="spellStart"/>
            <w:r w:rsidRPr="00401515">
              <w:rPr>
                <w:b/>
                <w:bCs/>
                <w:color w:val="000000"/>
              </w:rPr>
              <w:t>ile</w:t>
            </w:r>
            <w:proofErr w:type="spellEnd"/>
          </w:p>
        </w:tc>
        <w:tc>
          <w:tcPr>
            <w:tcW w:w="100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C0F949D" w14:textId="77777777" w:rsidR="00055434" w:rsidRPr="00401515" w:rsidRDefault="00055434" w:rsidP="00065FD6">
            <w:pPr>
              <w:keepNext/>
              <w:adjustRightInd w:val="0"/>
              <w:spacing w:before="60" w:after="60"/>
              <w:rPr>
                <w:b/>
                <w:bCs/>
                <w:color w:val="000000"/>
              </w:rPr>
            </w:pPr>
            <w:r w:rsidRPr="00401515">
              <w:rPr>
                <w:b/>
                <w:bCs/>
                <w:color w:val="000000"/>
              </w:rPr>
              <w:t>50th %</w:t>
            </w:r>
            <w:proofErr w:type="spellStart"/>
            <w:r w:rsidRPr="00401515">
              <w:rPr>
                <w:b/>
                <w:bCs/>
                <w:color w:val="000000"/>
              </w:rPr>
              <w:t>ile</w:t>
            </w:r>
            <w:proofErr w:type="spellEnd"/>
          </w:p>
        </w:tc>
        <w:tc>
          <w:tcPr>
            <w:tcW w:w="109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CC54670" w14:textId="77777777" w:rsidR="00055434" w:rsidRPr="00401515" w:rsidRDefault="00055434" w:rsidP="00065FD6">
            <w:pPr>
              <w:keepNext/>
              <w:adjustRightInd w:val="0"/>
              <w:spacing w:before="60" w:after="60"/>
              <w:rPr>
                <w:b/>
                <w:bCs/>
                <w:color w:val="000000"/>
              </w:rPr>
            </w:pPr>
            <w:r w:rsidRPr="00401515">
              <w:rPr>
                <w:b/>
                <w:bCs/>
                <w:color w:val="000000"/>
              </w:rPr>
              <w:t>75th %</w:t>
            </w:r>
            <w:proofErr w:type="spellStart"/>
            <w:r w:rsidRPr="00401515">
              <w:rPr>
                <w:b/>
                <w:bCs/>
                <w:color w:val="000000"/>
              </w:rPr>
              <w:t>ile</w:t>
            </w:r>
            <w:proofErr w:type="spellEnd"/>
          </w:p>
        </w:tc>
        <w:tc>
          <w:tcPr>
            <w:tcW w:w="109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72C3D2F" w14:textId="77777777" w:rsidR="00055434" w:rsidRPr="00401515" w:rsidRDefault="00055434" w:rsidP="00065FD6">
            <w:pPr>
              <w:keepNext/>
              <w:adjustRightInd w:val="0"/>
              <w:spacing w:before="60" w:after="60"/>
              <w:rPr>
                <w:b/>
                <w:bCs/>
                <w:color w:val="000000"/>
              </w:rPr>
            </w:pPr>
            <w:r w:rsidRPr="00401515">
              <w:rPr>
                <w:b/>
                <w:bCs/>
                <w:color w:val="000000"/>
              </w:rPr>
              <w:t>90th %</w:t>
            </w:r>
            <w:proofErr w:type="spellStart"/>
            <w:r w:rsidRPr="00401515">
              <w:rPr>
                <w:b/>
                <w:bCs/>
                <w:color w:val="000000"/>
              </w:rPr>
              <w:t>ile</w:t>
            </w:r>
            <w:proofErr w:type="spellEnd"/>
          </w:p>
        </w:tc>
        <w:tc>
          <w:tcPr>
            <w:tcW w:w="118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7340FB6" w14:textId="77777777" w:rsidR="00055434" w:rsidRPr="00401515" w:rsidRDefault="00055434" w:rsidP="00065FD6">
            <w:pPr>
              <w:keepNext/>
              <w:adjustRightInd w:val="0"/>
              <w:spacing w:before="60" w:after="60"/>
              <w:rPr>
                <w:b/>
                <w:bCs/>
                <w:color w:val="000000"/>
              </w:rPr>
            </w:pPr>
            <w:r w:rsidRPr="00401515">
              <w:rPr>
                <w:b/>
                <w:bCs/>
                <w:color w:val="000000"/>
              </w:rPr>
              <w:t>95th %</w:t>
            </w:r>
            <w:proofErr w:type="spellStart"/>
            <w:r w:rsidRPr="00401515">
              <w:rPr>
                <w:b/>
                <w:bCs/>
                <w:color w:val="000000"/>
              </w:rPr>
              <w:t>ile</w:t>
            </w:r>
            <w:proofErr w:type="spellEnd"/>
          </w:p>
        </w:tc>
        <w:tc>
          <w:tcPr>
            <w:tcW w:w="137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34B9893" w14:textId="77777777" w:rsidR="00055434" w:rsidRPr="00401515" w:rsidRDefault="00055434" w:rsidP="00065FD6">
            <w:pPr>
              <w:keepNext/>
              <w:adjustRightInd w:val="0"/>
              <w:spacing w:before="60" w:after="60"/>
              <w:jc w:val="right"/>
              <w:rPr>
                <w:b/>
                <w:bCs/>
                <w:color w:val="000000"/>
              </w:rPr>
            </w:pPr>
            <w:r w:rsidRPr="00401515">
              <w:rPr>
                <w:b/>
                <w:bCs/>
                <w:color w:val="000000"/>
              </w:rPr>
              <w:t>Sample Size</w:t>
            </w:r>
          </w:p>
        </w:tc>
      </w:tr>
      <w:tr w:rsidR="00055434" w:rsidRPr="00401515" w14:paraId="316440AC" w14:textId="77777777" w:rsidTr="00A018B4">
        <w:trPr>
          <w:cantSplit/>
          <w:trHeight w:val="430"/>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64C10197" w14:textId="77777777" w:rsidR="00055434" w:rsidRPr="00401515" w:rsidRDefault="00055434" w:rsidP="00065FD6">
            <w:pPr>
              <w:adjustRightInd w:val="0"/>
              <w:spacing w:before="60" w:after="60"/>
              <w:rPr>
                <w:color w:val="000000"/>
              </w:rPr>
            </w:pPr>
            <w:r w:rsidRPr="00401515">
              <w:rPr>
                <w:color w:val="000000"/>
              </w:rPr>
              <w:t>All</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5B66F464" w14:textId="77777777" w:rsidR="00055434" w:rsidRPr="00401515" w:rsidRDefault="00055434" w:rsidP="00065FD6">
            <w:pPr>
              <w:adjustRightInd w:val="0"/>
              <w:spacing w:before="60" w:after="60"/>
              <w:rPr>
                <w:color w:val="000000"/>
              </w:rPr>
            </w:pP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17BA87CF" w14:textId="5BF94D30"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69F8BDC1" w14:textId="77777777" w:rsidR="00055434" w:rsidRPr="00401515" w:rsidRDefault="00055434" w:rsidP="00065FD6">
            <w:pPr>
              <w:adjustRightInd w:val="0"/>
              <w:spacing w:before="60" w:after="60"/>
              <w:rPr>
                <w:color w:val="000000"/>
              </w:rPr>
            </w:pPr>
            <w:r w:rsidRPr="00401515">
              <w:rPr>
                <w:color w:val="000000"/>
              </w:rPr>
              <w:t>0.12</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06947FBD" w14:textId="77777777" w:rsidR="00055434" w:rsidRPr="00401515" w:rsidRDefault="00055434" w:rsidP="00065FD6">
            <w:pPr>
              <w:adjustRightInd w:val="0"/>
              <w:spacing w:before="60" w:after="60"/>
              <w:rPr>
                <w:color w:val="000000"/>
              </w:rPr>
            </w:pPr>
            <w:r w:rsidRPr="00401515">
              <w:rPr>
                <w:color w:val="000000"/>
              </w:rPr>
              <w:t>0.16</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09F53B59" w14:textId="77777777" w:rsidR="00055434" w:rsidRPr="00401515" w:rsidRDefault="00055434" w:rsidP="00065FD6">
            <w:pPr>
              <w:adjustRightInd w:val="0"/>
              <w:spacing w:before="60" w:after="60"/>
              <w:rPr>
                <w:color w:val="000000"/>
              </w:rPr>
            </w:pPr>
            <w:r w:rsidRPr="00401515">
              <w:rPr>
                <w:color w:val="000000"/>
              </w:rPr>
              <w:t>0.27</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1FF275F6" w14:textId="77777777" w:rsidR="00055434" w:rsidRPr="00401515" w:rsidRDefault="00055434" w:rsidP="00065FD6">
            <w:pPr>
              <w:adjustRightInd w:val="0"/>
              <w:spacing w:before="60" w:after="60"/>
              <w:rPr>
                <w:color w:val="000000"/>
              </w:rPr>
            </w:pPr>
            <w:r w:rsidRPr="00401515">
              <w:rPr>
                <w:color w:val="000000"/>
              </w:rPr>
              <w:t>0.49</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3A433C9" w14:textId="77777777" w:rsidR="00055434" w:rsidRPr="00401515" w:rsidRDefault="00055434" w:rsidP="00065FD6">
            <w:pPr>
              <w:adjustRightInd w:val="0"/>
              <w:spacing w:before="60" w:after="60"/>
              <w:rPr>
                <w:color w:val="000000"/>
              </w:rPr>
            </w:pPr>
            <w:r w:rsidRPr="00401515">
              <w:rPr>
                <w:color w:val="000000"/>
              </w:rPr>
              <w:t>0.84</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3D63828E" w14:textId="77777777" w:rsidR="00055434" w:rsidRPr="00401515" w:rsidRDefault="00055434" w:rsidP="00065FD6">
            <w:pPr>
              <w:adjustRightInd w:val="0"/>
              <w:spacing w:before="60" w:after="60"/>
              <w:rPr>
                <w:color w:val="000000"/>
              </w:rPr>
            </w:pPr>
            <w:r w:rsidRPr="00401515">
              <w:rPr>
                <w:color w:val="000000"/>
              </w:rPr>
              <w:t>1.20</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9467F0" w14:textId="77777777" w:rsidR="00055434" w:rsidRPr="00401515" w:rsidRDefault="00055434" w:rsidP="00065FD6">
            <w:pPr>
              <w:adjustRightInd w:val="0"/>
              <w:spacing w:before="60" w:after="60"/>
              <w:jc w:val="right"/>
              <w:rPr>
                <w:color w:val="000000"/>
              </w:rPr>
            </w:pPr>
            <w:r w:rsidRPr="00401515">
              <w:rPr>
                <w:color w:val="000000"/>
              </w:rPr>
              <w:t>1,327</w:t>
            </w:r>
          </w:p>
        </w:tc>
      </w:tr>
      <w:tr w:rsidR="00055434" w:rsidRPr="00401515" w14:paraId="4D2C9FA5"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3F1F7E97" w14:textId="77777777" w:rsidR="00055434" w:rsidRPr="00401515" w:rsidRDefault="00055434" w:rsidP="00065FD6">
            <w:pPr>
              <w:adjustRightInd w:val="0"/>
              <w:spacing w:before="60" w:after="60"/>
              <w:rPr>
                <w:color w:val="000000"/>
              </w:rPr>
            </w:pPr>
            <w:r w:rsidRPr="00401515">
              <w:rPr>
                <w:color w:val="000000"/>
              </w:rPr>
              <w:t>Age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36484C62" w14:textId="77777777" w:rsidR="00055434" w:rsidRPr="00401515" w:rsidRDefault="00055434" w:rsidP="00065FD6">
            <w:pPr>
              <w:adjustRightInd w:val="0"/>
              <w:spacing w:before="60" w:after="60"/>
              <w:rPr>
                <w:color w:val="000000"/>
              </w:rPr>
            </w:pPr>
            <w:r w:rsidRPr="00401515">
              <w:rPr>
                <w:color w:val="000000"/>
              </w:rPr>
              <w:t>18 – 39</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0EA72A2A" w14:textId="789C8A86"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3E094993" w14:textId="77777777" w:rsidR="00055434" w:rsidRPr="00401515" w:rsidRDefault="00055434" w:rsidP="00065FD6">
            <w:pPr>
              <w:adjustRightInd w:val="0"/>
              <w:spacing w:before="60" w:after="60"/>
              <w:rPr>
                <w:color w:val="000000"/>
              </w:rPr>
            </w:pPr>
            <w:r w:rsidRPr="00401515">
              <w:rPr>
                <w:color w:val="000000"/>
              </w:rPr>
              <w:t>0.11</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05586EB6" w14:textId="77777777" w:rsidR="00055434" w:rsidRPr="00401515" w:rsidRDefault="00055434" w:rsidP="00065FD6">
            <w:pPr>
              <w:adjustRightInd w:val="0"/>
              <w:spacing w:before="60" w:after="60"/>
              <w:rPr>
                <w:color w:val="000000"/>
              </w:rPr>
            </w:pPr>
            <w:r w:rsidRPr="00401515">
              <w:rPr>
                <w:color w:val="000000"/>
              </w:rPr>
              <w:t>0.15</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2C9BFB95" w14:textId="77777777" w:rsidR="00055434" w:rsidRPr="00401515" w:rsidRDefault="00055434" w:rsidP="00065FD6">
            <w:pPr>
              <w:adjustRightInd w:val="0"/>
              <w:spacing w:before="60" w:after="60"/>
              <w:rPr>
                <w:color w:val="000000"/>
              </w:rPr>
            </w:pPr>
            <w:r w:rsidRPr="00401515">
              <w:rPr>
                <w:color w:val="000000"/>
              </w:rPr>
              <w:t>0.23</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770F5732" w14:textId="77777777" w:rsidR="00055434" w:rsidRPr="00401515" w:rsidRDefault="00055434" w:rsidP="00065FD6">
            <w:pPr>
              <w:adjustRightInd w:val="0"/>
              <w:spacing w:before="60" w:after="60"/>
              <w:rPr>
                <w:color w:val="000000"/>
              </w:rPr>
            </w:pPr>
            <w:r w:rsidRPr="00401515">
              <w:rPr>
                <w:color w:val="000000"/>
              </w:rPr>
              <w:t>0.45</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229111BA" w14:textId="77777777" w:rsidR="00055434" w:rsidRPr="00401515" w:rsidRDefault="00055434" w:rsidP="00065FD6">
            <w:pPr>
              <w:adjustRightInd w:val="0"/>
              <w:spacing w:before="60" w:after="60"/>
              <w:rPr>
                <w:color w:val="000000"/>
              </w:rPr>
            </w:pPr>
            <w:r w:rsidRPr="00401515">
              <w:rPr>
                <w:color w:val="000000"/>
              </w:rPr>
              <w:t>0.72</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3261CA16" w14:textId="77777777" w:rsidR="00055434" w:rsidRPr="00401515" w:rsidRDefault="00055434" w:rsidP="00065FD6">
            <w:pPr>
              <w:adjustRightInd w:val="0"/>
              <w:spacing w:before="60" w:after="60"/>
              <w:rPr>
                <w:color w:val="000000"/>
              </w:rPr>
            </w:pPr>
            <w:r w:rsidRPr="00401515">
              <w:rPr>
                <w:color w:val="000000"/>
              </w:rPr>
              <w:t>0.95</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928CB3" w14:textId="77777777" w:rsidR="00055434" w:rsidRPr="00401515" w:rsidRDefault="00055434" w:rsidP="00065FD6">
            <w:pPr>
              <w:adjustRightInd w:val="0"/>
              <w:spacing w:before="60" w:after="60"/>
              <w:jc w:val="right"/>
              <w:rPr>
                <w:color w:val="000000"/>
              </w:rPr>
            </w:pPr>
            <w:r w:rsidRPr="00401515">
              <w:rPr>
                <w:color w:val="000000"/>
              </w:rPr>
              <w:t>480</w:t>
            </w:r>
          </w:p>
        </w:tc>
      </w:tr>
      <w:tr w:rsidR="00055434" w:rsidRPr="00401515" w14:paraId="2C80BB58"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361A87D0" w14:textId="77777777" w:rsidR="00055434" w:rsidRPr="00401515" w:rsidRDefault="00055434" w:rsidP="00065FD6">
            <w:pPr>
              <w:adjustRightInd w:val="0"/>
              <w:spacing w:before="60" w:after="60"/>
              <w:rPr>
                <w:color w:val="000000"/>
              </w:rPr>
            </w:pPr>
            <w:r w:rsidRPr="00401515">
              <w:rPr>
                <w:color w:val="000000"/>
              </w:rPr>
              <w:t>Age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32D8FF78" w14:textId="77777777" w:rsidR="00055434" w:rsidRPr="00401515" w:rsidRDefault="00055434" w:rsidP="00065FD6">
            <w:pPr>
              <w:adjustRightInd w:val="0"/>
              <w:spacing w:before="60" w:after="60"/>
              <w:rPr>
                <w:color w:val="000000"/>
              </w:rPr>
            </w:pPr>
            <w:r w:rsidRPr="00401515">
              <w:rPr>
                <w:color w:val="000000"/>
              </w:rPr>
              <w:t>40 – 59</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49CD6E51" w14:textId="3D107269"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690DFD74" w14:textId="77777777" w:rsidR="00055434" w:rsidRPr="00401515" w:rsidRDefault="00055434" w:rsidP="00065FD6">
            <w:pPr>
              <w:adjustRightInd w:val="0"/>
              <w:spacing w:before="60" w:after="60"/>
              <w:rPr>
                <w:color w:val="000000"/>
              </w:rPr>
            </w:pPr>
            <w:r w:rsidRPr="00401515">
              <w:rPr>
                <w:color w:val="000000"/>
              </w:rPr>
              <w:t>0.12</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58C137C9" w14:textId="77777777" w:rsidR="00055434" w:rsidRPr="00401515" w:rsidRDefault="00055434" w:rsidP="00065FD6">
            <w:pPr>
              <w:adjustRightInd w:val="0"/>
              <w:spacing w:before="60" w:after="60"/>
              <w:rPr>
                <w:color w:val="000000"/>
              </w:rPr>
            </w:pPr>
            <w:r w:rsidRPr="00401515">
              <w:rPr>
                <w:color w:val="000000"/>
              </w:rPr>
              <w:t>0.17</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07860266" w14:textId="77777777" w:rsidR="00055434" w:rsidRPr="00401515" w:rsidRDefault="00055434" w:rsidP="00065FD6">
            <w:pPr>
              <w:adjustRightInd w:val="0"/>
              <w:spacing w:before="60" w:after="60"/>
              <w:rPr>
                <w:color w:val="000000"/>
              </w:rPr>
            </w:pPr>
            <w:r w:rsidRPr="00401515">
              <w:rPr>
                <w:color w:val="000000"/>
              </w:rPr>
              <w:t>0.29</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B16B781" w14:textId="77777777" w:rsidR="00055434" w:rsidRPr="00401515" w:rsidRDefault="00055434" w:rsidP="00065FD6">
            <w:pPr>
              <w:adjustRightInd w:val="0"/>
              <w:spacing w:before="60" w:after="60"/>
              <w:rPr>
                <w:color w:val="000000"/>
              </w:rPr>
            </w:pPr>
            <w:r w:rsidRPr="00401515">
              <w:rPr>
                <w:color w:val="000000"/>
              </w:rPr>
              <w:t>0.52</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718AAF65" w14:textId="77777777" w:rsidR="00055434" w:rsidRPr="00401515" w:rsidRDefault="00055434" w:rsidP="00065FD6">
            <w:pPr>
              <w:adjustRightInd w:val="0"/>
              <w:spacing w:before="60" w:after="60"/>
              <w:rPr>
                <w:color w:val="000000"/>
              </w:rPr>
            </w:pPr>
            <w:r w:rsidRPr="00401515">
              <w:rPr>
                <w:color w:val="000000"/>
              </w:rPr>
              <w:t>0.92</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7077A63B" w14:textId="77777777" w:rsidR="00055434" w:rsidRPr="00401515" w:rsidRDefault="00055434" w:rsidP="00065FD6">
            <w:pPr>
              <w:adjustRightInd w:val="0"/>
              <w:spacing w:before="60" w:after="60"/>
              <w:rPr>
                <w:color w:val="000000"/>
              </w:rPr>
            </w:pPr>
            <w:r w:rsidRPr="00401515">
              <w:rPr>
                <w:color w:val="000000"/>
              </w:rPr>
              <w:t>1.28</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311F0B" w14:textId="77777777" w:rsidR="00055434" w:rsidRPr="00401515" w:rsidRDefault="00055434" w:rsidP="00065FD6">
            <w:pPr>
              <w:adjustRightInd w:val="0"/>
              <w:spacing w:before="60" w:after="60"/>
              <w:jc w:val="right"/>
              <w:rPr>
                <w:color w:val="000000"/>
              </w:rPr>
            </w:pPr>
            <w:r w:rsidRPr="00401515">
              <w:rPr>
                <w:color w:val="000000"/>
              </w:rPr>
              <w:t>418</w:t>
            </w:r>
          </w:p>
        </w:tc>
      </w:tr>
      <w:tr w:rsidR="00055434" w:rsidRPr="00401515" w14:paraId="4509E450" w14:textId="77777777" w:rsidTr="00A018B4">
        <w:trPr>
          <w:cantSplit/>
          <w:trHeight w:val="430"/>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4EEE27D5" w14:textId="77777777" w:rsidR="00055434" w:rsidRPr="00401515" w:rsidRDefault="00055434" w:rsidP="00065FD6">
            <w:pPr>
              <w:adjustRightInd w:val="0"/>
              <w:spacing w:before="60" w:after="60"/>
              <w:rPr>
                <w:color w:val="000000"/>
              </w:rPr>
            </w:pPr>
            <w:r w:rsidRPr="00401515">
              <w:rPr>
                <w:color w:val="000000"/>
              </w:rPr>
              <w:t>Age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217AE581" w14:textId="77777777" w:rsidR="00055434" w:rsidRPr="00401515" w:rsidRDefault="00055434" w:rsidP="00065FD6">
            <w:pPr>
              <w:adjustRightInd w:val="0"/>
              <w:spacing w:before="60" w:after="60"/>
              <w:rPr>
                <w:color w:val="000000"/>
              </w:rPr>
            </w:pPr>
            <w:r w:rsidRPr="00401515">
              <w:rPr>
                <w:color w:val="000000"/>
              </w:rPr>
              <w:t>≥60</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02C35883" w14:textId="75BA60EC"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1B275A7B" w14:textId="77777777" w:rsidR="00055434" w:rsidRPr="00401515" w:rsidRDefault="00055434" w:rsidP="00065FD6">
            <w:pPr>
              <w:adjustRightInd w:val="0"/>
              <w:spacing w:before="60" w:after="60"/>
              <w:rPr>
                <w:color w:val="000000"/>
              </w:rPr>
            </w:pPr>
            <w:r w:rsidRPr="00401515">
              <w:rPr>
                <w:color w:val="000000"/>
              </w:rPr>
              <w:t>0.13</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4FC6DFB3" w14:textId="77777777" w:rsidR="00055434" w:rsidRPr="00401515" w:rsidRDefault="00055434" w:rsidP="00065FD6">
            <w:pPr>
              <w:adjustRightInd w:val="0"/>
              <w:spacing w:before="60" w:after="60"/>
              <w:rPr>
                <w:color w:val="000000"/>
              </w:rPr>
            </w:pPr>
            <w:r w:rsidRPr="00401515">
              <w:rPr>
                <w:color w:val="000000"/>
              </w:rPr>
              <w:t>0.18</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1B80BDA8" w14:textId="77777777" w:rsidR="00055434" w:rsidRPr="00401515" w:rsidRDefault="00055434" w:rsidP="00065FD6">
            <w:pPr>
              <w:adjustRightInd w:val="0"/>
              <w:spacing w:before="60" w:after="60"/>
              <w:rPr>
                <w:color w:val="000000"/>
              </w:rPr>
            </w:pPr>
            <w:r w:rsidRPr="00401515">
              <w:rPr>
                <w:color w:val="000000"/>
              </w:rPr>
              <w:t>0.29</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4F89186" w14:textId="77777777" w:rsidR="00055434" w:rsidRPr="00401515" w:rsidRDefault="00055434" w:rsidP="00065FD6">
            <w:pPr>
              <w:adjustRightInd w:val="0"/>
              <w:spacing w:before="60" w:after="60"/>
              <w:rPr>
                <w:color w:val="000000"/>
              </w:rPr>
            </w:pPr>
            <w:r w:rsidRPr="00401515">
              <w:rPr>
                <w:color w:val="000000"/>
              </w:rPr>
              <w:t>0.53</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EF3A410" w14:textId="77777777" w:rsidR="00055434" w:rsidRPr="00401515" w:rsidRDefault="00055434" w:rsidP="00065FD6">
            <w:pPr>
              <w:adjustRightInd w:val="0"/>
              <w:spacing w:before="60" w:after="60"/>
              <w:rPr>
                <w:color w:val="000000"/>
              </w:rPr>
            </w:pPr>
            <w:r w:rsidRPr="00401515">
              <w:rPr>
                <w:color w:val="000000"/>
              </w:rPr>
              <w:t>0.92</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23E9C03F" w14:textId="77777777" w:rsidR="00055434" w:rsidRPr="00401515" w:rsidRDefault="00055434" w:rsidP="00065FD6">
            <w:pPr>
              <w:adjustRightInd w:val="0"/>
              <w:spacing w:before="60" w:after="60"/>
              <w:rPr>
                <w:color w:val="000000"/>
              </w:rPr>
            </w:pPr>
            <w:r w:rsidRPr="00401515">
              <w:rPr>
                <w:color w:val="000000"/>
              </w:rPr>
              <w:t>1.30</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8100D5" w14:textId="77777777" w:rsidR="00055434" w:rsidRPr="00401515" w:rsidRDefault="00055434" w:rsidP="00065FD6">
            <w:pPr>
              <w:adjustRightInd w:val="0"/>
              <w:spacing w:before="60" w:after="60"/>
              <w:jc w:val="right"/>
              <w:rPr>
                <w:color w:val="000000"/>
              </w:rPr>
            </w:pPr>
            <w:r w:rsidRPr="00401515">
              <w:rPr>
                <w:color w:val="000000"/>
              </w:rPr>
              <w:t>429</w:t>
            </w:r>
          </w:p>
        </w:tc>
      </w:tr>
      <w:tr w:rsidR="00055434" w:rsidRPr="00401515" w14:paraId="4476B82C"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42086678" w14:textId="77777777" w:rsidR="00055434" w:rsidRPr="00401515" w:rsidRDefault="00055434" w:rsidP="00065FD6">
            <w:pPr>
              <w:adjustRightInd w:val="0"/>
              <w:spacing w:before="60" w:after="60"/>
              <w:rPr>
                <w:color w:val="000000"/>
              </w:rPr>
            </w:pPr>
            <w:r w:rsidRPr="00401515">
              <w:rPr>
                <w:color w:val="000000"/>
              </w:rPr>
              <w:t>BMI</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574FD9D7" w14:textId="77777777" w:rsidR="00055434" w:rsidRPr="00401515" w:rsidRDefault="00055434" w:rsidP="00065FD6">
            <w:pPr>
              <w:adjustRightInd w:val="0"/>
              <w:spacing w:before="60" w:after="60"/>
              <w:rPr>
                <w:color w:val="000000"/>
              </w:rPr>
            </w:pPr>
            <w:r w:rsidRPr="00401515">
              <w:rPr>
                <w:color w:val="000000"/>
              </w:rPr>
              <w:t>Healthy Weight</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2D64FB8D" w14:textId="44BB513A"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16132006" w14:textId="77777777" w:rsidR="00055434" w:rsidRPr="00401515" w:rsidRDefault="00055434" w:rsidP="00065FD6">
            <w:pPr>
              <w:adjustRightInd w:val="0"/>
              <w:spacing w:before="60" w:after="60"/>
              <w:rPr>
                <w:color w:val="000000"/>
              </w:rPr>
            </w:pPr>
            <w:r w:rsidRPr="00401515">
              <w:rPr>
                <w:color w:val="000000"/>
              </w:rPr>
              <w:t>0.13</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76C04AD0" w14:textId="77777777" w:rsidR="00055434" w:rsidRPr="00401515" w:rsidRDefault="00055434" w:rsidP="00065FD6">
            <w:pPr>
              <w:adjustRightInd w:val="0"/>
              <w:spacing w:before="60" w:after="60"/>
              <w:rPr>
                <w:color w:val="000000"/>
              </w:rPr>
            </w:pPr>
            <w:r w:rsidRPr="00401515">
              <w:rPr>
                <w:color w:val="000000"/>
              </w:rPr>
              <w:t>0.20</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4A02F616" w14:textId="77777777" w:rsidR="00055434" w:rsidRPr="00401515" w:rsidRDefault="00055434" w:rsidP="00065FD6">
            <w:pPr>
              <w:adjustRightInd w:val="0"/>
              <w:spacing w:before="60" w:after="60"/>
              <w:rPr>
                <w:color w:val="000000"/>
              </w:rPr>
            </w:pPr>
            <w:r w:rsidRPr="00401515">
              <w:rPr>
                <w:color w:val="000000"/>
              </w:rPr>
              <w:t>0.37</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6EA792D0" w14:textId="77777777" w:rsidR="00055434" w:rsidRPr="00401515" w:rsidRDefault="00055434" w:rsidP="00065FD6">
            <w:pPr>
              <w:adjustRightInd w:val="0"/>
              <w:spacing w:before="60" w:after="60"/>
              <w:rPr>
                <w:color w:val="000000"/>
              </w:rPr>
            </w:pPr>
            <w:r w:rsidRPr="00401515">
              <w:rPr>
                <w:color w:val="000000"/>
              </w:rPr>
              <w:t>0.58</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2DB83A30" w14:textId="77777777" w:rsidR="00055434" w:rsidRPr="00401515" w:rsidRDefault="00055434" w:rsidP="00065FD6">
            <w:pPr>
              <w:adjustRightInd w:val="0"/>
              <w:spacing w:before="60" w:after="60"/>
              <w:rPr>
                <w:color w:val="000000"/>
              </w:rPr>
            </w:pPr>
            <w:r w:rsidRPr="00401515">
              <w:rPr>
                <w:color w:val="000000"/>
              </w:rPr>
              <w:t>0.97</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0F9D0A66" w14:textId="77777777" w:rsidR="00055434" w:rsidRPr="00401515" w:rsidRDefault="00055434" w:rsidP="00065FD6">
            <w:pPr>
              <w:adjustRightInd w:val="0"/>
              <w:spacing w:before="60" w:after="60"/>
              <w:rPr>
                <w:color w:val="000000"/>
              </w:rPr>
            </w:pPr>
            <w:r w:rsidRPr="00401515">
              <w:rPr>
                <w:color w:val="000000"/>
              </w:rPr>
              <w:t>1.41</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A49F0F" w14:textId="77777777" w:rsidR="00055434" w:rsidRPr="00401515" w:rsidRDefault="00055434" w:rsidP="00065FD6">
            <w:pPr>
              <w:adjustRightInd w:val="0"/>
              <w:spacing w:before="60" w:after="60"/>
              <w:jc w:val="right"/>
              <w:rPr>
                <w:color w:val="000000"/>
              </w:rPr>
            </w:pPr>
            <w:r w:rsidRPr="00401515">
              <w:rPr>
                <w:color w:val="000000"/>
              </w:rPr>
              <w:t>392</w:t>
            </w:r>
          </w:p>
        </w:tc>
      </w:tr>
      <w:tr w:rsidR="00055434" w:rsidRPr="00401515" w14:paraId="07E6A73D" w14:textId="77777777" w:rsidTr="00A018B4">
        <w:trPr>
          <w:cantSplit/>
          <w:trHeight w:val="430"/>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046CC5AE" w14:textId="77777777" w:rsidR="00055434" w:rsidRPr="00401515" w:rsidRDefault="00055434" w:rsidP="00065FD6">
            <w:pPr>
              <w:adjustRightInd w:val="0"/>
              <w:spacing w:before="60" w:after="60"/>
              <w:rPr>
                <w:color w:val="000000"/>
              </w:rPr>
            </w:pPr>
            <w:r w:rsidRPr="00401515">
              <w:rPr>
                <w:color w:val="000000"/>
              </w:rPr>
              <w:t>BMI</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5BE85750" w14:textId="77777777" w:rsidR="00055434" w:rsidRPr="00401515" w:rsidRDefault="00055434" w:rsidP="00065FD6">
            <w:pPr>
              <w:adjustRightInd w:val="0"/>
              <w:spacing w:before="60" w:after="60"/>
              <w:rPr>
                <w:color w:val="000000"/>
              </w:rPr>
            </w:pPr>
            <w:r w:rsidRPr="00401515">
              <w:rPr>
                <w:color w:val="000000"/>
              </w:rPr>
              <w:t>Overweight/Obese</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7B6A6D41" w14:textId="645CB6E9"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3CEE449C" w14:textId="77777777" w:rsidR="00055434" w:rsidRPr="00401515" w:rsidRDefault="00055434" w:rsidP="00065FD6">
            <w:pPr>
              <w:adjustRightInd w:val="0"/>
              <w:spacing w:before="60" w:after="60"/>
              <w:rPr>
                <w:color w:val="000000"/>
              </w:rPr>
            </w:pPr>
            <w:r w:rsidRPr="00401515">
              <w:rPr>
                <w:color w:val="000000"/>
              </w:rPr>
              <w:t>0.12</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1BCAE107" w14:textId="77777777" w:rsidR="00055434" w:rsidRPr="00401515" w:rsidRDefault="00055434" w:rsidP="00065FD6">
            <w:pPr>
              <w:adjustRightInd w:val="0"/>
              <w:spacing w:before="60" w:after="60"/>
              <w:rPr>
                <w:color w:val="000000"/>
              </w:rPr>
            </w:pPr>
            <w:r w:rsidRPr="00401515">
              <w:rPr>
                <w:color w:val="000000"/>
              </w:rPr>
              <w:t>0.15</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5127808A" w14:textId="77777777" w:rsidR="00055434" w:rsidRPr="00401515" w:rsidRDefault="00055434" w:rsidP="00065FD6">
            <w:pPr>
              <w:adjustRightInd w:val="0"/>
              <w:spacing w:before="60" w:after="60"/>
              <w:rPr>
                <w:color w:val="000000"/>
              </w:rPr>
            </w:pPr>
            <w:r w:rsidRPr="00401515">
              <w:rPr>
                <w:color w:val="000000"/>
              </w:rPr>
              <w:t>0.24</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737B1468" w14:textId="77777777" w:rsidR="00055434" w:rsidRPr="00401515" w:rsidRDefault="00055434" w:rsidP="00065FD6">
            <w:pPr>
              <w:adjustRightInd w:val="0"/>
              <w:spacing w:before="60" w:after="60"/>
              <w:rPr>
                <w:color w:val="000000"/>
              </w:rPr>
            </w:pPr>
            <w:r w:rsidRPr="00401515">
              <w:rPr>
                <w:color w:val="000000"/>
              </w:rPr>
              <w:t>0.45</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53CAD7A9" w14:textId="77777777" w:rsidR="00055434" w:rsidRPr="00401515" w:rsidRDefault="00055434" w:rsidP="00065FD6">
            <w:pPr>
              <w:adjustRightInd w:val="0"/>
              <w:spacing w:before="60" w:after="60"/>
              <w:rPr>
                <w:color w:val="000000"/>
              </w:rPr>
            </w:pPr>
            <w:r w:rsidRPr="00401515">
              <w:rPr>
                <w:color w:val="000000"/>
              </w:rPr>
              <w:t>0.76</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27C04E3B" w14:textId="77777777" w:rsidR="00055434" w:rsidRPr="00401515" w:rsidRDefault="00055434" w:rsidP="00065FD6">
            <w:pPr>
              <w:adjustRightInd w:val="0"/>
              <w:spacing w:before="60" w:after="60"/>
              <w:rPr>
                <w:color w:val="000000"/>
              </w:rPr>
            </w:pPr>
            <w:r w:rsidRPr="00401515">
              <w:rPr>
                <w:color w:val="000000"/>
              </w:rPr>
              <w:t>1.11</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85ED20" w14:textId="77777777" w:rsidR="00055434" w:rsidRPr="00401515" w:rsidRDefault="00055434" w:rsidP="00065FD6">
            <w:pPr>
              <w:adjustRightInd w:val="0"/>
              <w:spacing w:before="60" w:after="60"/>
              <w:jc w:val="right"/>
              <w:rPr>
                <w:color w:val="000000"/>
              </w:rPr>
            </w:pPr>
            <w:r w:rsidRPr="00401515">
              <w:rPr>
                <w:color w:val="000000"/>
              </w:rPr>
              <w:t>907</w:t>
            </w:r>
          </w:p>
        </w:tc>
      </w:tr>
      <w:tr w:rsidR="00055434" w:rsidRPr="00401515" w14:paraId="0D09B0A5"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4922B934" w14:textId="77777777" w:rsidR="00055434" w:rsidRPr="00401515" w:rsidRDefault="00055434" w:rsidP="00065FD6">
            <w:pPr>
              <w:adjustRightInd w:val="0"/>
              <w:spacing w:before="60" w:after="60"/>
              <w:rPr>
                <w:color w:val="000000"/>
              </w:rPr>
            </w:pPr>
            <w:r w:rsidRPr="00401515">
              <w:rPr>
                <w:color w:val="000000"/>
              </w:rPr>
              <w:t>BMI</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5427CD11" w14:textId="77777777" w:rsidR="00055434" w:rsidRPr="00401515" w:rsidRDefault="00055434" w:rsidP="00065FD6">
            <w:pPr>
              <w:adjustRightInd w:val="0"/>
              <w:spacing w:before="60" w:after="60"/>
              <w:rPr>
                <w:color w:val="000000"/>
              </w:rPr>
            </w:pPr>
            <w:r w:rsidRPr="00401515">
              <w:rPr>
                <w:color w:val="000000"/>
              </w:rPr>
              <w:t>Underweight</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15F2E277" w14:textId="4F74661F"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21E6A82E" w14:textId="77777777" w:rsidR="00055434" w:rsidRPr="00401515" w:rsidRDefault="00055434" w:rsidP="00065FD6">
            <w:pPr>
              <w:adjustRightInd w:val="0"/>
              <w:spacing w:before="60" w:after="60"/>
              <w:rPr>
                <w:color w:val="000000"/>
              </w:rPr>
            </w:pPr>
            <w:r w:rsidRPr="00401515">
              <w:rPr>
                <w:color w:val="000000"/>
              </w:rPr>
              <w:t>0.17</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28CEA1FD" w14:textId="77777777" w:rsidR="00055434" w:rsidRPr="00401515" w:rsidRDefault="00055434" w:rsidP="00065FD6">
            <w:pPr>
              <w:adjustRightInd w:val="0"/>
              <w:spacing w:before="60" w:after="60"/>
              <w:rPr>
                <w:color w:val="000000"/>
              </w:rPr>
            </w:pPr>
            <w:r w:rsidRPr="00401515">
              <w:rPr>
                <w:color w:val="000000"/>
              </w:rPr>
              <w:t>0.23</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1A292002" w14:textId="77777777" w:rsidR="00055434" w:rsidRPr="00401515" w:rsidRDefault="00055434" w:rsidP="00065FD6">
            <w:pPr>
              <w:adjustRightInd w:val="0"/>
              <w:spacing w:before="60" w:after="60"/>
              <w:rPr>
                <w:color w:val="000000"/>
              </w:rPr>
            </w:pPr>
            <w:r w:rsidRPr="00401515">
              <w:rPr>
                <w:color w:val="000000"/>
              </w:rPr>
              <w:t>0.54</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6BDAFF0" w14:textId="77777777" w:rsidR="00055434" w:rsidRPr="00401515" w:rsidRDefault="00055434" w:rsidP="00065FD6">
            <w:pPr>
              <w:adjustRightInd w:val="0"/>
              <w:spacing w:before="60" w:after="60"/>
              <w:rPr>
                <w:color w:val="000000"/>
              </w:rPr>
            </w:pPr>
            <w:r w:rsidRPr="00401515">
              <w:rPr>
                <w:color w:val="000000"/>
              </w:rPr>
              <w:t>1.11</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26136168" w14:textId="77777777" w:rsidR="00055434" w:rsidRPr="00401515" w:rsidRDefault="00055434" w:rsidP="00065FD6">
            <w:pPr>
              <w:adjustRightInd w:val="0"/>
              <w:spacing w:before="60" w:after="60"/>
              <w:rPr>
                <w:color w:val="000000"/>
              </w:rPr>
            </w:pPr>
            <w:r w:rsidRPr="00401515">
              <w:rPr>
                <w:color w:val="000000"/>
              </w:rPr>
              <w:t>1.25</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508C96BE" w14:textId="77777777" w:rsidR="00055434" w:rsidRPr="00401515" w:rsidRDefault="00055434" w:rsidP="00065FD6">
            <w:pPr>
              <w:adjustRightInd w:val="0"/>
              <w:spacing w:before="60" w:after="60"/>
              <w:rPr>
                <w:color w:val="000000"/>
              </w:rPr>
            </w:pPr>
            <w:r w:rsidRPr="00401515">
              <w:rPr>
                <w:color w:val="000000"/>
              </w:rPr>
              <w:t>1.42</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7FC732" w14:textId="77777777" w:rsidR="00055434" w:rsidRPr="00401515" w:rsidRDefault="00055434" w:rsidP="00065FD6">
            <w:pPr>
              <w:adjustRightInd w:val="0"/>
              <w:spacing w:before="60" w:after="60"/>
              <w:jc w:val="right"/>
              <w:rPr>
                <w:color w:val="000000"/>
              </w:rPr>
            </w:pPr>
            <w:r w:rsidRPr="00401515">
              <w:rPr>
                <w:color w:val="000000"/>
              </w:rPr>
              <w:t>17</w:t>
            </w:r>
          </w:p>
        </w:tc>
      </w:tr>
      <w:tr w:rsidR="00055434" w:rsidRPr="00401515" w14:paraId="30250CF5"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388B8DC3" w14:textId="77777777" w:rsidR="00055434" w:rsidRPr="00401515" w:rsidRDefault="00055434" w:rsidP="00065FD6">
            <w:pPr>
              <w:adjustRightInd w:val="0"/>
              <w:spacing w:before="60" w:after="60"/>
              <w:rPr>
                <w:color w:val="000000"/>
              </w:rPr>
            </w:pPr>
            <w:r w:rsidRPr="00401515">
              <w:rPr>
                <w:color w:val="000000"/>
              </w:rPr>
              <w:t>PIR</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5CCA3786" w14:textId="77777777" w:rsidR="00055434" w:rsidRPr="00401515" w:rsidRDefault="00055434" w:rsidP="00065FD6">
            <w:pPr>
              <w:adjustRightInd w:val="0"/>
              <w:spacing w:before="60" w:after="60"/>
              <w:rPr>
                <w:color w:val="000000"/>
              </w:rPr>
            </w:pPr>
            <w:r w:rsidRPr="00401515">
              <w:rPr>
                <w:color w:val="000000"/>
              </w:rPr>
              <w:t>No</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54C0E6AC" w14:textId="7AAC9DD1"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075E29E8" w14:textId="77777777" w:rsidR="00055434" w:rsidRPr="00401515" w:rsidRDefault="00055434" w:rsidP="00065FD6">
            <w:pPr>
              <w:adjustRightInd w:val="0"/>
              <w:spacing w:before="60" w:after="60"/>
              <w:rPr>
                <w:color w:val="000000"/>
              </w:rPr>
            </w:pPr>
            <w:r w:rsidRPr="00401515">
              <w:rPr>
                <w:color w:val="000000"/>
              </w:rPr>
              <w:t>0.12</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427A5F74" w14:textId="77777777" w:rsidR="00055434" w:rsidRPr="00401515" w:rsidRDefault="00055434" w:rsidP="00065FD6">
            <w:pPr>
              <w:adjustRightInd w:val="0"/>
              <w:spacing w:before="60" w:after="60"/>
              <w:rPr>
                <w:color w:val="000000"/>
              </w:rPr>
            </w:pPr>
            <w:r w:rsidRPr="00401515">
              <w:rPr>
                <w:color w:val="000000"/>
              </w:rPr>
              <w:t>0.17</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6BACCB7E" w14:textId="77777777" w:rsidR="00055434" w:rsidRPr="00401515" w:rsidRDefault="00055434" w:rsidP="00065FD6">
            <w:pPr>
              <w:adjustRightInd w:val="0"/>
              <w:spacing w:before="60" w:after="60"/>
              <w:rPr>
                <w:color w:val="000000"/>
              </w:rPr>
            </w:pPr>
            <w:r w:rsidRPr="00401515">
              <w:rPr>
                <w:color w:val="000000"/>
              </w:rPr>
              <w:t>0.27</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5F077F42" w14:textId="77777777" w:rsidR="00055434" w:rsidRPr="00401515" w:rsidRDefault="00055434" w:rsidP="00065FD6">
            <w:pPr>
              <w:adjustRightInd w:val="0"/>
              <w:spacing w:before="60" w:after="60"/>
              <w:rPr>
                <w:color w:val="000000"/>
              </w:rPr>
            </w:pPr>
            <w:r w:rsidRPr="00401515">
              <w:rPr>
                <w:color w:val="000000"/>
              </w:rPr>
              <w:t>0.51</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DA9E2C4" w14:textId="77777777" w:rsidR="00055434" w:rsidRPr="00401515" w:rsidRDefault="00055434" w:rsidP="00065FD6">
            <w:pPr>
              <w:adjustRightInd w:val="0"/>
              <w:spacing w:before="60" w:after="60"/>
              <w:rPr>
                <w:color w:val="000000"/>
              </w:rPr>
            </w:pPr>
            <w:r w:rsidRPr="00401515">
              <w:rPr>
                <w:color w:val="000000"/>
              </w:rPr>
              <w:t>0.87</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396D403C" w14:textId="77777777" w:rsidR="00055434" w:rsidRPr="00401515" w:rsidRDefault="00055434" w:rsidP="00065FD6">
            <w:pPr>
              <w:adjustRightInd w:val="0"/>
              <w:spacing w:before="60" w:after="60"/>
              <w:rPr>
                <w:color w:val="000000"/>
              </w:rPr>
            </w:pPr>
            <w:r w:rsidRPr="00401515">
              <w:rPr>
                <w:color w:val="000000"/>
              </w:rPr>
              <w:t>1.22</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461F21" w14:textId="77777777" w:rsidR="00055434" w:rsidRPr="00401515" w:rsidRDefault="00055434" w:rsidP="00065FD6">
            <w:pPr>
              <w:adjustRightInd w:val="0"/>
              <w:spacing w:before="60" w:after="60"/>
              <w:jc w:val="right"/>
              <w:rPr>
                <w:color w:val="000000"/>
              </w:rPr>
            </w:pPr>
            <w:r w:rsidRPr="00401515">
              <w:rPr>
                <w:color w:val="000000"/>
              </w:rPr>
              <w:t>995</w:t>
            </w:r>
          </w:p>
        </w:tc>
      </w:tr>
      <w:tr w:rsidR="00055434" w:rsidRPr="00401515" w14:paraId="5B6E0CB3" w14:textId="77777777" w:rsidTr="00A018B4">
        <w:trPr>
          <w:cantSplit/>
          <w:trHeight w:val="430"/>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6E2B5E0F" w14:textId="77777777" w:rsidR="00055434" w:rsidRPr="00401515" w:rsidRDefault="00055434" w:rsidP="00065FD6">
            <w:pPr>
              <w:adjustRightInd w:val="0"/>
              <w:spacing w:before="60" w:after="60"/>
              <w:rPr>
                <w:color w:val="000000"/>
              </w:rPr>
            </w:pPr>
            <w:r w:rsidRPr="00401515">
              <w:rPr>
                <w:color w:val="000000"/>
              </w:rPr>
              <w:t>PIR</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10C450AD" w14:textId="77777777" w:rsidR="00055434" w:rsidRPr="00401515" w:rsidRDefault="00055434" w:rsidP="00065FD6">
            <w:pPr>
              <w:adjustRightInd w:val="0"/>
              <w:spacing w:before="60" w:after="60"/>
              <w:rPr>
                <w:color w:val="000000"/>
              </w:rPr>
            </w:pPr>
            <w:r w:rsidRPr="00401515">
              <w:rPr>
                <w:color w:val="000000"/>
              </w:rPr>
              <w:t>Yes</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5657ADA0" w14:textId="30A529F5"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7CACB67A" w14:textId="77777777" w:rsidR="00055434" w:rsidRPr="00401515" w:rsidRDefault="00055434" w:rsidP="00065FD6">
            <w:pPr>
              <w:adjustRightInd w:val="0"/>
              <w:spacing w:before="60" w:after="60"/>
              <w:rPr>
                <w:color w:val="000000"/>
              </w:rPr>
            </w:pPr>
            <w:r w:rsidRPr="00401515">
              <w:rPr>
                <w:color w:val="000000"/>
              </w:rPr>
              <w:t>0.11</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08E160FB" w14:textId="77777777" w:rsidR="00055434" w:rsidRPr="00401515" w:rsidRDefault="00055434" w:rsidP="00065FD6">
            <w:pPr>
              <w:adjustRightInd w:val="0"/>
              <w:spacing w:before="60" w:after="60"/>
              <w:rPr>
                <w:color w:val="000000"/>
              </w:rPr>
            </w:pPr>
            <w:r w:rsidRPr="00401515">
              <w:rPr>
                <w:color w:val="000000"/>
              </w:rPr>
              <w:t>0.15</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49523DFF" w14:textId="77777777" w:rsidR="00055434" w:rsidRPr="00401515" w:rsidRDefault="00055434" w:rsidP="00065FD6">
            <w:pPr>
              <w:adjustRightInd w:val="0"/>
              <w:spacing w:before="60" w:after="60"/>
              <w:rPr>
                <w:color w:val="000000"/>
              </w:rPr>
            </w:pPr>
            <w:r w:rsidRPr="00401515">
              <w:rPr>
                <w:color w:val="000000"/>
              </w:rPr>
              <w:t>0.23</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73213E0B" w14:textId="77777777" w:rsidR="00055434" w:rsidRPr="00401515" w:rsidRDefault="00055434" w:rsidP="00065FD6">
            <w:pPr>
              <w:adjustRightInd w:val="0"/>
              <w:spacing w:before="60" w:after="60"/>
              <w:rPr>
                <w:color w:val="000000"/>
              </w:rPr>
            </w:pPr>
            <w:r w:rsidRPr="00401515">
              <w:rPr>
                <w:color w:val="000000"/>
              </w:rPr>
              <w:t>0.39</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5D56271A" w14:textId="77777777" w:rsidR="00055434" w:rsidRPr="00401515" w:rsidRDefault="00055434" w:rsidP="00065FD6">
            <w:pPr>
              <w:adjustRightInd w:val="0"/>
              <w:spacing w:before="60" w:after="60"/>
              <w:rPr>
                <w:color w:val="000000"/>
              </w:rPr>
            </w:pPr>
            <w:r w:rsidRPr="00401515">
              <w:rPr>
                <w:color w:val="000000"/>
              </w:rPr>
              <w:t>0.70</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4D26FB11" w14:textId="77777777" w:rsidR="00055434" w:rsidRPr="00401515" w:rsidRDefault="00055434" w:rsidP="00065FD6">
            <w:pPr>
              <w:adjustRightInd w:val="0"/>
              <w:spacing w:before="60" w:after="60"/>
              <w:rPr>
                <w:color w:val="000000"/>
              </w:rPr>
            </w:pPr>
            <w:r w:rsidRPr="00401515">
              <w:rPr>
                <w:color w:val="000000"/>
              </w:rPr>
              <w:t>0.97</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7AA738" w14:textId="77777777" w:rsidR="00055434" w:rsidRPr="00401515" w:rsidRDefault="00055434" w:rsidP="00065FD6">
            <w:pPr>
              <w:adjustRightInd w:val="0"/>
              <w:spacing w:before="60" w:after="60"/>
              <w:jc w:val="right"/>
              <w:rPr>
                <w:color w:val="000000"/>
              </w:rPr>
            </w:pPr>
            <w:r w:rsidRPr="00401515">
              <w:rPr>
                <w:color w:val="000000"/>
              </w:rPr>
              <w:t>237</w:t>
            </w:r>
          </w:p>
        </w:tc>
      </w:tr>
      <w:tr w:rsidR="00055434" w:rsidRPr="00401515" w14:paraId="27C5FA0A"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57BC45D2" w14:textId="77777777" w:rsidR="00055434" w:rsidRPr="00401515" w:rsidRDefault="00055434" w:rsidP="00065FD6">
            <w:pPr>
              <w:adjustRightInd w:val="0"/>
              <w:spacing w:before="60" w:after="60"/>
              <w:rPr>
                <w:color w:val="000000"/>
              </w:rPr>
            </w:pPr>
            <w:r w:rsidRPr="00401515">
              <w:rPr>
                <w:color w:val="000000"/>
              </w:rPr>
              <w:t>Race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6CCF6B85" w14:textId="77777777" w:rsidR="00055434" w:rsidRPr="00401515" w:rsidRDefault="00055434" w:rsidP="00065FD6">
            <w:pPr>
              <w:adjustRightInd w:val="0"/>
              <w:spacing w:before="60" w:after="60"/>
              <w:rPr>
                <w:color w:val="000000"/>
              </w:rPr>
            </w:pPr>
            <w:r w:rsidRPr="00401515">
              <w:rPr>
                <w:color w:val="000000"/>
              </w:rPr>
              <w:t>Mexican American</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6C5CAC2C" w14:textId="69C3ECDB"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3A4612B0" w14:textId="77777777" w:rsidR="00055434" w:rsidRPr="00401515" w:rsidRDefault="00055434" w:rsidP="00065FD6">
            <w:pPr>
              <w:adjustRightInd w:val="0"/>
              <w:spacing w:before="60" w:after="60"/>
              <w:rPr>
                <w:color w:val="000000"/>
              </w:rPr>
            </w:pPr>
            <w:r w:rsidRPr="00401515">
              <w:rPr>
                <w:color w:val="000000"/>
              </w:rPr>
              <w:t>0.13</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2D47C9C6" w14:textId="77777777" w:rsidR="00055434" w:rsidRPr="00401515" w:rsidRDefault="00055434" w:rsidP="00065FD6">
            <w:pPr>
              <w:adjustRightInd w:val="0"/>
              <w:spacing w:before="60" w:after="60"/>
              <w:rPr>
                <w:color w:val="000000"/>
              </w:rPr>
            </w:pPr>
            <w:r w:rsidRPr="00401515">
              <w:rPr>
                <w:color w:val="000000"/>
              </w:rPr>
              <w:t>0.16</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3614709F" w14:textId="77777777" w:rsidR="00055434" w:rsidRPr="00401515" w:rsidRDefault="00055434" w:rsidP="00065FD6">
            <w:pPr>
              <w:adjustRightInd w:val="0"/>
              <w:spacing w:before="60" w:after="60"/>
              <w:rPr>
                <w:color w:val="000000"/>
              </w:rPr>
            </w:pPr>
            <w:r w:rsidRPr="00401515">
              <w:rPr>
                <w:color w:val="000000"/>
              </w:rPr>
              <w:t>0.26</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4931465F" w14:textId="77777777" w:rsidR="00055434" w:rsidRPr="00401515" w:rsidRDefault="00055434" w:rsidP="00065FD6">
            <w:pPr>
              <w:adjustRightInd w:val="0"/>
              <w:spacing w:before="60" w:after="60"/>
              <w:rPr>
                <w:color w:val="000000"/>
              </w:rPr>
            </w:pPr>
            <w:r w:rsidRPr="00401515">
              <w:rPr>
                <w:color w:val="000000"/>
              </w:rPr>
              <w:t>0.49</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026596B6" w14:textId="77777777" w:rsidR="00055434" w:rsidRPr="00401515" w:rsidRDefault="00055434" w:rsidP="00065FD6">
            <w:pPr>
              <w:adjustRightInd w:val="0"/>
              <w:spacing w:before="60" w:after="60"/>
              <w:rPr>
                <w:color w:val="000000"/>
              </w:rPr>
            </w:pPr>
            <w:r w:rsidRPr="00401515">
              <w:rPr>
                <w:color w:val="000000"/>
              </w:rPr>
              <w:t>0.78</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0E5382B0" w14:textId="77777777" w:rsidR="00055434" w:rsidRPr="00401515" w:rsidRDefault="00055434" w:rsidP="00065FD6">
            <w:pPr>
              <w:adjustRightInd w:val="0"/>
              <w:spacing w:before="60" w:after="60"/>
              <w:rPr>
                <w:color w:val="000000"/>
              </w:rPr>
            </w:pPr>
            <w:r w:rsidRPr="00401515">
              <w:rPr>
                <w:color w:val="000000"/>
              </w:rPr>
              <w:t>0.92</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C940C1" w14:textId="77777777" w:rsidR="00055434" w:rsidRPr="00401515" w:rsidRDefault="00055434" w:rsidP="00065FD6">
            <w:pPr>
              <w:adjustRightInd w:val="0"/>
              <w:spacing w:before="60" w:after="60"/>
              <w:jc w:val="right"/>
              <w:rPr>
                <w:color w:val="000000"/>
              </w:rPr>
            </w:pPr>
            <w:r w:rsidRPr="00401515">
              <w:rPr>
                <w:color w:val="000000"/>
              </w:rPr>
              <w:t>244</w:t>
            </w:r>
          </w:p>
        </w:tc>
      </w:tr>
      <w:tr w:rsidR="00055434" w:rsidRPr="00401515" w14:paraId="7D9E552E"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7A0498D5" w14:textId="77777777" w:rsidR="00055434" w:rsidRPr="00401515" w:rsidRDefault="00055434" w:rsidP="00065FD6">
            <w:pPr>
              <w:adjustRightInd w:val="0"/>
              <w:spacing w:before="60" w:after="60"/>
              <w:rPr>
                <w:color w:val="000000"/>
              </w:rPr>
            </w:pPr>
            <w:r w:rsidRPr="00401515">
              <w:rPr>
                <w:color w:val="000000"/>
              </w:rPr>
              <w:t>Race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1D682947" w14:textId="77777777" w:rsidR="00055434" w:rsidRPr="00401515" w:rsidRDefault="00055434" w:rsidP="00065FD6">
            <w:pPr>
              <w:adjustRightInd w:val="0"/>
              <w:spacing w:before="60" w:after="60"/>
              <w:rPr>
                <w:color w:val="000000"/>
              </w:rPr>
            </w:pPr>
            <w:r w:rsidRPr="00401515">
              <w:rPr>
                <w:color w:val="000000"/>
              </w:rPr>
              <w:t>Non-Hispanic Black</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4004530C" w14:textId="23CF4D2D"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00F2CD6D" w14:textId="77777777" w:rsidR="00055434" w:rsidRPr="00401515" w:rsidRDefault="00055434" w:rsidP="00065FD6">
            <w:pPr>
              <w:adjustRightInd w:val="0"/>
              <w:spacing w:before="60" w:after="60"/>
              <w:rPr>
                <w:color w:val="000000"/>
              </w:rPr>
            </w:pPr>
            <w:r w:rsidRPr="00401515">
              <w:rPr>
                <w:color w:val="000000"/>
              </w:rPr>
              <w:t>0.10</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7DBF8ECF" w14:textId="77777777" w:rsidR="00055434" w:rsidRPr="00401515" w:rsidRDefault="00055434" w:rsidP="00065FD6">
            <w:pPr>
              <w:adjustRightInd w:val="0"/>
              <w:spacing w:before="60" w:after="60"/>
              <w:rPr>
                <w:color w:val="000000"/>
              </w:rPr>
            </w:pPr>
            <w:r w:rsidRPr="00401515">
              <w:rPr>
                <w:color w:val="000000"/>
              </w:rPr>
              <w:t>0.13</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38D68E97" w14:textId="77777777" w:rsidR="00055434" w:rsidRPr="00401515" w:rsidRDefault="00055434" w:rsidP="00065FD6">
            <w:pPr>
              <w:adjustRightInd w:val="0"/>
              <w:spacing w:before="60" w:after="60"/>
              <w:rPr>
                <w:color w:val="000000"/>
              </w:rPr>
            </w:pPr>
            <w:r w:rsidRPr="00401515">
              <w:rPr>
                <w:color w:val="000000"/>
              </w:rPr>
              <w:t>0.18</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1A2911BF" w14:textId="77777777" w:rsidR="00055434" w:rsidRPr="00401515" w:rsidRDefault="00055434" w:rsidP="00065FD6">
            <w:pPr>
              <w:adjustRightInd w:val="0"/>
              <w:spacing w:before="60" w:after="60"/>
              <w:rPr>
                <w:color w:val="000000"/>
              </w:rPr>
            </w:pPr>
            <w:r w:rsidRPr="00401515">
              <w:rPr>
                <w:color w:val="000000"/>
              </w:rPr>
              <w:t>0.24</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49A8C87" w14:textId="77777777" w:rsidR="00055434" w:rsidRPr="00401515" w:rsidRDefault="00055434" w:rsidP="00065FD6">
            <w:pPr>
              <w:adjustRightInd w:val="0"/>
              <w:spacing w:before="60" w:after="60"/>
              <w:rPr>
                <w:color w:val="000000"/>
              </w:rPr>
            </w:pPr>
            <w:r w:rsidRPr="00401515">
              <w:rPr>
                <w:color w:val="000000"/>
              </w:rPr>
              <w:t>0.43</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280DDD1A" w14:textId="77777777" w:rsidR="00055434" w:rsidRPr="00401515" w:rsidRDefault="00055434" w:rsidP="00065FD6">
            <w:pPr>
              <w:adjustRightInd w:val="0"/>
              <w:spacing w:before="60" w:after="60"/>
              <w:rPr>
                <w:color w:val="000000"/>
              </w:rPr>
            </w:pPr>
            <w:r w:rsidRPr="00401515">
              <w:rPr>
                <w:color w:val="000000"/>
              </w:rPr>
              <w:t>0.58</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E801EB" w14:textId="77777777" w:rsidR="00055434" w:rsidRPr="00401515" w:rsidRDefault="00055434" w:rsidP="00065FD6">
            <w:pPr>
              <w:adjustRightInd w:val="0"/>
              <w:spacing w:before="60" w:after="60"/>
              <w:jc w:val="right"/>
              <w:rPr>
                <w:color w:val="000000"/>
              </w:rPr>
            </w:pPr>
            <w:r w:rsidRPr="00401515">
              <w:rPr>
                <w:color w:val="000000"/>
              </w:rPr>
              <w:t>217</w:t>
            </w:r>
          </w:p>
        </w:tc>
      </w:tr>
      <w:tr w:rsidR="00055434" w:rsidRPr="00401515" w14:paraId="1B36CC87" w14:textId="77777777" w:rsidTr="00A018B4">
        <w:trPr>
          <w:cantSplit/>
          <w:trHeight w:val="430"/>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5702CBCA" w14:textId="77777777" w:rsidR="00055434" w:rsidRPr="00401515" w:rsidRDefault="00055434" w:rsidP="00065FD6">
            <w:pPr>
              <w:adjustRightInd w:val="0"/>
              <w:spacing w:before="60" w:after="60"/>
              <w:rPr>
                <w:color w:val="000000"/>
              </w:rPr>
            </w:pPr>
            <w:r w:rsidRPr="00401515">
              <w:rPr>
                <w:color w:val="000000"/>
              </w:rPr>
              <w:t>Race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2150EEEF" w14:textId="77777777" w:rsidR="00055434" w:rsidRPr="00401515" w:rsidRDefault="00055434" w:rsidP="00065FD6">
            <w:pPr>
              <w:adjustRightInd w:val="0"/>
              <w:spacing w:before="60" w:after="60"/>
              <w:rPr>
                <w:color w:val="000000"/>
              </w:rPr>
            </w:pPr>
            <w:r w:rsidRPr="00401515">
              <w:rPr>
                <w:color w:val="000000"/>
              </w:rPr>
              <w:t>Non-Hispanic White</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38EB058A" w14:textId="32BFC6C8"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2B405A3F" w14:textId="77777777" w:rsidR="00055434" w:rsidRPr="00401515" w:rsidRDefault="00055434" w:rsidP="00065FD6">
            <w:pPr>
              <w:adjustRightInd w:val="0"/>
              <w:spacing w:before="60" w:after="60"/>
              <w:rPr>
                <w:color w:val="000000"/>
              </w:rPr>
            </w:pPr>
            <w:r w:rsidRPr="00401515">
              <w:rPr>
                <w:color w:val="000000"/>
              </w:rPr>
              <w:t>0.12</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5ED2F7EE" w14:textId="77777777" w:rsidR="00055434" w:rsidRPr="00401515" w:rsidRDefault="00055434" w:rsidP="00065FD6">
            <w:pPr>
              <w:adjustRightInd w:val="0"/>
              <w:spacing w:before="60" w:after="60"/>
              <w:rPr>
                <w:color w:val="000000"/>
              </w:rPr>
            </w:pPr>
            <w:r w:rsidRPr="00401515">
              <w:rPr>
                <w:color w:val="000000"/>
              </w:rPr>
              <w:t>0.17</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5E7E4584" w14:textId="77777777" w:rsidR="00055434" w:rsidRPr="00401515" w:rsidRDefault="00055434" w:rsidP="00065FD6">
            <w:pPr>
              <w:adjustRightInd w:val="0"/>
              <w:spacing w:before="60" w:after="60"/>
              <w:rPr>
                <w:color w:val="000000"/>
              </w:rPr>
            </w:pPr>
            <w:r w:rsidRPr="00401515">
              <w:rPr>
                <w:color w:val="000000"/>
              </w:rPr>
              <w:t>0.29</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2D3DD3E9" w14:textId="77777777" w:rsidR="00055434" w:rsidRPr="00401515" w:rsidRDefault="00055434" w:rsidP="00065FD6">
            <w:pPr>
              <w:adjustRightInd w:val="0"/>
              <w:spacing w:before="60" w:after="60"/>
              <w:rPr>
                <w:color w:val="000000"/>
              </w:rPr>
            </w:pPr>
            <w:r w:rsidRPr="00401515">
              <w:rPr>
                <w:color w:val="000000"/>
              </w:rPr>
              <w:t>0.53</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7F76E42" w14:textId="77777777" w:rsidR="00055434" w:rsidRPr="00401515" w:rsidRDefault="00055434" w:rsidP="00065FD6">
            <w:pPr>
              <w:adjustRightInd w:val="0"/>
              <w:spacing w:before="60" w:after="60"/>
              <w:rPr>
                <w:color w:val="000000"/>
              </w:rPr>
            </w:pPr>
            <w:r w:rsidRPr="00401515">
              <w:rPr>
                <w:color w:val="000000"/>
              </w:rPr>
              <w:t>0.95</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2A4DA0EF" w14:textId="77777777" w:rsidR="00055434" w:rsidRPr="00401515" w:rsidRDefault="00055434" w:rsidP="00065FD6">
            <w:pPr>
              <w:adjustRightInd w:val="0"/>
              <w:spacing w:before="60" w:after="60"/>
              <w:rPr>
                <w:color w:val="000000"/>
              </w:rPr>
            </w:pPr>
            <w:r w:rsidRPr="00401515">
              <w:rPr>
                <w:color w:val="000000"/>
              </w:rPr>
              <w:t>1.28</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23CB2F" w14:textId="77777777" w:rsidR="00055434" w:rsidRPr="00401515" w:rsidRDefault="00055434" w:rsidP="00065FD6">
            <w:pPr>
              <w:adjustRightInd w:val="0"/>
              <w:spacing w:before="60" w:after="60"/>
              <w:jc w:val="right"/>
              <w:rPr>
                <w:color w:val="000000"/>
              </w:rPr>
            </w:pPr>
            <w:r w:rsidRPr="00401515">
              <w:rPr>
                <w:color w:val="000000"/>
              </w:rPr>
              <w:t>528</w:t>
            </w:r>
          </w:p>
        </w:tc>
      </w:tr>
      <w:tr w:rsidR="00055434" w:rsidRPr="00401515" w14:paraId="2E6233C8"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616C1235" w14:textId="77777777" w:rsidR="00055434" w:rsidRPr="00401515" w:rsidRDefault="00055434" w:rsidP="00065FD6">
            <w:pPr>
              <w:adjustRightInd w:val="0"/>
              <w:spacing w:before="60" w:after="60"/>
              <w:rPr>
                <w:color w:val="000000"/>
              </w:rPr>
            </w:pPr>
            <w:r w:rsidRPr="00401515">
              <w:rPr>
                <w:color w:val="000000"/>
              </w:rPr>
              <w:t>Race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0A0376F7" w14:textId="77777777" w:rsidR="00055434" w:rsidRPr="00401515" w:rsidRDefault="00055434" w:rsidP="00065FD6">
            <w:pPr>
              <w:adjustRightInd w:val="0"/>
              <w:spacing w:before="60" w:after="60"/>
              <w:rPr>
                <w:color w:val="000000"/>
              </w:rPr>
            </w:pPr>
            <w:r w:rsidRPr="00401515">
              <w:rPr>
                <w:color w:val="000000"/>
              </w:rPr>
              <w:t>Other Hispanic</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41F790EF" w14:textId="30F15DB7"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51800B4C" w14:textId="77777777" w:rsidR="00055434" w:rsidRPr="00401515" w:rsidRDefault="00055434" w:rsidP="00065FD6">
            <w:pPr>
              <w:adjustRightInd w:val="0"/>
              <w:spacing w:before="60" w:after="60"/>
              <w:rPr>
                <w:color w:val="000000"/>
              </w:rPr>
            </w:pPr>
            <w:r w:rsidRPr="00401515">
              <w:rPr>
                <w:color w:val="000000"/>
              </w:rPr>
              <w:t>0.12</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383E40B8" w14:textId="77777777" w:rsidR="00055434" w:rsidRPr="00401515" w:rsidRDefault="00055434" w:rsidP="00065FD6">
            <w:pPr>
              <w:adjustRightInd w:val="0"/>
              <w:spacing w:before="60" w:after="60"/>
              <w:rPr>
                <w:color w:val="000000"/>
              </w:rPr>
            </w:pPr>
            <w:r w:rsidRPr="00401515">
              <w:rPr>
                <w:color w:val="000000"/>
              </w:rPr>
              <w:t>0.15</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4745B214" w14:textId="77777777" w:rsidR="00055434" w:rsidRPr="00401515" w:rsidRDefault="00055434" w:rsidP="00065FD6">
            <w:pPr>
              <w:adjustRightInd w:val="0"/>
              <w:spacing w:before="60" w:after="60"/>
              <w:rPr>
                <w:color w:val="000000"/>
              </w:rPr>
            </w:pPr>
            <w:r w:rsidRPr="00401515">
              <w:rPr>
                <w:color w:val="000000"/>
              </w:rPr>
              <w:t>0.24</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57CD7DEF" w14:textId="77777777" w:rsidR="00055434" w:rsidRPr="00401515" w:rsidRDefault="00055434" w:rsidP="00065FD6">
            <w:pPr>
              <w:adjustRightInd w:val="0"/>
              <w:spacing w:before="60" w:after="60"/>
              <w:rPr>
                <w:color w:val="000000"/>
              </w:rPr>
            </w:pPr>
            <w:r w:rsidRPr="00401515">
              <w:rPr>
                <w:color w:val="000000"/>
              </w:rPr>
              <w:t>0.39</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01651D68" w14:textId="77777777" w:rsidR="00055434" w:rsidRPr="00401515" w:rsidRDefault="00055434" w:rsidP="00065FD6">
            <w:pPr>
              <w:adjustRightInd w:val="0"/>
              <w:spacing w:before="60" w:after="60"/>
              <w:rPr>
                <w:color w:val="000000"/>
              </w:rPr>
            </w:pPr>
            <w:r w:rsidRPr="00401515">
              <w:rPr>
                <w:color w:val="000000"/>
              </w:rPr>
              <w:t>0.64</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1F25E19F" w14:textId="77777777" w:rsidR="00055434" w:rsidRPr="00401515" w:rsidRDefault="00055434" w:rsidP="00065FD6">
            <w:pPr>
              <w:adjustRightInd w:val="0"/>
              <w:spacing w:before="60" w:after="60"/>
              <w:rPr>
                <w:color w:val="000000"/>
              </w:rPr>
            </w:pPr>
            <w:r w:rsidRPr="00401515">
              <w:rPr>
                <w:color w:val="000000"/>
              </w:rPr>
              <w:t>0.89</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4D4524" w14:textId="77777777" w:rsidR="00055434" w:rsidRPr="00401515" w:rsidRDefault="00055434" w:rsidP="00065FD6">
            <w:pPr>
              <w:adjustRightInd w:val="0"/>
              <w:spacing w:before="60" w:after="60"/>
              <w:jc w:val="right"/>
              <w:rPr>
                <w:color w:val="000000"/>
              </w:rPr>
            </w:pPr>
            <w:r w:rsidRPr="00401515">
              <w:rPr>
                <w:color w:val="000000"/>
              </w:rPr>
              <w:t>136</w:t>
            </w:r>
          </w:p>
        </w:tc>
      </w:tr>
      <w:tr w:rsidR="00055434" w:rsidRPr="00401515" w14:paraId="2128C146" w14:textId="77777777" w:rsidTr="00A018B4">
        <w:trPr>
          <w:cantSplit/>
          <w:trHeight w:val="442"/>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4D127971" w14:textId="77777777" w:rsidR="00055434" w:rsidRPr="00401515" w:rsidRDefault="00055434" w:rsidP="00065FD6">
            <w:pPr>
              <w:adjustRightInd w:val="0"/>
              <w:spacing w:before="60" w:after="60"/>
              <w:rPr>
                <w:color w:val="000000"/>
              </w:rPr>
            </w:pPr>
            <w:r w:rsidRPr="00401515">
              <w:rPr>
                <w:color w:val="000000"/>
              </w:rPr>
              <w:t>Race</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58C9BF0D" w14:textId="77777777" w:rsidR="00055434" w:rsidRPr="00401515" w:rsidRDefault="00055434" w:rsidP="00065FD6">
            <w:pPr>
              <w:adjustRightInd w:val="0"/>
              <w:spacing w:before="60" w:after="60"/>
              <w:rPr>
                <w:color w:val="000000"/>
              </w:rPr>
            </w:pPr>
            <w:r w:rsidRPr="00401515">
              <w:rPr>
                <w:color w:val="000000"/>
              </w:rPr>
              <w:t>Other/Multi-Racial</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4EB33388" w14:textId="5BD2BE75"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4BCCD221" w14:textId="77777777" w:rsidR="00055434" w:rsidRPr="00401515" w:rsidRDefault="00055434" w:rsidP="00065FD6">
            <w:pPr>
              <w:adjustRightInd w:val="0"/>
              <w:spacing w:before="60" w:after="60"/>
              <w:rPr>
                <w:color w:val="000000"/>
              </w:rPr>
            </w:pPr>
            <w:r w:rsidRPr="00401515">
              <w:rPr>
                <w:color w:val="000000"/>
              </w:rPr>
              <w:t>0.15</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0BA62125" w14:textId="77777777" w:rsidR="00055434" w:rsidRPr="00401515" w:rsidRDefault="00055434" w:rsidP="00065FD6">
            <w:pPr>
              <w:adjustRightInd w:val="0"/>
              <w:spacing w:before="60" w:after="60"/>
              <w:rPr>
                <w:color w:val="000000"/>
              </w:rPr>
            </w:pPr>
            <w:r w:rsidRPr="00401515">
              <w:rPr>
                <w:color w:val="000000"/>
              </w:rPr>
              <w:t>0.21</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7F524428" w14:textId="77777777" w:rsidR="00055434" w:rsidRPr="00401515" w:rsidRDefault="00055434" w:rsidP="00065FD6">
            <w:pPr>
              <w:adjustRightInd w:val="0"/>
              <w:spacing w:before="60" w:after="60"/>
              <w:rPr>
                <w:color w:val="000000"/>
              </w:rPr>
            </w:pPr>
            <w:r w:rsidRPr="00401515">
              <w:rPr>
                <w:color w:val="000000"/>
              </w:rPr>
              <w:t>0.36</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120DA9D2" w14:textId="77777777" w:rsidR="00055434" w:rsidRPr="00401515" w:rsidRDefault="00055434" w:rsidP="00065FD6">
            <w:pPr>
              <w:adjustRightInd w:val="0"/>
              <w:spacing w:before="60" w:after="60"/>
              <w:rPr>
                <w:color w:val="000000"/>
              </w:rPr>
            </w:pPr>
            <w:r w:rsidRPr="00401515">
              <w:rPr>
                <w:color w:val="000000"/>
              </w:rPr>
              <w:t>0.58</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3138975C" w14:textId="77777777" w:rsidR="00055434" w:rsidRPr="00401515" w:rsidRDefault="00055434" w:rsidP="00065FD6">
            <w:pPr>
              <w:adjustRightInd w:val="0"/>
              <w:spacing w:before="60" w:after="60"/>
              <w:rPr>
                <w:color w:val="000000"/>
              </w:rPr>
            </w:pPr>
            <w:r w:rsidRPr="00401515">
              <w:rPr>
                <w:color w:val="000000"/>
              </w:rPr>
              <w:t>0.91</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6313757E" w14:textId="77777777" w:rsidR="00055434" w:rsidRPr="00401515" w:rsidRDefault="00055434" w:rsidP="00065FD6">
            <w:pPr>
              <w:adjustRightInd w:val="0"/>
              <w:spacing w:before="60" w:after="60"/>
              <w:rPr>
                <w:color w:val="000000"/>
              </w:rPr>
            </w:pPr>
            <w:r w:rsidRPr="00401515">
              <w:rPr>
                <w:color w:val="000000"/>
              </w:rPr>
              <w:t>1.32</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8F5124" w14:textId="77777777" w:rsidR="00055434" w:rsidRPr="00401515" w:rsidRDefault="00055434" w:rsidP="00065FD6">
            <w:pPr>
              <w:adjustRightInd w:val="0"/>
              <w:spacing w:before="60" w:after="60"/>
              <w:jc w:val="right"/>
              <w:rPr>
                <w:color w:val="000000"/>
              </w:rPr>
            </w:pPr>
            <w:r w:rsidRPr="00401515">
              <w:rPr>
                <w:color w:val="000000"/>
              </w:rPr>
              <w:t>202</w:t>
            </w:r>
          </w:p>
        </w:tc>
      </w:tr>
      <w:tr w:rsidR="00055434" w:rsidRPr="00401515" w14:paraId="30B8C424" w14:textId="77777777" w:rsidTr="00A018B4">
        <w:trPr>
          <w:cantSplit/>
          <w:trHeight w:val="430"/>
          <w:jc w:val="center"/>
        </w:trPr>
        <w:tc>
          <w:tcPr>
            <w:tcW w:w="977" w:type="dxa"/>
            <w:tcBorders>
              <w:top w:val="nil"/>
              <w:left w:val="single" w:sz="2" w:space="0" w:color="000000"/>
              <w:bottom w:val="single" w:sz="2" w:space="0" w:color="000000"/>
              <w:right w:val="nil"/>
            </w:tcBorders>
            <w:shd w:val="clear" w:color="auto" w:fill="FFFFFF"/>
            <w:tcMar>
              <w:left w:w="60" w:type="dxa"/>
              <w:right w:w="60" w:type="dxa"/>
            </w:tcMar>
          </w:tcPr>
          <w:p w14:paraId="0568EA3A" w14:textId="77777777" w:rsidR="00055434" w:rsidRPr="00401515" w:rsidRDefault="00055434" w:rsidP="00065FD6">
            <w:pPr>
              <w:keepNext/>
              <w:adjustRightInd w:val="0"/>
              <w:spacing w:before="60" w:after="60"/>
              <w:rPr>
                <w:color w:val="000000"/>
              </w:rPr>
            </w:pPr>
            <w:r w:rsidRPr="00401515">
              <w:rPr>
                <w:color w:val="000000"/>
              </w:rPr>
              <w:t>Sex</w:t>
            </w:r>
          </w:p>
        </w:tc>
        <w:tc>
          <w:tcPr>
            <w:tcW w:w="1939" w:type="dxa"/>
            <w:tcBorders>
              <w:top w:val="nil"/>
              <w:left w:val="single" w:sz="2" w:space="0" w:color="000000"/>
              <w:bottom w:val="single" w:sz="2" w:space="0" w:color="000000"/>
              <w:right w:val="nil"/>
            </w:tcBorders>
            <w:shd w:val="clear" w:color="auto" w:fill="FFFFFF"/>
            <w:tcMar>
              <w:left w:w="60" w:type="dxa"/>
              <w:right w:w="60" w:type="dxa"/>
            </w:tcMar>
          </w:tcPr>
          <w:p w14:paraId="24EE78FB" w14:textId="77777777" w:rsidR="00055434" w:rsidRPr="00401515" w:rsidRDefault="00055434" w:rsidP="00065FD6">
            <w:pPr>
              <w:keepNext/>
              <w:adjustRightInd w:val="0"/>
              <w:spacing w:before="60" w:after="60"/>
              <w:rPr>
                <w:color w:val="000000"/>
              </w:rPr>
            </w:pPr>
            <w:r w:rsidRPr="00401515">
              <w:rPr>
                <w:color w:val="000000"/>
              </w:rPr>
              <w:t>Female</w:t>
            </w:r>
          </w:p>
        </w:tc>
        <w:tc>
          <w:tcPr>
            <w:tcW w:w="1604" w:type="dxa"/>
            <w:tcBorders>
              <w:top w:val="nil"/>
              <w:left w:val="single" w:sz="2" w:space="0" w:color="000000"/>
              <w:bottom w:val="single" w:sz="2" w:space="0" w:color="000000"/>
              <w:right w:val="nil"/>
            </w:tcBorders>
            <w:shd w:val="clear" w:color="auto" w:fill="FFFFFF"/>
            <w:tcMar>
              <w:left w:w="60" w:type="dxa"/>
              <w:right w:w="60" w:type="dxa"/>
            </w:tcMar>
          </w:tcPr>
          <w:p w14:paraId="6BA3FAB7" w14:textId="481A899E" w:rsidR="00055434" w:rsidRPr="00401515" w:rsidRDefault="00A018B4" w:rsidP="0073737A">
            <w:pPr>
              <w:keepNext/>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2" w:space="0" w:color="000000"/>
              <w:right w:val="nil"/>
            </w:tcBorders>
            <w:shd w:val="clear" w:color="auto" w:fill="FFFFFF"/>
            <w:tcMar>
              <w:left w:w="60" w:type="dxa"/>
              <w:right w:w="60" w:type="dxa"/>
            </w:tcMar>
          </w:tcPr>
          <w:p w14:paraId="0CD62DE7" w14:textId="77777777" w:rsidR="00055434" w:rsidRPr="00401515" w:rsidRDefault="00055434" w:rsidP="00065FD6">
            <w:pPr>
              <w:keepNext/>
              <w:adjustRightInd w:val="0"/>
              <w:spacing w:before="60" w:after="60"/>
              <w:rPr>
                <w:color w:val="000000"/>
              </w:rPr>
            </w:pPr>
            <w:r w:rsidRPr="00401515">
              <w:rPr>
                <w:color w:val="000000"/>
              </w:rPr>
              <w:t>0.14</w:t>
            </w:r>
          </w:p>
        </w:tc>
        <w:tc>
          <w:tcPr>
            <w:tcW w:w="1073" w:type="dxa"/>
            <w:tcBorders>
              <w:top w:val="nil"/>
              <w:left w:val="single" w:sz="2" w:space="0" w:color="000000"/>
              <w:bottom w:val="single" w:sz="2" w:space="0" w:color="000000"/>
              <w:right w:val="nil"/>
            </w:tcBorders>
            <w:shd w:val="clear" w:color="auto" w:fill="FFFFFF"/>
            <w:tcMar>
              <w:left w:w="60" w:type="dxa"/>
              <w:right w:w="60" w:type="dxa"/>
            </w:tcMar>
          </w:tcPr>
          <w:p w14:paraId="0FABAE4B" w14:textId="77777777" w:rsidR="00055434" w:rsidRPr="00401515" w:rsidRDefault="00055434" w:rsidP="00065FD6">
            <w:pPr>
              <w:keepNext/>
              <w:adjustRightInd w:val="0"/>
              <w:spacing w:before="60" w:after="60"/>
              <w:rPr>
                <w:color w:val="000000"/>
              </w:rPr>
            </w:pPr>
            <w:r w:rsidRPr="00401515">
              <w:rPr>
                <w:color w:val="000000"/>
              </w:rPr>
              <w:t>0.20</w:t>
            </w:r>
          </w:p>
        </w:tc>
        <w:tc>
          <w:tcPr>
            <w:tcW w:w="1005" w:type="dxa"/>
            <w:tcBorders>
              <w:top w:val="nil"/>
              <w:left w:val="single" w:sz="2" w:space="0" w:color="000000"/>
              <w:bottom w:val="single" w:sz="2" w:space="0" w:color="000000"/>
              <w:right w:val="nil"/>
            </w:tcBorders>
            <w:shd w:val="clear" w:color="auto" w:fill="FFFFFF"/>
            <w:tcMar>
              <w:left w:w="60" w:type="dxa"/>
              <w:right w:w="60" w:type="dxa"/>
            </w:tcMar>
          </w:tcPr>
          <w:p w14:paraId="484A2FA3" w14:textId="77777777" w:rsidR="00055434" w:rsidRPr="00401515" w:rsidRDefault="00055434" w:rsidP="00065FD6">
            <w:pPr>
              <w:keepNext/>
              <w:adjustRightInd w:val="0"/>
              <w:spacing w:before="60" w:after="60"/>
              <w:rPr>
                <w:color w:val="000000"/>
              </w:rPr>
            </w:pPr>
            <w:r w:rsidRPr="00401515">
              <w:rPr>
                <w:color w:val="000000"/>
              </w:rPr>
              <w:t>0.35</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6112697D" w14:textId="77777777" w:rsidR="00055434" w:rsidRPr="00401515" w:rsidRDefault="00055434" w:rsidP="00065FD6">
            <w:pPr>
              <w:keepNext/>
              <w:adjustRightInd w:val="0"/>
              <w:spacing w:before="60" w:after="60"/>
              <w:rPr>
                <w:color w:val="000000"/>
              </w:rPr>
            </w:pPr>
            <w:r w:rsidRPr="00401515">
              <w:rPr>
                <w:color w:val="000000"/>
              </w:rPr>
              <w:t>0.60</w:t>
            </w:r>
          </w:p>
        </w:tc>
        <w:tc>
          <w:tcPr>
            <w:tcW w:w="1096" w:type="dxa"/>
            <w:tcBorders>
              <w:top w:val="nil"/>
              <w:left w:val="single" w:sz="2" w:space="0" w:color="000000"/>
              <w:bottom w:val="single" w:sz="2" w:space="0" w:color="000000"/>
              <w:right w:val="nil"/>
            </w:tcBorders>
            <w:shd w:val="clear" w:color="auto" w:fill="FFFFFF"/>
            <w:tcMar>
              <w:left w:w="60" w:type="dxa"/>
              <w:right w:w="60" w:type="dxa"/>
            </w:tcMar>
          </w:tcPr>
          <w:p w14:paraId="1A65C21F" w14:textId="77777777" w:rsidR="00055434" w:rsidRPr="00401515" w:rsidRDefault="00055434" w:rsidP="00065FD6">
            <w:pPr>
              <w:keepNext/>
              <w:adjustRightInd w:val="0"/>
              <w:spacing w:before="60" w:after="60"/>
              <w:rPr>
                <w:color w:val="000000"/>
              </w:rPr>
            </w:pPr>
            <w:r w:rsidRPr="00401515">
              <w:rPr>
                <w:color w:val="000000"/>
              </w:rPr>
              <w:t>1.01</w:t>
            </w:r>
          </w:p>
        </w:tc>
        <w:tc>
          <w:tcPr>
            <w:tcW w:w="1187" w:type="dxa"/>
            <w:tcBorders>
              <w:top w:val="nil"/>
              <w:left w:val="single" w:sz="2" w:space="0" w:color="000000"/>
              <w:bottom w:val="single" w:sz="2" w:space="0" w:color="000000"/>
              <w:right w:val="nil"/>
            </w:tcBorders>
            <w:shd w:val="clear" w:color="auto" w:fill="FFFFFF"/>
            <w:tcMar>
              <w:left w:w="60" w:type="dxa"/>
              <w:right w:w="60" w:type="dxa"/>
            </w:tcMar>
          </w:tcPr>
          <w:p w14:paraId="4CD4CD58" w14:textId="77777777" w:rsidR="00055434" w:rsidRPr="00401515" w:rsidRDefault="00055434" w:rsidP="00065FD6">
            <w:pPr>
              <w:keepNext/>
              <w:adjustRightInd w:val="0"/>
              <w:spacing w:before="60" w:after="60"/>
              <w:rPr>
                <w:color w:val="000000"/>
              </w:rPr>
            </w:pPr>
            <w:r w:rsidRPr="00401515">
              <w:rPr>
                <w:color w:val="000000"/>
              </w:rPr>
              <w:t>1.28</w:t>
            </w:r>
          </w:p>
        </w:tc>
        <w:tc>
          <w:tcPr>
            <w:tcW w:w="137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D677A5" w14:textId="77777777" w:rsidR="00055434" w:rsidRPr="00401515" w:rsidRDefault="00055434" w:rsidP="00065FD6">
            <w:pPr>
              <w:keepNext/>
              <w:adjustRightInd w:val="0"/>
              <w:spacing w:before="60" w:after="60"/>
              <w:jc w:val="right"/>
              <w:rPr>
                <w:color w:val="000000"/>
              </w:rPr>
            </w:pPr>
            <w:r w:rsidRPr="00401515">
              <w:rPr>
                <w:color w:val="000000"/>
              </w:rPr>
              <w:t>728</w:t>
            </w:r>
          </w:p>
        </w:tc>
      </w:tr>
      <w:tr w:rsidR="00055434" w:rsidRPr="00401515" w14:paraId="603E7C5D" w14:textId="77777777" w:rsidTr="00A018B4">
        <w:trPr>
          <w:cantSplit/>
          <w:trHeight w:val="442"/>
          <w:jc w:val="center"/>
        </w:trPr>
        <w:tc>
          <w:tcPr>
            <w:tcW w:w="977" w:type="dxa"/>
            <w:tcBorders>
              <w:top w:val="nil"/>
              <w:left w:val="single" w:sz="2" w:space="0" w:color="000000"/>
              <w:bottom w:val="single" w:sz="6" w:space="0" w:color="000000"/>
              <w:right w:val="nil"/>
            </w:tcBorders>
            <w:shd w:val="clear" w:color="auto" w:fill="FFFFFF"/>
            <w:tcMar>
              <w:left w:w="60" w:type="dxa"/>
              <w:right w:w="60" w:type="dxa"/>
            </w:tcMar>
          </w:tcPr>
          <w:p w14:paraId="0BC1D36F" w14:textId="77777777" w:rsidR="00055434" w:rsidRPr="00401515" w:rsidRDefault="00055434" w:rsidP="00065FD6">
            <w:pPr>
              <w:adjustRightInd w:val="0"/>
              <w:spacing w:before="60" w:after="60"/>
              <w:rPr>
                <w:color w:val="000000"/>
              </w:rPr>
            </w:pPr>
            <w:r w:rsidRPr="00401515">
              <w:rPr>
                <w:color w:val="000000"/>
              </w:rPr>
              <w:t>Sex</w:t>
            </w:r>
          </w:p>
        </w:tc>
        <w:tc>
          <w:tcPr>
            <w:tcW w:w="1939" w:type="dxa"/>
            <w:tcBorders>
              <w:top w:val="nil"/>
              <w:left w:val="single" w:sz="2" w:space="0" w:color="000000"/>
              <w:bottom w:val="single" w:sz="6" w:space="0" w:color="000000"/>
              <w:right w:val="nil"/>
            </w:tcBorders>
            <w:shd w:val="clear" w:color="auto" w:fill="FFFFFF"/>
            <w:tcMar>
              <w:left w:w="60" w:type="dxa"/>
              <w:right w:w="60" w:type="dxa"/>
            </w:tcMar>
          </w:tcPr>
          <w:p w14:paraId="25D908B7" w14:textId="77777777" w:rsidR="00055434" w:rsidRPr="00401515" w:rsidRDefault="00055434" w:rsidP="00065FD6">
            <w:pPr>
              <w:adjustRightInd w:val="0"/>
              <w:spacing w:before="60" w:after="60"/>
              <w:rPr>
                <w:color w:val="000000"/>
              </w:rPr>
            </w:pPr>
            <w:r w:rsidRPr="00401515">
              <w:rPr>
                <w:color w:val="000000"/>
              </w:rPr>
              <w:t>Male</w:t>
            </w:r>
          </w:p>
        </w:tc>
        <w:tc>
          <w:tcPr>
            <w:tcW w:w="1604" w:type="dxa"/>
            <w:tcBorders>
              <w:top w:val="nil"/>
              <w:left w:val="single" w:sz="2" w:space="0" w:color="000000"/>
              <w:bottom w:val="single" w:sz="6" w:space="0" w:color="000000"/>
              <w:right w:val="nil"/>
            </w:tcBorders>
            <w:shd w:val="clear" w:color="auto" w:fill="FFFFFF"/>
            <w:tcMar>
              <w:left w:w="60" w:type="dxa"/>
              <w:right w:w="60" w:type="dxa"/>
            </w:tcMar>
          </w:tcPr>
          <w:p w14:paraId="12302196" w14:textId="63D58706" w:rsidR="00055434" w:rsidRPr="00401515" w:rsidRDefault="00A018B4" w:rsidP="0073737A">
            <w:pPr>
              <w:adjustRightInd w:val="0"/>
              <w:spacing w:before="60" w:after="60"/>
              <w:jc w:val="center"/>
              <w:rPr>
                <w:color w:val="000000"/>
              </w:rPr>
            </w:pPr>
            <w:r w:rsidRPr="00401515">
              <w:rPr>
                <w:color w:val="000000"/>
              </w:rPr>
              <w:t>-</w:t>
            </w:r>
          </w:p>
        </w:tc>
        <w:tc>
          <w:tcPr>
            <w:tcW w:w="981" w:type="dxa"/>
            <w:tcBorders>
              <w:top w:val="nil"/>
              <w:left w:val="single" w:sz="2" w:space="0" w:color="000000"/>
              <w:bottom w:val="single" w:sz="6" w:space="0" w:color="000000"/>
              <w:right w:val="nil"/>
            </w:tcBorders>
            <w:shd w:val="clear" w:color="auto" w:fill="FFFFFF"/>
            <w:tcMar>
              <w:left w:w="60" w:type="dxa"/>
              <w:right w:w="60" w:type="dxa"/>
            </w:tcMar>
          </w:tcPr>
          <w:p w14:paraId="5B852772" w14:textId="77777777" w:rsidR="00055434" w:rsidRPr="00401515" w:rsidRDefault="00055434" w:rsidP="00065FD6">
            <w:pPr>
              <w:adjustRightInd w:val="0"/>
              <w:spacing w:before="60" w:after="60"/>
              <w:rPr>
                <w:color w:val="000000"/>
              </w:rPr>
            </w:pPr>
            <w:r w:rsidRPr="00401515">
              <w:rPr>
                <w:color w:val="000000"/>
              </w:rPr>
              <w:t>0.11</w:t>
            </w:r>
          </w:p>
        </w:tc>
        <w:tc>
          <w:tcPr>
            <w:tcW w:w="1073" w:type="dxa"/>
            <w:tcBorders>
              <w:top w:val="nil"/>
              <w:left w:val="single" w:sz="2" w:space="0" w:color="000000"/>
              <w:bottom w:val="single" w:sz="6" w:space="0" w:color="000000"/>
              <w:right w:val="nil"/>
            </w:tcBorders>
            <w:shd w:val="clear" w:color="auto" w:fill="FFFFFF"/>
            <w:tcMar>
              <w:left w:w="60" w:type="dxa"/>
              <w:right w:w="60" w:type="dxa"/>
            </w:tcMar>
          </w:tcPr>
          <w:p w14:paraId="1E4723D9" w14:textId="77777777" w:rsidR="00055434" w:rsidRPr="00401515" w:rsidRDefault="00055434" w:rsidP="00065FD6">
            <w:pPr>
              <w:adjustRightInd w:val="0"/>
              <w:spacing w:before="60" w:after="60"/>
              <w:rPr>
                <w:color w:val="000000"/>
              </w:rPr>
            </w:pPr>
            <w:r w:rsidRPr="00401515">
              <w:rPr>
                <w:color w:val="000000"/>
              </w:rPr>
              <w:t>0.14</w:t>
            </w:r>
          </w:p>
        </w:tc>
        <w:tc>
          <w:tcPr>
            <w:tcW w:w="1005" w:type="dxa"/>
            <w:tcBorders>
              <w:top w:val="nil"/>
              <w:left w:val="single" w:sz="2" w:space="0" w:color="000000"/>
              <w:bottom w:val="single" w:sz="6" w:space="0" w:color="000000"/>
              <w:right w:val="nil"/>
            </w:tcBorders>
            <w:shd w:val="clear" w:color="auto" w:fill="FFFFFF"/>
            <w:tcMar>
              <w:left w:w="60" w:type="dxa"/>
              <w:right w:w="60" w:type="dxa"/>
            </w:tcMar>
          </w:tcPr>
          <w:p w14:paraId="2A36F0BC" w14:textId="77777777" w:rsidR="00055434" w:rsidRPr="00401515" w:rsidRDefault="00055434" w:rsidP="00065FD6">
            <w:pPr>
              <w:adjustRightInd w:val="0"/>
              <w:spacing w:before="60" w:after="60"/>
              <w:rPr>
                <w:color w:val="000000"/>
              </w:rPr>
            </w:pPr>
            <w:r w:rsidRPr="00401515">
              <w:rPr>
                <w:color w:val="000000"/>
              </w:rPr>
              <w:t>0.21</w:t>
            </w:r>
          </w:p>
        </w:tc>
        <w:tc>
          <w:tcPr>
            <w:tcW w:w="1096" w:type="dxa"/>
            <w:tcBorders>
              <w:top w:val="nil"/>
              <w:left w:val="single" w:sz="2" w:space="0" w:color="000000"/>
              <w:bottom w:val="single" w:sz="6" w:space="0" w:color="000000"/>
              <w:right w:val="nil"/>
            </w:tcBorders>
            <w:shd w:val="clear" w:color="auto" w:fill="FFFFFF"/>
            <w:tcMar>
              <w:left w:w="60" w:type="dxa"/>
              <w:right w:w="60" w:type="dxa"/>
            </w:tcMar>
          </w:tcPr>
          <w:p w14:paraId="18BE18EB" w14:textId="77777777" w:rsidR="00055434" w:rsidRPr="00401515" w:rsidRDefault="00055434" w:rsidP="00065FD6">
            <w:pPr>
              <w:adjustRightInd w:val="0"/>
              <w:spacing w:before="60" w:after="60"/>
              <w:rPr>
                <w:color w:val="000000"/>
              </w:rPr>
            </w:pPr>
            <w:r w:rsidRPr="00401515">
              <w:rPr>
                <w:color w:val="000000"/>
              </w:rPr>
              <w:t>0.40</w:t>
            </w:r>
          </w:p>
        </w:tc>
        <w:tc>
          <w:tcPr>
            <w:tcW w:w="1096" w:type="dxa"/>
            <w:tcBorders>
              <w:top w:val="nil"/>
              <w:left w:val="single" w:sz="2" w:space="0" w:color="000000"/>
              <w:bottom w:val="single" w:sz="6" w:space="0" w:color="000000"/>
              <w:right w:val="nil"/>
            </w:tcBorders>
            <w:shd w:val="clear" w:color="auto" w:fill="FFFFFF"/>
            <w:tcMar>
              <w:left w:w="60" w:type="dxa"/>
              <w:right w:w="60" w:type="dxa"/>
            </w:tcMar>
          </w:tcPr>
          <w:p w14:paraId="4FCEA0D3" w14:textId="77777777" w:rsidR="00055434" w:rsidRPr="00401515" w:rsidRDefault="00055434" w:rsidP="00065FD6">
            <w:pPr>
              <w:adjustRightInd w:val="0"/>
              <w:spacing w:before="60" w:after="60"/>
              <w:rPr>
                <w:color w:val="000000"/>
              </w:rPr>
            </w:pPr>
            <w:r w:rsidRPr="00401515">
              <w:rPr>
                <w:color w:val="000000"/>
              </w:rPr>
              <w:t>0.63</w:t>
            </w:r>
          </w:p>
        </w:tc>
        <w:tc>
          <w:tcPr>
            <w:tcW w:w="1187" w:type="dxa"/>
            <w:tcBorders>
              <w:top w:val="nil"/>
              <w:left w:val="single" w:sz="2" w:space="0" w:color="000000"/>
              <w:bottom w:val="single" w:sz="6" w:space="0" w:color="000000"/>
              <w:right w:val="nil"/>
            </w:tcBorders>
            <w:shd w:val="clear" w:color="auto" w:fill="FFFFFF"/>
            <w:tcMar>
              <w:left w:w="60" w:type="dxa"/>
              <w:right w:w="60" w:type="dxa"/>
            </w:tcMar>
          </w:tcPr>
          <w:p w14:paraId="44FC93FF" w14:textId="77777777" w:rsidR="00055434" w:rsidRPr="00401515" w:rsidRDefault="00055434" w:rsidP="00065FD6">
            <w:pPr>
              <w:adjustRightInd w:val="0"/>
              <w:spacing w:before="60" w:after="60"/>
              <w:rPr>
                <w:color w:val="000000"/>
              </w:rPr>
            </w:pPr>
            <w:r w:rsidRPr="00401515">
              <w:rPr>
                <w:color w:val="000000"/>
              </w:rPr>
              <w:t>0.86</w:t>
            </w:r>
          </w:p>
        </w:tc>
        <w:tc>
          <w:tcPr>
            <w:tcW w:w="137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8C67335" w14:textId="77777777" w:rsidR="00055434" w:rsidRPr="00401515" w:rsidRDefault="00055434" w:rsidP="00065FD6">
            <w:pPr>
              <w:adjustRightInd w:val="0"/>
              <w:spacing w:before="60" w:after="60"/>
              <w:jc w:val="right"/>
              <w:rPr>
                <w:color w:val="000000"/>
              </w:rPr>
            </w:pPr>
            <w:r w:rsidRPr="00401515">
              <w:rPr>
                <w:color w:val="000000"/>
              </w:rPr>
              <w:t>599</w:t>
            </w:r>
          </w:p>
        </w:tc>
      </w:tr>
    </w:tbl>
    <w:p w14:paraId="23C3C766" w14:textId="77777777" w:rsidR="00974133" w:rsidRPr="00401515" w:rsidRDefault="00974133"/>
    <w:p w14:paraId="28C54B5A" w14:textId="7B09C134" w:rsidR="00974133" w:rsidRPr="00401515" w:rsidRDefault="00974133" w:rsidP="0098105B">
      <w:r w:rsidRPr="00401515">
        <w:t xml:space="preserve">-:  Geometric means were not calculated because of low detection rate of </w:t>
      </w:r>
      <w:proofErr w:type="spellStart"/>
      <w:r w:rsidRPr="00401515">
        <w:t>MeA</w:t>
      </w:r>
      <w:proofErr w:type="spellEnd"/>
      <w:r w:rsidRPr="00401515">
        <w:t xml:space="preserve">αC in NHANES 2013–2014 participants (30.9%) </w:t>
      </w:r>
      <w:r w:rsidR="00716399" w:rsidRPr="00401515">
        <w:t>(CDC, 2009)</w:t>
      </w:r>
    </w:p>
    <w:p w14:paraId="4045DAAE" w14:textId="44122EC8" w:rsidR="00716399" w:rsidRPr="00401515" w:rsidRDefault="006204D1" w:rsidP="0098105B">
      <w:r w:rsidRPr="00401515">
        <w:t xml:space="preserve">Reference: </w:t>
      </w:r>
      <w:r w:rsidR="00716399" w:rsidRPr="00401515">
        <w:t>CDC, 2009. Fourth National Report on Human Exposure to Environmental Chemicals. Available: https://www.cdc.gov/exposurereport/pdf/fourthreport.pdf</w:t>
      </w:r>
    </w:p>
    <w:p w14:paraId="33E8977C" w14:textId="77777777" w:rsidR="00974133" w:rsidRPr="00401515" w:rsidRDefault="00974133" w:rsidP="0098105B">
      <w:pPr>
        <w:adjustRightInd w:val="0"/>
        <w:spacing w:before="10" w:after="10"/>
        <w:rPr>
          <w:b/>
          <w:bCs/>
          <w:iCs/>
          <w:color w:val="000000"/>
          <w:sz w:val="28"/>
          <w:szCs w:val="28"/>
        </w:rPr>
      </w:pPr>
    </w:p>
    <w:p w14:paraId="7D083713" w14:textId="141CEFB2" w:rsidR="00974133" w:rsidRPr="00401515" w:rsidRDefault="00974133" w:rsidP="0098105B">
      <w:pPr>
        <w:adjustRightInd w:val="0"/>
        <w:spacing w:before="10" w:after="10"/>
        <w:rPr>
          <w:b/>
          <w:bCs/>
          <w:iCs/>
          <w:color w:val="000000"/>
          <w:sz w:val="28"/>
          <w:szCs w:val="28"/>
        </w:rPr>
      </w:pPr>
      <w:r w:rsidRPr="00401515">
        <w:rPr>
          <w:b/>
          <w:bCs/>
          <w:iCs/>
          <w:color w:val="000000"/>
          <w:sz w:val="28"/>
          <w:szCs w:val="28"/>
        </w:rPr>
        <w:lastRenderedPageBreak/>
        <w:t xml:space="preserve">Supplementary table </w:t>
      </w:r>
      <w:r w:rsidR="005F75B5">
        <w:rPr>
          <w:b/>
          <w:bCs/>
          <w:iCs/>
          <w:color w:val="000000"/>
          <w:sz w:val="28"/>
          <w:szCs w:val="28"/>
        </w:rPr>
        <w:t>5</w:t>
      </w:r>
      <w:r w:rsidRPr="00401515">
        <w:rPr>
          <w:b/>
          <w:bCs/>
          <w:iCs/>
          <w:color w:val="000000"/>
          <w:sz w:val="28"/>
          <w:szCs w:val="28"/>
        </w:rPr>
        <w:t xml:space="preserve">. Geometric means and selected percentiles of urinary </w:t>
      </w:r>
      <w:proofErr w:type="spellStart"/>
      <w:r w:rsidRPr="00401515">
        <w:rPr>
          <w:b/>
          <w:bCs/>
          <w:iCs/>
          <w:color w:val="000000"/>
          <w:sz w:val="28"/>
          <w:szCs w:val="28"/>
        </w:rPr>
        <w:t>MeA</w:t>
      </w:r>
      <w:proofErr w:type="spellEnd"/>
      <w:r w:rsidRPr="00401515">
        <w:rPr>
          <w:b/>
          <w:bCs/>
          <w:iCs/>
          <w:color w:val="000000"/>
          <w:sz w:val="28"/>
          <w:szCs w:val="28"/>
        </w:rPr>
        <w:t>αC concentrations (ng/g) for U.S. population with serum cotinine &lt;10 ng/</w:t>
      </w:r>
      <w:proofErr w:type="spellStart"/>
      <w:r w:rsidRPr="00401515">
        <w:rPr>
          <w:b/>
          <w:bCs/>
          <w:iCs/>
          <w:color w:val="000000"/>
          <w:sz w:val="28"/>
          <w:szCs w:val="28"/>
        </w:rPr>
        <w:t>mL.</w:t>
      </w:r>
      <w:proofErr w:type="spellEnd"/>
    </w:p>
    <w:p w14:paraId="01E52136" w14:textId="713ED220" w:rsidR="00A95D4C" w:rsidRDefault="00A95D4C">
      <w:r>
        <w:br w:type="page"/>
      </w:r>
    </w:p>
    <w:p w14:paraId="12100173" w14:textId="77777777" w:rsidR="00974133" w:rsidRPr="00401515" w:rsidRDefault="00974133" w:rsidP="006F2A81">
      <w:pPr>
        <w:jc w:val="both"/>
        <w:sectPr w:rsidR="00974133" w:rsidRPr="00401515" w:rsidSect="0098105B">
          <w:pgSz w:w="15840" w:h="12240" w:orient="landscape"/>
          <w:pgMar w:top="1080" w:right="1080" w:bottom="1080" w:left="1080" w:header="720" w:footer="720" w:gutter="0"/>
          <w:cols w:space="720"/>
          <w:docGrid w:linePitch="360"/>
        </w:sectPr>
      </w:pPr>
    </w:p>
    <w:tbl>
      <w:tblPr>
        <w:tblW w:w="4884" w:type="pct"/>
        <w:jc w:val="center"/>
        <w:tblCellMar>
          <w:left w:w="0" w:type="dxa"/>
          <w:right w:w="0" w:type="dxa"/>
        </w:tblCellMar>
        <w:tblLook w:val="0000" w:firstRow="0" w:lastRow="0" w:firstColumn="0" w:lastColumn="0" w:noHBand="0" w:noVBand="0"/>
      </w:tblPr>
      <w:tblGrid>
        <w:gridCol w:w="2438"/>
        <w:gridCol w:w="1960"/>
        <w:gridCol w:w="2240"/>
        <w:gridCol w:w="871"/>
        <w:gridCol w:w="2322"/>
      </w:tblGrid>
      <w:tr w:rsidR="00D55B62" w:rsidRPr="00D55B62" w14:paraId="432E372D" w14:textId="77777777" w:rsidTr="0020590C">
        <w:trPr>
          <w:tblHeader/>
          <w:jc w:val="center"/>
        </w:trPr>
        <w:tc>
          <w:tcPr>
            <w:tcW w:w="1240" w:type="pct"/>
            <w:tcBorders>
              <w:top w:val="single" w:sz="6" w:space="0" w:color="000000"/>
              <w:left w:val="single" w:sz="6" w:space="0" w:color="000000"/>
              <w:bottom w:val="single" w:sz="2" w:space="0" w:color="000000"/>
              <w:right w:val="nil"/>
            </w:tcBorders>
            <w:shd w:val="clear" w:color="auto" w:fill="BBBBBB"/>
            <w:tcMar>
              <w:left w:w="29" w:type="dxa"/>
              <w:right w:w="29" w:type="dxa"/>
            </w:tcMar>
            <w:vAlign w:val="bottom"/>
          </w:tcPr>
          <w:p w14:paraId="137FC0B3" w14:textId="77777777" w:rsidR="00D55B62" w:rsidRPr="00A3016A" w:rsidRDefault="00D55B62" w:rsidP="00D55B62">
            <w:pPr>
              <w:keepNext/>
              <w:autoSpaceDE w:val="0"/>
              <w:autoSpaceDN w:val="0"/>
              <w:adjustRightInd w:val="0"/>
              <w:spacing w:before="60" w:after="60" w:line="240" w:lineRule="auto"/>
              <w:rPr>
                <w:rFonts w:ascii="Calibri" w:eastAsia="Times New Roman" w:hAnsi="Calibri" w:cs="Calibri"/>
                <w:b/>
                <w:bCs/>
                <w:color w:val="000000"/>
                <w:lang w:eastAsia="en-US"/>
              </w:rPr>
            </w:pPr>
            <w:r w:rsidRPr="00A3016A">
              <w:rPr>
                <w:rFonts w:ascii="Calibri" w:eastAsia="Times New Roman" w:hAnsi="Calibri" w:cs="Calibri"/>
                <w:b/>
                <w:bCs/>
                <w:color w:val="000000"/>
                <w:lang w:eastAsia="en-US"/>
              </w:rPr>
              <w:lastRenderedPageBreak/>
              <w:t>Predictor</w:t>
            </w:r>
          </w:p>
        </w:tc>
        <w:tc>
          <w:tcPr>
            <w:tcW w:w="997" w:type="pct"/>
            <w:tcBorders>
              <w:top w:val="single" w:sz="6" w:space="0" w:color="000000"/>
              <w:left w:val="single" w:sz="2" w:space="0" w:color="000000"/>
              <w:bottom w:val="single" w:sz="2" w:space="0" w:color="000000"/>
              <w:right w:val="nil"/>
            </w:tcBorders>
            <w:shd w:val="clear" w:color="auto" w:fill="BBBBBB"/>
            <w:tcMar>
              <w:left w:w="29" w:type="dxa"/>
              <w:right w:w="29" w:type="dxa"/>
            </w:tcMar>
            <w:vAlign w:val="bottom"/>
          </w:tcPr>
          <w:p w14:paraId="27104DD9" w14:textId="77777777" w:rsidR="00D55B62" w:rsidRPr="00A3016A" w:rsidRDefault="00D55B62" w:rsidP="00D55B62">
            <w:pPr>
              <w:keepNext/>
              <w:autoSpaceDE w:val="0"/>
              <w:autoSpaceDN w:val="0"/>
              <w:adjustRightInd w:val="0"/>
              <w:spacing w:before="60" w:after="60" w:line="240" w:lineRule="auto"/>
              <w:rPr>
                <w:rFonts w:ascii="Calibri" w:eastAsia="Times New Roman" w:hAnsi="Calibri" w:cs="Calibri"/>
                <w:b/>
                <w:bCs/>
                <w:color w:val="000000"/>
                <w:lang w:eastAsia="en-US"/>
              </w:rPr>
            </w:pPr>
            <w:r w:rsidRPr="00A3016A">
              <w:rPr>
                <w:rFonts w:ascii="Calibri" w:eastAsia="Times New Roman" w:hAnsi="Calibri" w:cs="Calibri"/>
                <w:b/>
                <w:bCs/>
                <w:color w:val="000000"/>
                <w:lang w:eastAsia="en-US"/>
              </w:rPr>
              <w:t>Level</w:t>
            </w:r>
          </w:p>
        </w:tc>
        <w:tc>
          <w:tcPr>
            <w:tcW w:w="1139" w:type="pct"/>
            <w:tcBorders>
              <w:top w:val="single" w:sz="6" w:space="0" w:color="000000"/>
              <w:left w:val="single" w:sz="2" w:space="0" w:color="000000"/>
              <w:bottom w:val="single" w:sz="2" w:space="0" w:color="000000"/>
              <w:right w:val="nil"/>
            </w:tcBorders>
            <w:shd w:val="clear" w:color="auto" w:fill="BBBBBB"/>
            <w:tcMar>
              <w:left w:w="29" w:type="dxa"/>
              <w:right w:w="29" w:type="dxa"/>
            </w:tcMar>
            <w:vAlign w:val="bottom"/>
          </w:tcPr>
          <w:p w14:paraId="378747DD" w14:textId="77777777" w:rsidR="00D55B62" w:rsidRPr="00A3016A" w:rsidRDefault="00D55B62" w:rsidP="00D55B62">
            <w:pPr>
              <w:keepNext/>
              <w:autoSpaceDE w:val="0"/>
              <w:autoSpaceDN w:val="0"/>
              <w:adjustRightInd w:val="0"/>
              <w:spacing w:before="60" w:after="60" w:line="240" w:lineRule="auto"/>
              <w:rPr>
                <w:rFonts w:ascii="Calibri" w:eastAsia="Times New Roman" w:hAnsi="Calibri" w:cs="Calibri"/>
                <w:b/>
                <w:bCs/>
                <w:color w:val="000000"/>
                <w:lang w:eastAsia="en-US"/>
              </w:rPr>
            </w:pPr>
            <w:r w:rsidRPr="00A3016A">
              <w:rPr>
                <w:rFonts w:ascii="Calibri" w:eastAsia="Times New Roman" w:hAnsi="Calibri" w:cs="Calibri"/>
                <w:b/>
                <w:bCs/>
                <w:color w:val="000000"/>
                <w:lang w:eastAsia="en-US"/>
              </w:rPr>
              <w:t>Slope [95% CI]</w:t>
            </w:r>
            <w:r w:rsidRPr="00A3016A">
              <w:rPr>
                <w:rFonts w:ascii="Calibri" w:eastAsia="Times New Roman" w:hAnsi="Calibri" w:cs="Calibri"/>
                <w:b/>
                <w:bCs/>
                <w:color w:val="000000"/>
                <w:vertAlign w:val="superscript"/>
                <w:lang w:eastAsia="en-US"/>
              </w:rPr>
              <w:t>1</w:t>
            </w:r>
          </w:p>
        </w:tc>
        <w:tc>
          <w:tcPr>
            <w:tcW w:w="443" w:type="pct"/>
            <w:tcBorders>
              <w:top w:val="single" w:sz="6" w:space="0" w:color="000000"/>
              <w:left w:val="single" w:sz="2" w:space="0" w:color="000000"/>
              <w:bottom w:val="single" w:sz="2" w:space="0" w:color="000000"/>
              <w:right w:val="nil"/>
            </w:tcBorders>
            <w:shd w:val="clear" w:color="auto" w:fill="BBBBBB"/>
            <w:tcMar>
              <w:left w:w="29" w:type="dxa"/>
              <w:right w:w="29" w:type="dxa"/>
            </w:tcMar>
            <w:vAlign w:val="bottom"/>
          </w:tcPr>
          <w:p w14:paraId="5BDCAE71" w14:textId="07B74F36" w:rsidR="00D55B62" w:rsidRPr="00A3016A" w:rsidRDefault="00D55B62" w:rsidP="00D55B62">
            <w:pPr>
              <w:keepNext/>
              <w:autoSpaceDE w:val="0"/>
              <w:autoSpaceDN w:val="0"/>
              <w:adjustRightInd w:val="0"/>
              <w:spacing w:before="60" w:after="60" w:line="240" w:lineRule="auto"/>
              <w:jc w:val="right"/>
              <w:rPr>
                <w:rFonts w:ascii="Calibri" w:eastAsia="Times New Roman" w:hAnsi="Calibri" w:cs="Calibri"/>
                <w:b/>
                <w:bCs/>
                <w:color w:val="000000"/>
                <w:lang w:eastAsia="en-US"/>
              </w:rPr>
            </w:pPr>
            <w:r w:rsidRPr="00A3016A">
              <w:rPr>
                <w:rFonts w:ascii="Calibri" w:eastAsia="Times New Roman" w:hAnsi="Calibri" w:cs="Calibri"/>
                <w:b/>
                <w:bCs/>
                <w:color w:val="000000"/>
                <w:lang w:eastAsia="en-US"/>
              </w:rPr>
              <w:t>p-Value</w:t>
            </w:r>
          </w:p>
        </w:tc>
        <w:tc>
          <w:tcPr>
            <w:tcW w:w="1181" w:type="pct"/>
            <w:tcBorders>
              <w:top w:val="single" w:sz="6" w:space="0" w:color="000000"/>
              <w:left w:val="single" w:sz="2" w:space="0" w:color="000000"/>
              <w:bottom w:val="single" w:sz="2" w:space="0" w:color="000000"/>
              <w:right w:val="single" w:sz="6" w:space="0" w:color="000000"/>
            </w:tcBorders>
            <w:shd w:val="clear" w:color="auto" w:fill="BBBBBB"/>
            <w:tcMar>
              <w:left w:w="29" w:type="dxa"/>
              <w:right w:w="29" w:type="dxa"/>
            </w:tcMar>
            <w:vAlign w:val="bottom"/>
          </w:tcPr>
          <w:p w14:paraId="3C1D17FE" w14:textId="77777777" w:rsidR="00D55B62" w:rsidRPr="00A3016A" w:rsidRDefault="00D55B62" w:rsidP="00D55B62">
            <w:pPr>
              <w:keepNext/>
              <w:autoSpaceDE w:val="0"/>
              <w:autoSpaceDN w:val="0"/>
              <w:adjustRightInd w:val="0"/>
              <w:spacing w:before="60" w:after="60" w:line="240" w:lineRule="auto"/>
              <w:rPr>
                <w:rFonts w:ascii="Calibri" w:eastAsia="Times New Roman" w:hAnsi="Calibri" w:cs="Calibri"/>
                <w:b/>
                <w:bCs/>
                <w:color w:val="000000"/>
                <w:lang w:eastAsia="en-US"/>
              </w:rPr>
            </w:pPr>
            <w:r w:rsidRPr="00D55B62">
              <w:rPr>
                <w:rFonts w:ascii="Cambria Math" w:eastAsia="Times New Roman" w:hAnsi="Cambria Math" w:cs="Cambria Math"/>
                <w:b/>
                <w:bCs/>
                <w:color w:val="000000"/>
                <w:lang w:eastAsia="en-US"/>
              </w:rPr>
              <w:t>𝚫</w:t>
            </w:r>
            <w:r w:rsidRPr="00A3016A">
              <w:rPr>
                <w:rFonts w:ascii="Calibri" w:eastAsia="Times New Roman" w:hAnsi="Calibri" w:cs="Calibri"/>
                <w:b/>
                <w:bCs/>
                <w:color w:val="000000"/>
                <w:lang w:eastAsia="en-US"/>
              </w:rPr>
              <w:t>Y [95% CI]</w:t>
            </w:r>
            <w:r w:rsidRPr="00A3016A">
              <w:rPr>
                <w:rFonts w:ascii="Calibri" w:eastAsia="Times New Roman" w:hAnsi="Calibri" w:cs="Calibri"/>
                <w:b/>
                <w:bCs/>
                <w:color w:val="000000"/>
                <w:vertAlign w:val="superscript"/>
                <w:lang w:eastAsia="en-US"/>
              </w:rPr>
              <w:t>2</w:t>
            </w:r>
          </w:p>
        </w:tc>
      </w:tr>
      <w:tr w:rsidR="0020590C" w:rsidRPr="00D55B62" w14:paraId="6A7CBB59"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5F079343" w14:textId="5BA921E9"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Creatinine [g/ml]</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40A949FB" w14:textId="0999629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Slope</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3987F774" w14:textId="3F7C2DE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295 [210, 379]</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302CEBBE" w14:textId="3F662819"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&lt;.0001</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465CA041" w14:textId="6F31CA2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1.14E+128 [1.45E+94, 8.91E+161]</w:t>
            </w:r>
          </w:p>
        </w:tc>
      </w:tr>
      <w:tr w:rsidR="0020590C" w:rsidRPr="00D55B62" w14:paraId="268A3A9B"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4E2C2816" w14:textId="2146666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Fasting Time [HH.00]</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0F0ABD45" w14:textId="43C579A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Slope</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2A0BBB69" w14:textId="4811906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-0.0191 [-0.0289, -9.29E-03]</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1F217F97" w14:textId="00F52CFC" w:rsidR="0020590C" w:rsidRPr="00A3016A" w:rsidRDefault="0020590C" w:rsidP="00C121FB">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0.000</w:t>
            </w:r>
            <w:r w:rsidR="00C121FB">
              <w:rPr>
                <w:rFonts w:eastAsia="Times New Roman" w:cstheme="minorHAnsi"/>
                <w:color w:val="000000"/>
                <w:lang w:eastAsia="en-US"/>
              </w:rPr>
              <w:t>9</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63289287" w14:textId="01BCA46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-0.0249 [-0.0365, -0.0132]</w:t>
            </w:r>
          </w:p>
        </w:tc>
      </w:tr>
      <w:tr w:rsidR="0020590C" w:rsidRPr="00D55B62" w14:paraId="2FCF6577"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1FF725ED" w14:textId="063585CB"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Tobacco Smoke Exposure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6776B1DD" w14:textId="7DFA931A"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≤0.05 ng/mL Cotinine, Serum</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4F92510A" w14:textId="0518AA4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3B3BB9BC" w14:textId="4ABE8888"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7D51379C" w14:textId="34EEB07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r>
      <w:tr w:rsidR="0020590C" w:rsidRPr="00D55B62" w14:paraId="5FDF57CC"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42746191" w14:textId="038B2FF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Tobacco Smoke Exposure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05CFE1A1" w14:textId="5ADB17E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&gt;0.05 – ≤10 ng/mL Cotinine, Serum</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130F8AD3" w14:textId="322F733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0.289 [0.0883, 0.489]</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564D7002" w14:textId="5E7FBEF0" w:rsidR="0020590C" w:rsidRPr="00A3016A" w:rsidRDefault="0020590C" w:rsidP="00C121FB">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0.00</w:t>
            </w:r>
            <w:r w:rsidR="00C121FB">
              <w:rPr>
                <w:rFonts w:eastAsia="Times New Roman" w:cstheme="minorHAnsi"/>
                <w:color w:val="000000"/>
                <w:lang w:eastAsia="en-US"/>
              </w:rPr>
              <w:t>8</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73CECEC5" w14:textId="05C0AF4E"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0.440 [0.145, 0.796]</w:t>
            </w:r>
          </w:p>
        </w:tc>
      </w:tr>
      <w:tr w:rsidR="0020590C" w:rsidRPr="00D55B62" w14:paraId="30533601"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16380D3F" w14:textId="668A0E8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Tobacco Smoke Exposure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7F60DF15" w14:textId="1D5EDF7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1 – 10 CPD (0.5 pack)</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425B277C" w14:textId="69194281"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2.94 [2.70, 3.18]</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3E068774" w14:textId="2A73F6ED"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&lt;.0001</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B874AF4" w14:textId="2571556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23.6 [18.7, 29.6]</w:t>
            </w:r>
          </w:p>
        </w:tc>
      </w:tr>
      <w:tr w:rsidR="0020590C" w:rsidRPr="00D55B62" w14:paraId="4D3B4DC2"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034B8328" w14:textId="23A25B2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Tobacco Smoke Exposure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02F35141" w14:textId="6209296A"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11 – 20 CPD (1 pack)</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4B80D52D" w14:textId="0C8C7DA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3.92 [3.75, 4.09]</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87EF06B" w14:textId="4F34C5E5"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&lt;.0001</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28D9F93C" w14:textId="1EBF961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65.0 [55.6, 75.9]</w:t>
            </w:r>
          </w:p>
        </w:tc>
      </w:tr>
      <w:tr w:rsidR="0020590C" w:rsidRPr="00D55B62" w14:paraId="4FC8367B"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7722F8F2" w14:textId="38C3615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Tobacco Smoke Exposure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13B54438" w14:textId="622B7C3B"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&gt;20 CPD (&gt;1 pack)</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2C06C5D4" w14:textId="5E0B8B4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4.46 [3.93, 5.00]</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1AE0134F" w14:textId="1FB1A20B"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&lt;.0001</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21518781" w14:textId="78C2566A"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113 [68.6, 185]</w:t>
            </w:r>
          </w:p>
        </w:tc>
      </w:tr>
      <w:tr w:rsidR="0020590C" w:rsidRPr="00D55B62" w14:paraId="634AA42E"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4EDEE59F" w14:textId="31C73D8E"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Sex</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581BF5E7" w14:textId="3748B02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Male</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43B58366" w14:textId="6F333CFB"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57EA9C9" w14:textId="6372EDD1"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074453AC" w14:textId="4DA6D88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r>
      <w:tr w:rsidR="0020590C" w:rsidRPr="00D55B62" w14:paraId="552EE6FC"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4189697A" w14:textId="1C3528FB"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Sex</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4FA05552" w14:textId="3169335E"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Female</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54F6091F" w14:textId="7650FE1B"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5.20E-03 [-0.0945, 0.105]</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7DC8DE66" w14:textId="29B13F99"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0.91</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E08DDBA" w14:textId="5AC7974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6.86E-03 [-0.109, 0.134]</w:t>
            </w:r>
          </w:p>
        </w:tc>
      </w:tr>
      <w:tr w:rsidR="0020590C" w:rsidRPr="00D55B62" w14:paraId="2444BBEA"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03603727" w14:textId="42030D9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Age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1D309256" w14:textId="020E31E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18 – 39</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6B6AA570" w14:textId="0D3DEA6A"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-0.0130 [-0.176, 0.150]</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75599C5D" w14:textId="64DAA72A"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0.87</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09D0A488" w14:textId="012D01B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-0.0170 [-0.197, 0.192]</w:t>
            </w:r>
          </w:p>
        </w:tc>
      </w:tr>
      <w:tr w:rsidR="0020590C" w:rsidRPr="00D55B62" w14:paraId="770C1DBF"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7BE9D6EC" w14:textId="596204C1"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Age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54E7108C" w14:textId="32F27DE9"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40 – 59</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3F72AB98" w14:textId="592E0306"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D2DACCD" w14:textId="35B277AB"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4C4B125B" w14:textId="6058C75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r>
      <w:tr w:rsidR="0020590C" w:rsidRPr="00D55B62" w14:paraId="19753B0F"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26DE2FC9" w14:textId="79BEC491"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Age</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34DBEE30" w14:textId="48261C96"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≥60</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744D7BCE" w14:textId="614FB67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-0.107 [-0.288, 0.0737]</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5B937BE7" w14:textId="6903E8C3"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0.23</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440546AD" w14:textId="272C8E9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-0.134 [-0.315, 0.0802]</w:t>
            </w:r>
          </w:p>
        </w:tc>
      </w:tr>
      <w:tr w:rsidR="0020590C" w:rsidRPr="00D55B62" w14:paraId="6067FA8F"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41676A9E" w14:textId="6B9DFDF9"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Race/Ethnicity</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377203C5" w14:textId="58BD6A2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Non-Hispanic White</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2C076446" w14:textId="768DF4A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329EA4C0" w14:textId="0023C162"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0B2332FE" w14:textId="0358C70F"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r>
      <w:tr w:rsidR="0020590C" w:rsidRPr="00D55B62" w14:paraId="42C19A68"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10043A4F" w14:textId="4AA2905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Race/Ethnicity</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0D3DB3EE" w14:textId="739EBD6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Non-Hispanic Black</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132C7307" w14:textId="174F6A9F"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-0.169 [-0.351, 0.0141]</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B45848C" w14:textId="3EE4811C" w:rsidR="0020590C" w:rsidRPr="00A3016A" w:rsidRDefault="0020590C" w:rsidP="00C121FB">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0.0</w:t>
            </w:r>
            <w:r w:rsidR="00C121FB">
              <w:rPr>
                <w:rFonts w:eastAsia="Times New Roman" w:cstheme="minorHAnsi"/>
                <w:color w:val="000000"/>
                <w:lang w:eastAsia="en-US"/>
              </w:rPr>
              <w:t>7</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24FAC0C2" w14:textId="07E0DA1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-0.204 [-0.376, -7.63E-04]</w:t>
            </w:r>
          </w:p>
        </w:tc>
      </w:tr>
      <w:tr w:rsidR="0020590C" w:rsidRPr="00D55B62" w14:paraId="24BAB122"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184D7002" w14:textId="4C08875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Race/Ethnicity</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6DCEC99A" w14:textId="06C48CDA"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Mexican American</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311900B9" w14:textId="15D0AF5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-0.0385 [-0.298, 0.221]</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73D82B7" w14:textId="7EA838D8"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0.76</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7DCC6139" w14:textId="23C238F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-0.0497 [-0.319, 0.292]</w:t>
            </w:r>
          </w:p>
        </w:tc>
      </w:tr>
      <w:tr w:rsidR="0020590C" w:rsidRPr="00D55B62" w14:paraId="2C4CF1F4"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292A2EB5" w14:textId="3E9A0906"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Race/Ethnicity</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524EA8EC" w14:textId="11EE4DC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Other Hispanic</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2EB35767" w14:textId="60A75D2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-4.08E-03 [-0.232, 0.224]</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312CD2F3" w14:textId="7BC517A9"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0.97</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FA58786" w14:textId="0116359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-5.36E-03 [-0.253, 0.300]</w:t>
            </w:r>
          </w:p>
        </w:tc>
      </w:tr>
      <w:tr w:rsidR="0020590C" w:rsidRPr="00D55B62" w14:paraId="19026661"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1EEAE20D" w14:textId="022DF61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Race/Ethnicity</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33EEE058" w14:textId="73B5126B"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Other/Multi-Racial</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6E215EB7" w14:textId="37C08496"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-0.148 [-0.277, -0.0196]</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113B8F04" w14:textId="2CE47C1A" w:rsidR="0020590C" w:rsidRPr="00A3016A" w:rsidRDefault="0020590C" w:rsidP="00C121FB">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0.0</w:t>
            </w:r>
            <w:r w:rsidR="00C121FB">
              <w:rPr>
                <w:rFonts w:eastAsia="Times New Roman" w:cstheme="minorHAnsi"/>
                <w:color w:val="000000"/>
                <w:lang w:eastAsia="en-US"/>
              </w:rPr>
              <w:t>3</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34EA3BBC" w14:textId="7A6A863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-0.181 [-0.308, -0.0388]</w:t>
            </w:r>
          </w:p>
        </w:tc>
      </w:tr>
      <w:tr w:rsidR="0020590C" w:rsidRPr="00D55B62" w14:paraId="262BD69A"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0C1E4ADE" w14:textId="54FB1F8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BMI</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012ADFE6" w14:textId="3A90AFDE"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Underweight</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64DC2556" w14:textId="2DC560C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0.0652 [-0.292, 0.422]</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6C914994" w14:textId="6F52AE69"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0.70</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CC0A94E" w14:textId="7D48ECB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0.0886 [-0.304, 0.634]</w:t>
            </w:r>
          </w:p>
        </w:tc>
      </w:tr>
      <w:tr w:rsidR="0020590C" w:rsidRPr="00D55B62" w14:paraId="0789112F"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7AD48D6F" w14:textId="27F857CE"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BMI</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4742E411" w14:textId="1629183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Healthy Weight</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6C344D0B" w14:textId="38D0F63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D7C9C47" w14:textId="1DFDA53F"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20841E3F" w14:textId="2A66298E"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r>
      <w:tr w:rsidR="0020590C" w:rsidRPr="00D55B62" w14:paraId="7F51E974"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3064F7B1" w14:textId="534C27A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BMI</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2C7EFCF2" w14:textId="345E06F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Overweight/Obese</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1EBA99DF" w14:textId="3B27D73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-0.0476 [-0.222, 0.127]</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77ADBE33" w14:textId="42B36C44"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0.57</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5F66A196" w14:textId="48F6DB6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-0.0611 [-0.247, 0.157]</w:t>
            </w:r>
          </w:p>
        </w:tc>
      </w:tr>
      <w:tr w:rsidR="0020590C" w:rsidRPr="00D55B62" w14:paraId="62283B48"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047611E9" w14:textId="082F495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Impoverished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4099DA68" w14:textId="3118D0C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No</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695C9B8D" w14:textId="414CF6C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0C84CE9" w14:textId="4A2C0167"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3F3B5492" w14:textId="2126708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Ref.</w:t>
            </w:r>
          </w:p>
        </w:tc>
      </w:tr>
      <w:tr w:rsidR="0020590C" w:rsidRPr="00D55B62" w14:paraId="57DBD4AC"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3C77159E" w14:textId="3ACE68E6"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Impoverished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3F852DC8" w14:textId="286F064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Yes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733A3442" w14:textId="05722771"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0.100 [-0.0192, 0.220]</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1AF3C9AE" w14:textId="2E5077F1" w:rsidR="0020590C" w:rsidRPr="00A3016A" w:rsidRDefault="0020590C" w:rsidP="00C121FB">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0.09</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58CDBE0" w14:textId="6377A3D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0.139 [-0.0126, 0.308]</w:t>
            </w:r>
          </w:p>
        </w:tc>
      </w:tr>
      <w:tr w:rsidR="0020590C" w:rsidRPr="00D55B62" w14:paraId="6E921A4E"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277AC272" w14:textId="3C9FDE6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2B8261D6" w14:textId="69370D4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Milk Products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43F02117" w14:textId="0A77309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-0.116 [-0.263, 0.0324]</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6E323ABB" w14:textId="40CF9221"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0.12</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8040DCC" w14:textId="2624BD2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-0.144 [-0.293, 0.0272]</w:t>
            </w:r>
          </w:p>
        </w:tc>
      </w:tr>
      <w:tr w:rsidR="0020590C" w:rsidRPr="00D55B62" w14:paraId="4A26CE3F"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7608224F" w14:textId="3E964F51"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31193A32" w14:textId="331354C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Meat, Poultry</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2FDA4FA1" w14:textId="57C776FE"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0.218 [-0.140, 0.575]</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652DA78E" w14:textId="43508ED8"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0.21</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2381EB26" w14:textId="770AF16F"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0.320 [-0.138, 0.957]</w:t>
            </w:r>
          </w:p>
        </w:tc>
      </w:tr>
      <w:tr w:rsidR="0020590C" w:rsidRPr="00D55B62" w14:paraId="344687D2"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4DC31EA1" w14:textId="36DF4F7F"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517AD4DD" w14:textId="12BE648D"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Eggs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7044FBF9" w14:textId="5F0C2EC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0.0792 [-0.518, 0.677]</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183698F" w14:textId="3271DBDA"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0.78</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49754E38" w14:textId="4BFEE83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0.108 [-0.493, 1.15]</w:t>
            </w:r>
          </w:p>
        </w:tc>
      </w:tr>
      <w:tr w:rsidR="0020590C" w:rsidRPr="00D55B62" w14:paraId="3B28D76D"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10D55617" w14:textId="09FBF25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635458D1" w14:textId="1424B479"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Legumes, Nuts, Seeds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35E02710" w14:textId="42CBB92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-0.0658 [-0.983, 0.851]</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7347622F" w14:textId="0DB1FDCC"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0.88</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48E88F5" w14:textId="4FB95826"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-0.0838 [-0.785, 1.55]</w:t>
            </w:r>
          </w:p>
        </w:tc>
      </w:tr>
      <w:tr w:rsidR="0020590C" w:rsidRPr="00D55B62" w14:paraId="3716F053"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28DD41D2" w14:textId="4972207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4B32EB3B" w14:textId="33523AC9"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Grain Products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7B771D62" w14:textId="1F96FBA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-0.176 [-0.422, 0.0704]</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3AF2879" w14:textId="004A3880"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0.15</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1B064C7" w14:textId="7DAB8A6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-0.212 [-0.435, 0.0683]</w:t>
            </w:r>
          </w:p>
        </w:tc>
      </w:tr>
      <w:tr w:rsidR="0020590C" w:rsidRPr="00D55B62" w14:paraId="6303B4DD"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060E6551" w14:textId="10DE407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lastRenderedPageBreak/>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71517AA3" w14:textId="020FA7A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Fruits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5DDAB17B" w14:textId="386A8E0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-0.0700 [-0.302, 0.162]</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9D795AD" w14:textId="50201DE4"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0.53</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4E95C718" w14:textId="39F68DD3"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-0.0889 [-0.325, 0.203]</w:t>
            </w:r>
          </w:p>
        </w:tc>
      </w:tr>
      <w:tr w:rsidR="0020590C" w:rsidRPr="00D55B62" w14:paraId="0B18A94C"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203E77A0" w14:textId="4F5D851A"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177FF9D6" w14:textId="0250DBC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Vegetables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23A04FE0" w14:textId="1FEA660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-0.401 [-0.799, -1.98E-03]</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582502A4" w14:textId="300CA5AE"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0.049</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1EE3253F" w14:textId="67288C89"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-0.434 [-0.705, -0.0440]</w:t>
            </w:r>
          </w:p>
        </w:tc>
      </w:tr>
      <w:tr w:rsidR="0020590C" w:rsidRPr="00D55B62" w14:paraId="5375D76A"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4C23800E" w14:textId="4EE1C411"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08F482D0" w14:textId="0FC0B426"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Fats, Oils, Salad Dressings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274B245B" w14:textId="1B969997"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1.14 [-0.605, 2.89]</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08BE72C8" w14:textId="3477B51B"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0.18</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0D460D38" w14:textId="0BC32F92"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2.80 [-0.488, 19.2]</w:t>
            </w:r>
          </w:p>
        </w:tc>
      </w:tr>
      <w:tr w:rsidR="0020590C" w:rsidRPr="00D55B62" w14:paraId="33876A8D"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6AD5CE94" w14:textId="029DA1F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2762F223" w14:textId="70D3978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Sugars, Sweets, Beverages</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19EFF19F" w14:textId="4CEB5D6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0.0160 [-0.0209, 0.0528]</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2515307D" w14:textId="0C83A55C"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0.37</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38F1E914" w14:textId="001C30F9"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0.0212 [-0.0233, 0.0672]</w:t>
            </w:r>
          </w:p>
        </w:tc>
      </w:tr>
      <w:tr w:rsidR="0020590C" w:rsidRPr="00D55B62" w14:paraId="59D57CDA" w14:textId="77777777" w:rsidTr="0020590C">
        <w:trPr>
          <w:jc w:val="center"/>
        </w:trPr>
        <w:tc>
          <w:tcPr>
            <w:tcW w:w="1240" w:type="pct"/>
            <w:tcBorders>
              <w:top w:val="nil"/>
              <w:left w:val="single" w:sz="6" w:space="0" w:color="000000"/>
              <w:bottom w:val="single" w:sz="2" w:space="0" w:color="000000"/>
              <w:right w:val="nil"/>
            </w:tcBorders>
            <w:shd w:val="clear" w:color="auto" w:fill="FFFFFF"/>
            <w:tcMar>
              <w:left w:w="29" w:type="dxa"/>
              <w:right w:w="29" w:type="dxa"/>
            </w:tcMar>
          </w:tcPr>
          <w:p w14:paraId="6D0F653B" w14:textId="1FB859FB"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2" w:space="0" w:color="000000"/>
              <w:right w:val="nil"/>
            </w:tcBorders>
            <w:shd w:val="clear" w:color="auto" w:fill="FFFFFF"/>
            <w:tcMar>
              <w:left w:w="29" w:type="dxa"/>
              <w:right w:w="29" w:type="dxa"/>
            </w:tcMar>
          </w:tcPr>
          <w:p w14:paraId="02AB899D" w14:textId="5F77B6C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 xml:space="preserve">High </w:t>
            </w:r>
            <w:proofErr w:type="spellStart"/>
            <w:r w:rsidRPr="00A3016A">
              <w:rPr>
                <w:rFonts w:eastAsia="Times New Roman" w:cstheme="minorHAnsi"/>
                <w:color w:val="000000"/>
                <w:lang w:eastAsia="en-US"/>
              </w:rPr>
              <w:t>AaC</w:t>
            </w:r>
            <w:proofErr w:type="spellEnd"/>
            <w:r w:rsidRPr="00A3016A">
              <w:rPr>
                <w:rFonts w:eastAsia="Times New Roman" w:cstheme="minorHAnsi"/>
                <w:color w:val="000000"/>
                <w:lang w:eastAsia="en-US"/>
              </w:rPr>
              <w:t xml:space="preserve"> Beef</w:t>
            </w:r>
          </w:p>
        </w:tc>
        <w:tc>
          <w:tcPr>
            <w:tcW w:w="1139" w:type="pct"/>
            <w:tcBorders>
              <w:top w:val="nil"/>
              <w:left w:val="single" w:sz="2" w:space="0" w:color="000000"/>
              <w:bottom w:val="single" w:sz="2" w:space="0" w:color="000000"/>
              <w:right w:val="nil"/>
            </w:tcBorders>
            <w:shd w:val="clear" w:color="auto" w:fill="FFFFFF"/>
            <w:tcMar>
              <w:left w:w="29" w:type="dxa"/>
              <w:right w:w="29" w:type="dxa"/>
            </w:tcMar>
          </w:tcPr>
          <w:p w14:paraId="09CB0536" w14:textId="63EB50F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2.61 [0.363, 4.87]</w:t>
            </w:r>
          </w:p>
        </w:tc>
        <w:tc>
          <w:tcPr>
            <w:tcW w:w="443" w:type="pct"/>
            <w:tcBorders>
              <w:top w:val="nil"/>
              <w:left w:val="single" w:sz="2" w:space="0" w:color="000000"/>
              <w:bottom w:val="single" w:sz="2" w:space="0" w:color="000000"/>
              <w:right w:val="nil"/>
            </w:tcBorders>
            <w:shd w:val="clear" w:color="auto" w:fill="FFFFFF"/>
            <w:tcMar>
              <w:left w:w="29" w:type="dxa"/>
              <w:right w:w="29" w:type="dxa"/>
            </w:tcMar>
          </w:tcPr>
          <w:p w14:paraId="4C938C6F" w14:textId="1AD1FAA6" w:rsidR="0020590C" w:rsidRPr="00A3016A" w:rsidRDefault="0020590C" w:rsidP="00C121FB">
            <w:pPr>
              <w:autoSpaceDE w:val="0"/>
              <w:autoSpaceDN w:val="0"/>
              <w:adjustRightInd w:val="0"/>
              <w:spacing w:before="60" w:after="60" w:line="240" w:lineRule="auto"/>
              <w:jc w:val="right"/>
              <w:rPr>
                <w:rFonts w:eastAsia="Times New Roman" w:cstheme="minorHAnsi"/>
                <w:color w:val="000000"/>
                <w:lang w:eastAsia="en-US"/>
              </w:rPr>
            </w:pPr>
            <w:r w:rsidRPr="00A3016A">
              <w:rPr>
                <w:rFonts w:eastAsia="Times New Roman" w:cstheme="minorHAnsi"/>
                <w:color w:val="000000"/>
                <w:lang w:eastAsia="en-US"/>
              </w:rPr>
              <w:t>0.0</w:t>
            </w:r>
            <w:r w:rsidR="00C121FB">
              <w:rPr>
                <w:rFonts w:eastAsia="Times New Roman" w:cstheme="minorHAnsi"/>
                <w:color w:val="000000"/>
                <w:lang w:eastAsia="en-US"/>
              </w:rPr>
              <w:t>3</w:t>
            </w:r>
          </w:p>
        </w:tc>
        <w:tc>
          <w:tcPr>
            <w:tcW w:w="1181" w:type="pct"/>
            <w:tcBorders>
              <w:top w:val="nil"/>
              <w:left w:val="single" w:sz="2" w:space="0" w:color="000000"/>
              <w:bottom w:val="single" w:sz="2" w:space="0" w:color="000000"/>
              <w:right w:val="single" w:sz="6" w:space="0" w:color="000000"/>
            </w:tcBorders>
            <w:shd w:val="clear" w:color="auto" w:fill="FFFFFF"/>
            <w:tcMar>
              <w:left w:w="29" w:type="dxa"/>
              <w:right w:w="29" w:type="dxa"/>
            </w:tcMar>
          </w:tcPr>
          <w:p w14:paraId="537F686A" w14:textId="654E62A8"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16.7 [0.950, 141]</w:t>
            </w:r>
          </w:p>
        </w:tc>
      </w:tr>
      <w:tr w:rsidR="0020590C" w:rsidRPr="00D55B62" w14:paraId="0AA385B3" w14:textId="77777777" w:rsidTr="0020590C">
        <w:trPr>
          <w:jc w:val="center"/>
        </w:trPr>
        <w:tc>
          <w:tcPr>
            <w:tcW w:w="1240" w:type="pct"/>
            <w:tcBorders>
              <w:top w:val="nil"/>
              <w:left w:val="single" w:sz="6" w:space="0" w:color="000000"/>
              <w:bottom w:val="single" w:sz="6" w:space="0" w:color="000000"/>
              <w:right w:val="nil"/>
            </w:tcBorders>
            <w:shd w:val="clear" w:color="auto" w:fill="FFFFFF"/>
            <w:tcMar>
              <w:left w:w="29" w:type="dxa"/>
              <w:right w:w="29" w:type="dxa"/>
            </w:tcMar>
          </w:tcPr>
          <w:p w14:paraId="6E23A8EF" w14:textId="2975DB3F" w:rsidR="0020590C" w:rsidRPr="00A3016A" w:rsidRDefault="0020590C" w:rsidP="00D55B62">
            <w:pPr>
              <w:keepNext/>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Food Consumed [kg/d]</w:t>
            </w:r>
          </w:p>
        </w:tc>
        <w:tc>
          <w:tcPr>
            <w:tcW w:w="997" w:type="pct"/>
            <w:tcBorders>
              <w:top w:val="nil"/>
              <w:left w:val="single" w:sz="2" w:space="0" w:color="000000"/>
              <w:bottom w:val="single" w:sz="6" w:space="0" w:color="000000"/>
              <w:right w:val="nil"/>
            </w:tcBorders>
            <w:shd w:val="clear" w:color="auto" w:fill="FFFFFF"/>
            <w:tcMar>
              <w:left w:w="29" w:type="dxa"/>
              <w:right w:w="29" w:type="dxa"/>
            </w:tcMar>
          </w:tcPr>
          <w:p w14:paraId="6914CEAF" w14:textId="34591E8E" w:rsidR="0020590C" w:rsidRPr="00A3016A" w:rsidRDefault="0020590C" w:rsidP="00D55B62">
            <w:pPr>
              <w:keepNext/>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 xml:space="preserve">High </w:t>
            </w:r>
            <w:proofErr w:type="spellStart"/>
            <w:r w:rsidRPr="00A3016A">
              <w:rPr>
                <w:rFonts w:eastAsia="Times New Roman" w:cstheme="minorHAnsi"/>
                <w:color w:val="000000"/>
                <w:lang w:eastAsia="en-US"/>
              </w:rPr>
              <w:t>AaC</w:t>
            </w:r>
            <w:proofErr w:type="spellEnd"/>
            <w:r w:rsidRPr="00A3016A">
              <w:rPr>
                <w:rFonts w:eastAsia="Times New Roman" w:cstheme="minorHAnsi"/>
                <w:color w:val="000000"/>
                <w:lang w:eastAsia="en-US"/>
              </w:rPr>
              <w:t xml:space="preserve"> Fish</w:t>
            </w:r>
          </w:p>
        </w:tc>
        <w:tc>
          <w:tcPr>
            <w:tcW w:w="1139" w:type="pct"/>
            <w:tcBorders>
              <w:top w:val="nil"/>
              <w:left w:val="single" w:sz="2" w:space="0" w:color="000000"/>
              <w:bottom w:val="single" w:sz="6" w:space="0" w:color="000000"/>
              <w:right w:val="nil"/>
            </w:tcBorders>
            <w:shd w:val="clear" w:color="auto" w:fill="FFFFFF"/>
            <w:tcMar>
              <w:left w:w="29" w:type="dxa"/>
              <w:right w:w="29" w:type="dxa"/>
            </w:tcMar>
          </w:tcPr>
          <w:p w14:paraId="5E4A0523" w14:textId="4F95E61D" w:rsidR="0020590C" w:rsidRPr="00A3016A" w:rsidRDefault="0020590C" w:rsidP="00D55B62">
            <w:pPr>
              <w:keepNext/>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-0.487 [-0.953, -0.0212]</w:t>
            </w:r>
          </w:p>
        </w:tc>
        <w:tc>
          <w:tcPr>
            <w:tcW w:w="443" w:type="pct"/>
            <w:tcBorders>
              <w:top w:val="nil"/>
              <w:left w:val="single" w:sz="2" w:space="0" w:color="000000"/>
              <w:bottom w:val="single" w:sz="6" w:space="0" w:color="000000"/>
              <w:right w:val="nil"/>
            </w:tcBorders>
            <w:shd w:val="clear" w:color="auto" w:fill="FFFFFF"/>
            <w:tcMar>
              <w:left w:w="29" w:type="dxa"/>
              <w:right w:w="29" w:type="dxa"/>
            </w:tcMar>
          </w:tcPr>
          <w:p w14:paraId="58B3E954" w14:textId="04064F44" w:rsidR="0020590C" w:rsidRPr="00A3016A" w:rsidRDefault="00C121FB" w:rsidP="00D55B62">
            <w:pPr>
              <w:keepNext/>
              <w:autoSpaceDE w:val="0"/>
              <w:autoSpaceDN w:val="0"/>
              <w:adjustRightInd w:val="0"/>
              <w:spacing w:before="60" w:after="60" w:line="240" w:lineRule="auto"/>
              <w:jc w:val="right"/>
              <w:rPr>
                <w:rFonts w:eastAsia="Times New Roman" w:cstheme="minorHAnsi"/>
                <w:color w:val="000000"/>
                <w:lang w:eastAsia="en-US"/>
              </w:rPr>
            </w:pPr>
            <w:r>
              <w:rPr>
                <w:rFonts w:eastAsia="Times New Roman" w:cstheme="minorHAnsi"/>
                <w:color w:val="000000"/>
                <w:lang w:eastAsia="en-US"/>
              </w:rPr>
              <w:t>0.04</w:t>
            </w:r>
          </w:p>
        </w:tc>
        <w:tc>
          <w:tcPr>
            <w:tcW w:w="1181" w:type="pct"/>
            <w:tcBorders>
              <w:top w:val="nil"/>
              <w:left w:val="single" w:sz="2" w:space="0" w:color="000000"/>
              <w:bottom w:val="single" w:sz="6" w:space="0" w:color="000000"/>
              <w:right w:val="single" w:sz="6" w:space="0" w:color="000000"/>
            </w:tcBorders>
            <w:shd w:val="clear" w:color="auto" w:fill="FFFFFF"/>
            <w:tcMar>
              <w:left w:w="29" w:type="dxa"/>
              <w:right w:w="29" w:type="dxa"/>
            </w:tcMar>
          </w:tcPr>
          <w:p w14:paraId="090B1EA6" w14:textId="2237721F" w:rsidR="0020590C" w:rsidRPr="00A3016A" w:rsidRDefault="0020590C" w:rsidP="00D55B62">
            <w:pPr>
              <w:keepNext/>
              <w:autoSpaceDE w:val="0"/>
              <w:autoSpaceDN w:val="0"/>
              <w:adjustRightInd w:val="0"/>
              <w:spacing w:before="60" w:after="60" w:line="240" w:lineRule="auto"/>
              <w:rPr>
                <w:rFonts w:eastAsia="Times New Roman" w:cstheme="minorHAnsi"/>
                <w:color w:val="000000"/>
                <w:lang w:eastAsia="en-US"/>
              </w:rPr>
            </w:pPr>
            <w:r w:rsidRPr="00A3016A">
              <w:rPr>
                <w:rFonts w:eastAsia="Times New Roman" w:cstheme="minorHAnsi"/>
                <w:color w:val="000000"/>
                <w:lang w:eastAsia="en-US"/>
              </w:rPr>
              <w:t>-0.507 [-0.789, -0.0749]</w:t>
            </w:r>
          </w:p>
        </w:tc>
      </w:tr>
      <w:tr w:rsidR="0020590C" w:rsidRPr="00D55B62" w14:paraId="1F87C556" w14:textId="77777777" w:rsidTr="0020590C">
        <w:trPr>
          <w:jc w:val="center"/>
        </w:trPr>
        <w:tc>
          <w:tcPr>
            <w:tcW w:w="1240" w:type="pct"/>
            <w:tcBorders>
              <w:top w:val="nil"/>
              <w:left w:val="single" w:sz="6" w:space="0" w:color="000000"/>
              <w:bottom w:val="single" w:sz="6" w:space="0" w:color="000000"/>
              <w:right w:val="nil"/>
            </w:tcBorders>
            <w:shd w:val="clear" w:color="auto" w:fill="FFFFFF"/>
            <w:tcMar>
              <w:left w:w="29" w:type="dxa"/>
              <w:right w:w="29" w:type="dxa"/>
            </w:tcMar>
          </w:tcPr>
          <w:p w14:paraId="3E4CCAC4" w14:textId="4C22FFD5"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p>
        </w:tc>
        <w:tc>
          <w:tcPr>
            <w:tcW w:w="997" w:type="pct"/>
            <w:tcBorders>
              <w:top w:val="nil"/>
              <w:left w:val="single" w:sz="2" w:space="0" w:color="000000"/>
              <w:bottom w:val="single" w:sz="6" w:space="0" w:color="000000"/>
              <w:right w:val="nil"/>
            </w:tcBorders>
            <w:shd w:val="clear" w:color="auto" w:fill="FFFFFF"/>
            <w:tcMar>
              <w:left w:w="29" w:type="dxa"/>
              <w:right w:w="29" w:type="dxa"/>
            </w:tcMar>
          </w:tcPr>
          <w:p w14:paraId="230B9786" w14:textId="0E1B65F4"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p>
        </w:tc>
        <w:tc>
          <w:tcPr>
            <w:tcW w:w="1139" w:type="pct"/>
            <w:tcBorders>
              <w:top w:val="nil"/>
              <w:left w:val="single" w:sz="2" w:space="0" w:color="000000"/>
              <w:bottom w:val="single" w:sz="6" w:space="0" w:color="000000"/>
              <w:right w:val="nil"/>
            </w:tcBorders>
            <w:shd w:val="clear" w:color="auto" w:fill="FFFFFF"/>
            <w:tcMar>
              <w:left w:w="29" w:type="dxa"/>
              <w:right w:w="29" w:type="dxa"/>
            </w:tcMar>
          </w:tcPr>
          <w:p w14:paraId="0EC0ACC0" w14:textId="01C56E0C"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p>
        </w:tc>
        <w:tc>
          <w:tcPr>
            <w:tcW w:w="443" w:type="pct"/>
            <w:tcBorders>
              <w:top w:val="nil"/>
              <w:left w:val="single" w:sz="2" w:space="0" w:color="000000"/>
              <w:bottom w:val="single" w:sz="6" w:space="0" w:color="000000"/>
              <w:right w:val="nil"/>
            </w:tcBorders>
            <w:shd w:val="clear" w:color="auto" w:fill="FFFFFF"/>
            <w:tcMar>
              <w:left w:w="29" w:type="dxa"/>
              <w:right w:w="29" w:type="dxa"/>
            </w:tcMar>
          </w:tcPr>
          <w:p w14:paraId="10AFF6A7" w14:textId="1E6AC99E" w:rsidR="0020590C" w:rsidRPr="00A3016A" w:rsidRDefault="0020590C" w:rsidP="00D55B62">
            <w:pPr>
              <w:autoSpaceDE w:val="0"/>
              <w:autoSpaceDN w:val="0"/>
              <w:adjustRightInd w:val="0"/>
              <w:spacing w:before="60" w:after="60" w:line="240" w:lineRule="auto"/>
              <w:jc w:val="right"/>
              <w:rPr>
                <w:rFonts w:eastAsia="Times New Roman" w:cstheme="minorHAnsi"/>
                <w:color w:val="000000"/>
                <w:lang w:eastAsia="en-US"/>
              </w:rPr>
            </w:pPr>
          </w:p>
        </w:tc>
        <w:tc>
          <w:tcPr>
            <w:tcW w:w="1181" w:type="pct"/>
            <w:tcBorders>
              <w:top w:val="nil"/>
              <w:left w:val="single" w:sz="2" w:space="0" w:color="000000"/>
              <w:bottom w:val="single" w:sz="6" w:space="0" w:color="000000"/>
              <w:right w:val="single" w:sz="6" w:space="0" w:color="000000"/>
            </w:tcBorders>
            <w:shd w:val="clear" w:color="auto" w:fill="FFFFFF"/>
            <w:tcMar>
              <w:left w:w="29" w:type="dxa"/>
              <w:right w:w="29" w:type="dxa"/>
            </w:tcMar>
          </w:tcPr>
          <w:p w14:paraId="49962149" w14:textId="31A19200" w:rsidR="0020590C" w:rsidRPr="00A3016A" w:rsidRDefault="0020590C" w:rsidP="00D55B62">
            <w:pPr>
              <w:autoSpaceDE w:val="0"/>
              <w:autoSpaceDN w:val="0"/>
              <w:adjustRightInd w:val="0"/>
              <w:spacing w:before="60" w:after="60" w:line="240" w:lineRule="auto"/>
              <w:rPr>
                <w:rFonts w:eastAsia="Times New Roman" w:cstheme="minorHAnsi"/>
                <w:color w:val="000000"/>
                <w:lang w:eastAsia="en-US"/>
              </w:rPr>
            </w:pPr>
          </w:p>
        </w:tc>
      </w:tr>
    </w:tbl>
    <w:p w14:paraId="67B38380" w14:textId="77777777" w:rsidR="00D55B62" w:rsidRPr="00401515" w:rsidRDefault="00D55B62" w:rsidP="00A95D4C"/>
    <w:p w14:paraId="3A5FA8CE" w14:textId="77777777" w:rsidR="00A95D4C" w:rsidRPr="00401515" w:rsidRDefault="00A95D4C" w:rsidP="00A95D4C">
      <w:pPr>
        <w:spacing w:after="160" w:line="259" w:lineRule="auto"/>
        <w:rPr>
          <w:rFonts w:eastAsiaTheme="minorHAnsi"/>
          <w:sz w:val="18"/>
          <w:szCs w:val="18"/>
          <w:lang w:eastAsia="en-US"/>
        </w:rPr>
      </w:pPr>
      <w:r w:rsidRPr="00401515">
        <w:rPr>
          <w:rFonts w:eastAsiaTheme="minorHAnsi"/>
          <w:sz w:val="18"/>
          <w:szCs w:val="18"/>
          <w:lang w:eastAsia="en-US"/>
        </w:rPr>
        <w:t>1. The dependent variable, biomarker concentration, was natural log-transformed for the regression model.</w:t>
      </w:r>
    </w:p>
    <w:p w14:paraId="77B4DE4E" w14:textId="77777777" w:rsidR="000027E2" w:rsidRDefault="00A95D4C" w:rsidP="000027E2">
      <w:pPr>
        <w:spacing w:after="160" w:line="259" w:lineRule="auto"/>
        <w:rPr>
          <w:rFonts w:eastAsiaTheme="minorHAnsi"/>
          <w:sz w:val="18"/>
          <w:szCs w:val="18"/>
          <w:lang w:eastAsia="en-US"/>
        </w:rPr>
      </w:pPr>
      <w:r w:rsidRPr="00401515">
        <w:rPr>
          <w:rFonts w:eastAsiaTheme="minorHAnsi"/>
          <w:sz w:val="18"/>
          <w:szCs w:val="18"/>
          <w:lang w:eastAsia="en-US"/>
        </w:rPr>
        <w:t xml:space="preserve">2. ∆Y is the expected change in biomarker concentration in </w:t>
      </w:r>
      <w:proofErr w:type="spellStart"/>
      <w:r w:rsidRPr="00401515">
        <w:rPr>
          <w:rFonts w:eastAsiaTheme="minorHAnsi"/>
          <w:sz w:val="18"/>
          <w:szCs w:val="18"/>
          <w:lang w:eastAsia="en-US"/>
        </w:rPr>
        <w:t>pg</w:t>
      </w:r>
      <w:proofErr w:type="spellEnd"/>
      <w:r w:rsidRPr="00401515">
        <w:rPr>
          <w:rFonts w:eastAsiaTheme="minorHAnsi"/>
          <w:sz w:val="18"/>
          <w:szCs w:val="18"/>
          <w:lang w:eastAsia="en-US"/>
        </w:rPr>
        <w:t xml:space="preserve">/mL associated with a unit-increase in the predictor, controlling for other predictors in the model </w:t>
      </w:r>
      <w:r w:rsidRPr="00401515">
        <w:rPr>
          <w:rFonts w:ascii="Times New Roman" w:eastAsiaTheme="minorHAnsi" w:hAnsi="Times New Roman" w:cs="Times New Roman"/>
          <w:sz w:val="18"/>
          <w:szCs w:val="18"/>
          <w:lang w:eastAsia="en-US"/>
        </w:rPr>
        <w:t xml:space="preserve">and calculated at the overall geometric mean. </w:t>
      </w:r>
      <w:r w:rsidRPr="00401515">
        <w:rPr>
          <w:rFonts w:eastAsiaTheme="minorHAnsi"/>
          <w:sz w:val="18"/>
          <w:szCs w:val="18"/>
          <w:lang w:eastAsia="en-US"/>
        </w:rPr>
        <w:t xml:space="preserve"> </w:t>
      </w:r>
    </w:p>
    <w:p w14:paraId="479836AE" w14:textId="77777777" w:rsidR="000027E2" w:rsidRDefault="000027E2" w:rsidP="000027E2">
      <w:pPr>
        <w:spacing w:after="160" w:line="259" w:lineRule="auto"/>
        <w:rPr>
          <w:rFonts w:eastAsiaTheme="minorHAnsi"/>
          <w:sz w:val="18"/>
          <w:szCs w:val="18"/>
          <w:lang w:eastAsia="en-US"/>
        </w:rPr>
      </w:pPr>
    </w:p>
    <w:p w14:paraId="458467B2" w14:textId="5D21EAAF" w:rsidR="000027E2" w:rsidRDefault="00A95D4C" w:rsidP="00B10B0A">
      <w:pPr>
        <w:spacing w:after="160" w:line="259" w:lineRule="auto"/>
        <w:rPr>
          <w:b/>
          <w:bCs/>
          <w:iCs/>
          <w:color w:val="000000"/>
          <w:sz w:val="28"/>
          <w:szCs w:val="28"/>
        </w:rPr>
      </w:pPr>
      <w:r w:rsidRPr="00401515">
        <w:rPr>
          <w:b/>
          <w:bCs/>
          <w:iCs/>
          <w:color w:val="000000"/>
          <w:sz w:val="28"/>
          <w:szCs w:val="28"/>
        </w:rPr>
        <w:t xml:space="preserve">Supplementary table </w:t>
      </w:r>
      <w:r w:rsidR="005F75B5">
        <w:rPr>
          <w:b/>
          <w:bCs/>
          <w:iCs/>
          <w:color w:val="000000"/>
          <w:sz w:val="28"/>
          <w:szCs w:val="28"/>
        </w:rPr>
        <w:t>6</w:t>
      </w:r>
      <w:r w:rsidRPr="00401515">
        <w:rPr>
          <w:b/>
          <w:bCs/>
          <w:iCs/>
          <w:color w:val="000000"/>
          <w:sz w:val="28"/>
          <w:szCs w:val="28"/>
        </w:rPr>
        <w:t xml:space="preserve">. Sample weighted multiple regression results for urinary AαC concentrations </w:t>
      </w:r>
      <w:r w:rsidRPr="00401515">
        <w:rPr>
          <w:b/>
          <w:bCs/>
          <w:iCs/>
          <w:color w:val="000000"/>
          <w:sz w:val="28"/>
          <w:szCs w:val="28"/>
          <w:lang w:bidi="en-US"/>
        </w:rPr>
        <w:t>[</w:t>
      </w:r>
      <w:proofErr w:type="spellStart"/>
      <w:r w:rsidRPr="00401515">
        <w:rPr>
          <w:b/>
          <w:bCs/>
          <w:iCs/>
          <w:color w:val="000000"/>
          <w:sz w:val="28"/>
          <w:szCs w:val="28"/>
          <w:lang w:bidi="en-US"/>
        </w:rPr>
        <w:t>pg</w:t>
      </w:r>
      <w:proofErr w:type="spellEnd"/>
      <w:r w:rsidRPr="00401515">
        <w:rPr>
          <w:b/>
          <w:bCs/>
          <w:iCs/>
          <w:color w:val="000000"/>
          <w:sz w:val="28"/>
          <w:szCs w:val="28"/>
          <w:lang w:bidi="en-US"/>
        </w:rPr>
        <w:t xml:space="preserve">/mL] </w:t>
      </w:r>
      <w:r w:rsidRPr="00401515">
        <w:rPr>
          <w:b/>
          <w:bCs/>
          <w:iCs/>
          <w:color w:val="000000"/>
          <w:sz w:val="28"/>
          <w:szCs w:val="28"/>
        </w:rPr>
        <w:t>in NHANES 2013-2014 (N = 1,7</w:t>
      </w:r>
      <w:r>
        <w:rPr>
          <w:b/>
          <w:bCs/>
          <w:iCs/>
          <w:color w:val="000000"/>
          <w:sz w:val="28"/>
          <w:szCs w:val="28"/>
        </w:rPr>
        <w:t>60</w:t>
      </w:r>
      <w:r w:rsidRPr="00401515">
        <w:rPr>
          <w:b/>
          <w:bCs/>
          <w:iCs/>
          <w:color w:val="000000"/>
          <w:sz w:val="28"/>
          <w:szCs w:val="28"/>
        </w:rPr>
        <w:t xml:space="preserve">). The geometric mean of urinary AαC used for computing </w:t>
      </w:r>
      <m:oMath>
        <m:r>
          <m:rPr>
            <m:sty m:val="bi"/>
          </m:rPr>
          <w:rPr>
            <w:rFonts w:ascii="Cambria Math" w:hAnsi="Cambria Math"/>
            <w:color w:val="000000"/>
            <w:sz w:val="28"/>
            <w:szCs w:val="28"/>
          </w:rPr>
          <m:t>ΔY</m:t>
        </m:r>
      </m:oMath>
      <w:r w:rsidRPr="00401515">
        <w:rPr>
          <w:b/>
          <w:bCs/>
          <w:iCs/>
          <w:color w:val="000000"/>
          <w:sz w:val="28"/>
          <w:szCs w:val="28"/>
        </w:rPr>
        <w:t xml:space="preserve"> is 1.32 </w:t>
      </w:r>
      <w:proofErr w:type="spellStart"/>
      <w:r w:rsidRPr="00401515">
        <w:rPr>
          <w:b/>
          <w:bCs/>
          <w:iCs/>
          <w:color w:val="000000"/>
          <w:sz w:val="28"/>
          <w:szCs w:val="28"/>
        </w:rPr>
        <w:t>pg</w:t>
      </w:r>
      <w:proofErr w:type="spellEnd"/>
      <w:r w:rsidRPr="00401515">
        <w:rPr>
          <w:b/>
          <w:bCs/>
          <w:iCs/>
          <w:color w:val="000000"/>
          <w:sz w:val="28"/>
          <w:szCs w:val="28"/>
        </w:rPr>
        <w:t>/</w:t>
      </w:r>
      <w:proofErr w:type="spellStart"/>
      <w:r w:rsidRPr="00401515">
        <w:rPr>
          <w:b/>
          <w:bCs/>
          <w:iCs/>
          <w:color w:val="000000"/>
          <w:sz w:val="28"/>
          <w:szCs w:val="28"/>
        </w:rPr>
        <w:t>mL.</w:t>
      </w:r>
      <w:proofErr w:type="spellEnd"/>
    </w:p>
    <w:p w14:paraId="33ADDC39" w14:textId="77777777" w:rsidR="009E03DA" w:rsidRDefault="009E03DA" w:rsidP="003151B6"/>
    <w:sectPr w:rsidR="009E03DA" w:rsidSect="0097413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EE327" w14:textId="77777777" w:rsidR="00362FF8" w:rsidRDefault="00362FF8" w:rsidP="008B5D54">
      <w:pPr>
        <w:spacing w:after="0" w:line="240" w:lineRule="auto"/>
      </w:pPr>
      <w:r>
        <w:separator/>
      </w:r>
    </w:p>
  </w:endnote>
  <w:endnote w:type="continuationSeparator" w:id="0">
    <w:p w14:paraId="2253D8ED" w14:textId="77777777" w:rsidR="00362FF8" w:rsidRDefault="00362FF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59045"/>
      <w:docPartObj>
        <w:docPartGallery w:val="Page Numbers (Bottom of Page)"/>
        <w:docPartUnique/>
      </w:docPartObj>
    </w:sdtPr>
    <w:sdtEndPr>
      <w:rPr>
        <w:noProof/>
      </w:rPr>
    </w:sdtEndPr>
    <w:sdtContent>
      <w:p w14:paraId="47E0E166" w14:textId="3E8AE62E" w:rsidR="00362FF8" w:rsidRDefault="00362FF8">
        <w:pPr>
          <w:pStyle w:val="Footer"/>
          <w:jc w:val="right"/>
        </w:pPr>
        <w:r>
          <w:fldChar w:fldCharType="begin"/>
        </w:r>
        <w:r>
          <w:instrText xml:space="preserve"> PAGE   \* MERGEFORMAT </w:instrText>
        </w:r>
        <w:r>
          <w:fldChar w:fldCharType="separate"/>
        </w:r>
        <w:r w:rsidR="00FC1E36">
          <w:rPr>
            <w:noProof/>
          </w:rPr>
          <w:t>5</w:t>
        </w:r>
        <w:r>
          <w:rPr>
            <w:noProof/>
          </w:rPr>
          <w:fldChar w:fldCharType="end"/>
        </w:r>
      </w:p>
    </w:sdtContent>
  </w:sdt>
  <w:p w14:paraId="1933D2C9" w14:textId="77777777" w:rsidR="00362FF8" w:rsidRDefault="0036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1D762" w14:textId="77777777" w:rsidR="00362FF8" w:rsidRDefault="00362FF8" w:rsidP="008B5D54">
      <w:pPr>
        <w:spacing w:after="0" w:line="240" w:lineRule="auto"/>
      </w:pPr>
      <w:r>
        <w:separator/>
      </w:r>
    </w:p>
  </w:footnote>
  <w:footnote w:type="continuationSeparator" w:id="0">
    <w:p w14:paraId="4AF8A48E" w14:textId="77777777" w:rsidR="00362FF8" w:rsidRDefault="00362FF8"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DateAndTime/>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nviron Health Pers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w2e5v2qts59cestepppp2kr0wea5azewe0&quot;&gt;HCAA epi paper&lt;record-ids&gt;&lt;item&gt;2&lt;/item&gt;&lt;item&gt;4&lt;/item&gt;&lt;item&gt;6&lt;/item&gt;&lt;item&gt;9&lt;/item&gt;&lt;item&gt;11&lt;/item&gt;&lt;item&gt;13&lt;/item&gt;&lt;item&gt;14&lt;/item&gt;&lt;item&gt;15&lt;/item&gt;&lt;item&gt;16&lt;/item&gt;&lt;item&gt;17&lt;/item&gt;&lt;item&gt;18&lt;/item&gt;&lt;item&gt;19&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3&lt;/item&gt;&lt;item&gt;54&lt;/item&gt;&lt;item&gt;56&lt;/item&gt;&lt;item&gt;57&lt;/item&gt;&lt;item&gt;58&lt;/item&gt;&lt;item&gt;64&lt;/item&gt;&lt;item&gt;65&lt;/item&gt;&lt;item&gt;67&lt;/item&gt;&lt;item&gt;68&lt;/item&gt;&lt;item&gt;69&lt;/item&gt;&lt;item&gt;70&lt;/item&gt;&lt;item&gt;71&lt;/item&gt;&lt;item&gt;72&lt;/item&gt;&lt;item&gt;73&lt;/item&gt;&lt;item&gt;77&lt;/item&gt;&lt;item&gt;78&lt;/item&gt;&lt;item&gt;79&lt;/item&gt;&lt;item&gt;81&lt;/item&gt;&lt;item&gt;82&lt;/item&gt;&lt;item&gt;83&lt;/item&gt;&lt;item&gt;84&lt;/item&gt;&lt;item&gt;85&lt;/item&gt;&lt;item&gt;86&lt;/item&gt;&lt;item&gt;87&lt;/item&gt;&lt;item&gt;88&lt;/item&gt;&lt;/record-ids&gt;&lt;/item&gt;&lt;/Libraries&gt;"/>
  </w:docVars>
  <w:rsids>
    <w:rsidRoot w:val="00727500"/>
    <w:rsid w:val="000004EC"/>
    <w:rsid w:val="0000185C"/>
    <w:rsid w:val="000027E2"/>
    <w:rsid w:val="000029F6"/>
    <w:rsid w:val="000036AE"/>
    <w:rsid w:val="00005EB6"/>
    <w:rsid w:val="00005EF3"/>
    <w:rsid w:val="00006257"/>
    <w:rsid w:val="0000714D"/>
    <w:rsid w:val="000076EB"/>
    <w:rsid w:val="00007C42"/>
    <w:rsid w:val="000103F9"/>
    <w:rsid w:val="000105DC"/>
    <w:rsid w:val="00011BE2"/>
    <w:rsid w:val="00012513"/>
    <w:rsid w:val="000133D5"/>
    <w:rsid w:val="000139AB"/>
    <w:rsid w:val="00015302"/>
    <w:rsid w:val="00021FF4"/>
    <w:rsid w:val="000221AD"/>
    <w:rsid w:val="00022947"/>
    <w:rsid w:val="00022E8B"/>
    <w:rsid w:val="00024138"/>
    <w:rsid w:val="00026647"/>
    <w:rsid w:val="00033649"/>
    <w:rsid w:val="000340B2"/>
    <w:rsid w:val="00034F3A"/>
    <w:rsid w:val="00036502"/>
    <w:rsid w:val="00036803"/>
    <w:rsid w:val="0004127A"/>
    <w:rsid w:val="0004159E"/>
    <w:rsid w:val="00042460"/>
    <w:rsid w:val="00044209"/>
    <w:rsid w:val="00046AAE"/>
    <w:rsid w:val="000503CF"/>
    <w:rsid w:val="00050747"/>
    <w:rsid w:val="000510BA"/>
    <w:rsid w:val="00054F7D"/>
    <w:rsid w:val="00055434"/>
    <w:rsid w:val="000559B9"/>
    <w:rsid w:val="000562F3"/>
    <w:rsid w:val="00061949"/>
    <w:rsid w:val="00061E27"/>
    <w:rsid w:val="00062A34"/>
    <w:rsid w:val="00065479"/>
    <w:rsid w:val="000656D4"/>
    <w:rsid w:val="000659E0"/>
    <w:rsid w:val="00065FD6"/>
    <w:rsid w:val="00066F05"/>
    <w:rsid w:val="00066FD3"/>
    <w:rsid w:val="0006775C"/>
    <w:rsid w:val="000705C1"/>
    <w:rsid w:val="00070753"/>
    <w:rsid w:val="00071E6A"/>
    <w:rsid w:val="00071E8D"/>
    <w:rsid w:val="00072908"/>
    <w:rsid w:val="00072D38"/>
    <w:rsid w:val="000730E5"/>
    <w:rsid w:val="00073EEF"/>
    <w:rsid w:val="00077EFB"/>
    <w:rsid w:val="000810C9"/>
    <w:rsid w:val="000816E6"/>
    <w:rsid w:val="00082098"/>
    <w:rsid w:val="00082A5A"/>
    <w:rsid w:val="00082B38"/>
    <w:rsid w:val="00083EB6"/>
    <w:rsid w:val="00083F79"/>
    <w:rsid w:val="00085218"/>
    <w:rsid w:val="00085A7E"/>
    <w:rsid w:val="000909E0"/>
    <w:rsid w:val="00090DA0"/>
    <w:rsid w:val="000911F5"/>
    <w:rsid w:val="00091EF0"/>
    <w:rsid w:val="000944F7"/>
    <w:rsid w:val="00094777"/>
    <w:rsid w:val="00095DE3"/>
    <w:rsid w:val="00096E9E"/>
    <w:rsid w:val="000A0FE8"/>
    <w:rsid w:val="000A1331"/>
    <w:rsid w:val="000A1D63"/>
    <w:rsid w:val="000A2E4D"/>
    <w:rsid w:val="000A2FC9"/>
    <w:rsid w:val="000A3DAF"/>
    <w:rsid w:val="000A4378"/>
    <w:rsid w:val="000A55DE"/>
    <w:rsid w:val="000A58F7"/>
    <w:rsid w:val="000A5CEE"/>
    <w:rsid w:val="000A61BD"/>
    <w:rsid w:val="000A75E7"/>
    <w:rsid w:val="000A7B8C"/>
    <w:rsid w:val="000B0399"/>
    <w:rsid w:val="000B0B4A"/>
    <w:rsid w:val="000B0C0B"/>
    <w:rsid w:val="000B25C7"/>
    <w:rsid w:val="000B3BE9"/>
    <w:rsid w:val="000B4255"/>
    <w:rsid w:val="000B440D"/>
    <w:rsid w:val="000B4637"/>
    <w:rsid w:val="000B5326"/>
    <w:rsid w:val="000B59F9"/>
    <w:rsid w:val="000B7568"/>
    <w:rsid w:val="000C2146"/>
    <w:rsid w:val="000C2A59"/>
    <w:rsid w:val="000C3C73"/>
    <w:rsid w:val="000C3FF3"/>
    <w:rsid w:val="000C5EBE"/>
    <w:rsid w:val="000D0F3E"/>
    <w:rsid w:val="000D1694"/>
    <w:rsid w:val="000D35F2"/>
    <w:rsid w:val="000D3C39"/>
    <w:rsid w:val="000D4303"/>
    <w:rsid w:val="000D4A50"/>
    <w:rsid w:val="000D4AE9"/>
    <w:rsid w:val="000D509F"/>
    <w:rsid w:val="000D60B2"/>
    <w:rsid w:val="000D6E28"/>
    <w:rsid w:val="000D7E3D"/>
    <w:rsid w:val="000E0579"/>
    <w:rsid w:val="000E1024"/>
    <w:rsid w:val="000E1145"/>
    <w:rsid w:val="000E1F14"/>
    <w:rsid w:val="000E2599"/>
    <w:rsid w:val="000E6CE3"/>
    <w:rsid w:val="000F18BD"/>
    <w:rsid w:val="000F3F13"/>
    <w:rsid w:val="000F54C9"/>
    <w:rsid w:val="000F6BD7"/>
    <w:rsid w:val="000F6C83"/>
    <w:rsid w:val="00100FED"/>
    <w:rsid w:val="00102D48"/>
    <w:rsid w:val="00105E35"/>
    <w:rsid w:val="00106CA1"/>
    <w:rsid w:val="00106FC9"/>
    <w:rsid w:val="00107EA1"/>
    <w:rsid w:val="00111446"/>
    <w:rsid w:val="00113E35"/>
    <w:rsid w:val="00116032"/>
    <w:rsid w:val="00116962"/>
    <w:rsid w:val="00120B74"/>
    <w:rsid w:val="001217E4"/>
    <w:rsid w:val="0012234E"/>
    <w:rsid w:val="001228A4"/>
    <w:rsid w:val="001228F7"/>
    <w:rsid w:val="001229B2"/>
    <w:rsid w:val="001230C0"/>
    <w:rsid w:val="001243DF"/>
    <w:rsid w:val="00124AB2"/>
    <w:rsid w:val="001258D4"/>
    <w:rsid w:val="00125F64"/>
    <w:rsid w:val="00127DF5"/>
    <w:rsid w:val="00130497"/>
    <w:rsid w:val="001308E0"/>
    <w:rsid w:val="00131088"/>
    <w:rsid w:val="00132191"/>
    <w:rsid w:val="001326FF"/>
    <w:rsid w:val="00134355"/>
    <w:rsid w:val="001375B8"/>
    <w:rsid w:val="00137FC0"/>
    <w:rsid w:val="0014096B"/>
    <w:rsid w:val="00140DD3"/>
    <w:rsid w:val="00141424"/>
    <w:rsid w:val="00141540"/>
    <w:rsid w:val="00141FEF"/>
    <w:rsid w:val="0014222A"/>
    <w:rsid w:val="00144490"/>
    <w:rsid w:val="00144555"/>
    <w:rsid w:val="001451A4"/>
    <w:rsid w:val="00145244"/>
    <w:rsid w:val="00145797"/>
    <w:rsid w:val="00145D2F"/>
    <w:rsid w:val="001466D2"/>
    <w:rsid w:val="00147956"/>
    <w:rsid w:val="00152AEB"/>
    <w:rsid w:val="00153282"/>
    <w:rsid w:val="001545CB"/>
    <w:rsid w:val="0015497C"/>
    <w:rsid w:val="001552D1"/>
    <w:rsid w:val="00156D30"/>
    <w:rsid w:val="00156DC0"/>
    <w:rsid w:val="00156E0B"/>
    <w:rsid w:val="0015738D"/>
    <w:rsid w:val="00157597"/>
    <w:rsid w:val="00160064"/>
    <w:rsid w:val="001600C2"/>
    <w:rsid w:val="001605CF"/>
    <w:rsid w:val="00160809"/>
    <w:rsid w:val="00161D98"/>
    <w:rsid w:val="001620BA"/>
    <w:rsid w:val="00162ECF"/>
    <w:rsid w:val="00164100"/>
    <w:rsid w:val="00165B9A"/>
    <w:rsid w:val="0016621F"/>
    <w:rsid w:val="00167A20"/>
    <w:rsid w:val="00170C22"/>
    <w:rsid w:val="00171A33"/>
    <w:rsid w:val="00173756"/>
    <w:rsid w:val="00174B1B"/>
    <w:rsid w:val="00176403"/>
    <w:rsid w:val="00180E03"/>
    <w:rsid w:val="00180F4C"/>
    <w:rsid w:val="00181D3A"/>
    <w:rsid w:val="00182D49"/>
    <w:rsid w:val="00185195"/>
    <w:rsid w:val="0018605F"/>
    <w:rsid w:val="001862C4"/>
    <w:rsid w:val="00186E8B"/>
    <w:rsid w:val="00190D28"/>
    <w:rsid w:val="00193211"/>
    <w:rsid w:val="00193918"/>
    <w:rsid w:val="00194124"/>
    <w:rsid w:val="00194BDD"/>
    <w:rsid w:val="001951FE"/>
    <w:rsid w:val="00195997"/>
    <w:rsid w:val="00195BA5"/>
    <w:rsid w:val="00196B5B"/>
    <w:rsid w:val="00196BE6"/>
    <w:rsid w:val="00196C5A"/>
    <w:rsid w:val="001A05CF"/>
    <w:rsid w:val="001A076A"/>
    <w:rsid w:val="001A203E"/>
    <w:rsid w:val="001A26C1"/>
    <w:rsid w:val="001A316C"/>
    <w:rsid w:val="001A4B5E"/>
    <w:rsid w:val="001A4C6A"/>
    <w:rsid w:val="001A5A9E"/>
    <w:rsid w:val="001A5DEB"/>
    <w:rsid w:val="001A608B"/>
    <w:rsid w:val="001A70BF"/>
    <w:rsid w:val="001B3EDE"/>
    <w:rsid w:val="001B4A7F"/>
    <w:rsid w:val="001B71C7"/>
    <w:rsid w:val="001B7515"/>
    <w:rsid w:val="001B79EB"/>
    <w:rsid w:val="001B7E79"/>
    <w:rsid w:val="001C08E5"/>
    <w:rsid w:val="001C0B43"/>
    <w:rsid w:val="001C1810"/>
    <w:rsid w:val="001C3F4A"/>
    <w:rsid w:val="001C4942"/>
    <w:rsid w:val="001C65C9"/>
    <w:rsid w:val="001D2D07"/>
    <w:rsid w:val="001D3FEA"/>
    <w:rsid w:val="001D4344"/>
    <w:rsid w:val="001D47D5"/>
    <w:rsid w:val="001D5074"/>
    <w:rsid w:val="001D74C2"/>
    <w:rsid w:val="001D78B1"/>
    <w:rsid w:val="001D78BE"/>
    <w:rsid w:val="001D7AFD"/>
    <w:rsid w:val="001D7C1D"/>
    <w:rsid w:val="001D7CAA"/>
    <w:rsid w:val="001D7D5B"/>
    <w:rsid w:val="001E107C"/>
    <w:rsid w:val="001E15D0"/>
    <w:rsid w:val="001E19F9"/>
    <w:rsid w:val="001E1A6D"/>
    <w:rsid w:val="001E2F36"/>
    <w:rsid w:val="001E509F"/>
    <w:rsid w:val="001E7624"/>
    <w:rsid w:val="001F0231"/>
    <w:rsid w:val="001F0434"/>
    <w:rsid w:val="001F1358"/>
    <w:rsid w:val="001F21A0"/>
    <w:rsid w:val="001F2464"/>
    <w:rsid w:val="001F4505"/>
    <w:rsid w:val="001F5B20"/>
    <w:rsid w:val="001F5EF5"/>
    <w:rsid w:val="001F6CD0"/>
    <w:rsid w:val="0020198C"/>
    <w:rsid w:val="00202C4C"/>
    <w:rsid w:val="00202FFA"/>
    <w:rsid w:val="002034C3"/>
    <w:rsid w:val="0020590C"/>
    <w:rsid w:val="00205C32"/>
    <w:rsid w:val="00205D25"/>
    <w:rsid w:val="00207713"/>
    <w:rsid w:val="0020777B"/>
    <w:rsid w:val="0021002A"/>
    <w:rsid w:val="00210859"/>
    <w:rsid w:val="00210DCD"/>
    <w:rsid w:val="00212708"/>
    <w:rsid w:val="00213299"/>
    <w:rsid w:val="00215ED3"/>
    <w:rsid w:val="002166C5"/>
    <w:rsid w:val="002208F2"/>
    <w:rsid w:val="0022096E"/>
    <w:rsid w:val="00220DF9"/>
    <w:rsid w:val="00221408"/>
    <w:rsid w:val="00221F6B"/>
    <w:rsid w:val="002232C6"/>
    <w:rsid w:val="002246B5"/>
    <w:rsid w:val="002249DD"/>
    <w:rsid w:val="002266FC"/>
    <w:rsid w:val="00226C69"/>
    <w:rsid w:val="002300F6"/>
    <w:rsid w:val="00230349"/>
    <w:rsid w:val="00230529"/>
    <w:rsid w:val="002319CF"/>
    <w:rsid w:val="002334F8"/>
    <w:rsid w:val="00233867"/>
    <w:rsid w:val="002357A8"/>
    <w:rsid w:val="00236098"/>
    <w:rsid w:val="002401DB"/>
    <w:rsid w:val="00240FB4"/>
    <w:rsid w:val="00241578"/>
    <w:rsid w:val="00241F63"/>
    <w:rsid w:val="0024379E"/>
    <w:rsid w:val="002445EB"/>
    <w:rsid w:val="00245178"/>
    <w:rsid w:val="00245327"/>
    <w:rsid w:val="00245603"/>
    <w:rsid w:val="00245DC2"/>
    <w:rsid w:val="0024619A"/>
    <w:rsid w:val="002461F1"/>
    <w:rsid w:val="00247F9E"/>
    <w:rsid w:val="00250190"/>
    <w:rsid w:val="002501F6"/>
    <w:rsid w:val="00250A7A"/>
    <w:rsid w:val="00250E53"/>
    <w:rsid w:val="002514F4"/>
    <w:rsid w:val="00257C93"/>
    <w:rsid w:val="002613CC"/>
    <w:rsid w:val="00261968"/>
    <w:rsid w:val="00262088"/>
    <w:rsid w:val="00262673"/>
    <w:rsid w:val="0026319B"/>
    <w:rsid w:val="002658F6"/>
    <w:rsid w:val="00265924"/>
    <w:rsid w:val="00266954"/>
    <w:rsid w:val="002700C5"/>
    <w:rsid w:val="00270496"/>
    <w:rsid w:val="00272992"/>
    <w:rsid w:val="00272B11"/>
    <w:rsid w:val="002749F6"/>
    <w:rsid w:val="002752FF"/>
    <w:rsid w:val="002757BF"/>
    <w:rsid w:val="00275A49"/>
    <w:rsid w:val="00277017"/>
    <w:rsid w:val="002772F7"/>
    <w:rsid w:val="00281975"/>
    <w:rsid w:val="00281F2C"/>
    <w:rsid w:val="002827B6"/>
    <w:rsid w:val="00285904"/>
    <w:rsid w:val="00292272"/>
    <w:rsid w:val="00293E67"/>
    <w:rsid w:val="00294F80"/>
    <w:rsid w:val="00295557"/>
    <w:rsid w:val="00295EE3"/>
    <w:rsid w:val="00296B11"/>
    <w:rsid w:val="0029756B"/>
    <w:rsid w:val="00297B94"/>
    <w:rsid w:val="00297FDF"/>
    <w:rsid w:val="002A635E"/>
    <w:rsid w:val="002A643B"/>
    <w:rsid w:val="002A6AF1"/>
    <w:rsid w:val="002A734C"/>
    <w:rsid w:val="002B01CD"/>
    <w:rsid w:val="002B0B5C"/>
    <w:rsid w:val="002B0DA8"/>
    <w:rsid w:val="002B3058"/>
    <w:rsid w:val="002B402B"/>
    <w:rsid w:val="002B4BDA"/>
    <w:rsid w:val="002B4ECA"/>
    <w:rsid w:val="002B5602"/>
    <w:rsid w:val="002B5C93"/>
    <w:rsid w:val="002C0BEB"/>
    <w:rsid w:val="002C1542"/>
    <w:rsid w:val="002C2B28"/>
    <w:rsid w:val="002C362E"/>
    <w:rsid w:val="002C3B6E"/>
    <w:rsid w:val="002C402F"/>
    <w:rsid w:val="002C6187"/>
    <w:rsid w:val="002C698B"/>
    <w:rsid w:val="002C6CD1"/>
    <w:rsid w:val="002C6EAF"/>
    <w:rsid w:val="002C71E7"/>
    <w:rsid w:val="002C780A"/>
    <w:rsid w:val="002C79D1"/>
    <w:rsid w:val="002D107C"/>
    <w:rsid w:val="002D1701"/>
    <w:rsid w:val="002D3ECB"/>
    <w:rsid w:val="002D6667"/>
    <w:rsid w:val="002D669A"/>
    <w:rsid w:val="002D7FA5"/>
    <w:rsid w:val="002E0668"/>
    <w:rsid w:val="002E52DF"/>
    <w:rsid w:val="002E73DD"/>
    <w:rsid w:val="002F0D78"/>
    <w:rsid w:val="002F19CF"/>
    <w:rsid w:val="002F3D8B"/>
    <w:rsid w:val="002F6A3E"/>
    <w:rsid w:val="002F788E"/>
    <w:rsid w:val="00300093"/>
    <w:rsid w:val="0030123E"/>
    <w:rsid w:val="003017C8"/>
    <w:rsid w:val="00303621"/>
    <w:rsid w:val="003044A4"/>
    <w:rsid w:val="00304CEF"/>
    <w:rsid w:val="00305733"/>
    <w:rsid w:val="00306A7E"/>
    <w:rsid w:val="00307CA7"/>
    <w:rsid w:val="0031199E"/>
    <w:rsid w:val="003119D3"/>
    <w:rsid w:val="00311EA5"/>
    <w:rsid w:val="0031244C"/>
    <w:rsid w:val="003138E1"/>
    <w:rsid w:val="003151B6"/>
    <w:rsid w:val="00315878"/>
    <w:rsid w:val="003170D4"/>
    <w:rsid w:val="00317154"/>
    <w:rsid w:val="0032006A"/>
    <w:rsid w:val="0032027E"/>
    <w:rsid w:val="003204C1"/>
    <w:rsid w:val="003208B7"/>
    <w:rsid w:val="00320F53"/>
    <w:rsid w:val="003213EA"/>
    <w:rsid w:val="003227F8"/>
    <w:rsid w:val="00322A91"/>
    <w:rsid w:val="00322E99"/>
    <w:rsid w:val="00324989"/>
    <w:rsid w:val="0032499B"/>
    <w:rsid w:val="00324A17"/>
    <w:rsid w:val="00324BF0"/>
    <w:rsid w:val="00326CBE"/>
    <w:rsid w:val="00327538"/>
    <w:rsid w:val="00330294"/>
    <w:rsid w:val="00331C1D"/>
    <w:rsid w:val="00331DC4"/>
    <w:rsid w:val="0033244B"/>
    <w:rsid w:val="00335291"/>
    <w:rsid w:val="0033570A"/>
    <w:rsid w:val="003367A3"/>
    <w:rsid w:val="003371BE"/>
    <w:rsid w:val="003437FD"/>
    <w:rsid w:val="00347ACE"/>
    <w:rsid w:val="00350162"/>
    <w:rsid w:val="00351F33"/>
    <w:rsid w:val="00357092"/>
    <w:rsid w:val="003575B8"/>
    <w:rsid w:val="003611ED"/>
    <w:rsid w:val="0036156D"/>
    <w:rsid w:val="00362FF8"/>
    <w:rsid w:val="00363145"/>
    <w:rsid w:val="00363719"/>
    <w:rsid w:val="003638BA"/>
    <w:rsid w:val="0036702D"/>
    <w:rsid w:val="003704BA"/>
    <w:rsid w:val="00370775"/>
    <w:rsid w:val="00370D1C"/>
    <w:rsid w:val="00371507"/>
    <w:rsid w:val="003724BC"/>
    <w:rsid w:val="00372ABB"/>
    <w:rsid w:val="00372E25"/>
    <w:rsid w:val="00376004"/>
    <w:rsid w:val="00376B2F"/>
    <w:rsid w:val="00376E9B"/>
    <w:rsid w:val="00377688"/>
    <w:rsid w:val="0038062D"/>
    <w:rsid w:val="003824B0"/>
    <w:rsid w:val="00382E0D"/>
    <w:rsid w:val="00383196"/>
    <w:rsid w:val="003852C1"/>
    <w:rsid w:val="00385E82"/>
    <w:rsid w:val="00386C72"/>
    <w:rsid w:val="00387233"/>
    <w:rsid w:val="0039035B"/>
    <w:rsid w:val="003915A1"/>
    <w:rsid w:val="00391D37"/>
    <w:rsid w:val="00392D8B"/>
    <w:rsid w:val="00392F78"/>
    <w:rsid w:val="00393867"/>
    <w:rsid w:val="00394F64"/>
    <w:rsid w:val="0039530D"/>
    <w:rsid w:val="003955E9"/>
    <w:rsid w:val="00395C88"/>
    <w:rsid w:val="00396B71"/>
    <w:rsid w:val="00396DA1"/>
    <w:rsid w:val="00397CB8"/>
    <w:rsid w:val="00397E9C"/>
    <w:rsid w:val="003A1067"/>
    <w:rsid w:val="003A18D8"/>
    <w:rsid w:val="003A1D41"/>
    <w:rsid w:val="003A3161"/>
    <w:rsid w:val="003A33D3"/>
    <w:rsid w:val="003A47B7"/>
    <w:rsid w:val="003A50EF"/>
    <w:rsid w:val="003A79C0"/>
    <w:rsid w:val="003B3322"/>
    <w:rsid w:val="003B721E"/>
    <w:rsid w:val="003C0A87"/>
    <w:rsid w:val="003C177D"/>
    <w:rsid w:val="003C19B7"/>
    <w:rsid w:val="003C2082"/>
    <w:rsid w:val="003C3556"/>
    <w:rsid w:val="003C52A9"/>
    <w:rsid w:val="003C52F5"/>
    <w:rsid w:val="003C6AFF"/>
    <w:rsid w:val="003C6DDE"/>
    <w:rsid w:val="003C76D5"/>
    <w:rsid w:val="003C7A3A"/>
    <w:rsid w:val="003D0853"/>
    <w:rsid w:val="003D0CE7"/>
    <w:rsid w:val="003D15F8"/>
    <w:rsid w:val="003D261C"/>
    <w:rsid w:val="003D2672"/>
    <w:rsid w:val="003D2673"/>
    <w:rsid w:val="003D297B"/>
    <w:rsid w:val="003D308A"/>
    <w:rsid w:val="003D3B0B"/>
    <w:rsid w:val="003D480F"/>
    <w:rsid w:val="003D5826"/>
    <w:rsid w:val="003D5B41"/>
    <w:rsid w:val="003E006E"/>
    <w:rsid w:val="003E087F"/>
    <w:rsid w:val="003E1282"/>
    <w:rsid w:val="003E289B"/>
    <w:rsid w:val="003E317E"/>
    <w:rsid w:val="003E33F3"/>
    <w:rsid w:val="003E3D36"/>
    <w:rsid w:val="003E3D89"/>
    <w:rsid w:val="003E540E"/>
    <w:rsid w:val="003E5F64"/>
    <w:rsid w:val="003E7FCF"/>
    <w:rsid w:val="003F122D"/>
    <w:rsid w:val="003F18C3"/>
    <w:rsid w:val="003F19B9"/>
    <w:rsid w:val="003F4BA9"/>
    <w:rsid w:val="003F4D2D"/>
    <w:rsid w:val="003F7EF5"/>
    <w:rsid w:val="00401515"/>
    <w:rsid w:val="00401C64"/>
    <w:rsid w:val="00402091"/>
    <w:rsid w:val="0040290E"/>
    <w:rsid w:val="00403960"/>
    <w:rsid w:val="00403B4D"/>
    <w:rsid w:val="004042B4"/>
    <w:rsid w:val="00404CBC"/>
    <w:rsid w:val="004057AB"/>
    <w:rsid w:val="00405BC8"/>
    <w:rsid w:val="00405EC9"/>
    <w:rsid w:val="0040639B"/>
    <w:rsid w:val="004068AA"/>
    <w:rsid w:val="004075A5"/>
    <w:rsid w:val="0040796B"/>
    <w:rsid w:val="00410D12"/>
    <w:rsid w:val="00411068"/>
    <w:rsid w:val="004147DC"/>
    <w:rsid w:val="004149B5"/>
    <w:rsid w:val="004219C7"/>
    <w:rsid w:val="004223BC"/>
    <w:rsid w:val="0042264D"/>
    <w:rsid w:val="00423861"/>
    <w:rsid w:val="00423AED"/>
    <w:rsid w:val="00425298"/>
    <w:rsid w:val="004260F9"/>
    <w:rsid w:val="0042611D"/>
    <w:rsid w:val="00426DFD"/>
    <w:rsid w:val="00427CBD"/>
    <w:rsid w:val="00431497"/>
    <w:rsid w:val="0043215C"/>
    <w:rsid w:val="004332C2"/>
    <w:rsid w:val="004336E6"/>
    <w:rsid w:val="0043417C"/>
    <w:rsid w:val="004343F7"/>
    <w:rsid w:val="004346BE"/>
    <w:rsid w:val="004352B9"/>
    <w:rsid w:val="004357AE"/>
    <w:rsid w:val="004366B6"/>
    <w:rsid w:val="00436F6F"/>
    <w:rsid w:val="004379CB"/>
    <w:rsid w:val="0044059D"/>
    <w:rsid w:val="00440D5C"/>
    <w:rsid w:val="00444D5D"/>
    <w:rsid w:val="0044528B"/>
    <w:rsid w:val="0044552C"/>
    <w:rsid w:val="004458E2"/>
    <w:rsid w:val="00447D82"/>
    <w:rsid w:val="00450561"/>
    <w:rsid w:val="00454C52"/>
    <w:rsid w:val="0045646E"/>
    <w:rsid w:val="00457B0C"/>
    <w:rsid w:val="00457BA4"/>
    <w:rsid w:val="00457C84"/>
    <w:rsid w:val="00457EF8"/>
    <w:rsid w:val="004601D6"/>
    <w:rsid w:val="00461F79"/>
    <w:rsid w:val="00461FEB"/>
    <w:rsid w:val="00462F4A"/>
    <w:rsid w:val="00465C02"/>
    <w:rsid w:val="00465EF3"/>
    <w:rsid w:val="00470A34"/>
    <w:rsid w:val="00471370"/>
    <w:rsid w:val="00473340"/>
    <w:rsid w:val="00473804"/>
    <w:rsid w:val="00473F6B"/>
    <w:rsid w:val="00474DF6"/>
    <w:rsid w:val="00475A78"/>
    <w:rsid w:val="0047662F"/>
    <w:rsid w:val="0047730B"/>
    <w:rsid w:val="00477554"/>
    <w:rsid w:val="004814A4"/>
    <w:rsid w:val="0048565C"/>
    <w:rsid w:val="00486A53"/>
    <w:rsid w:val="00490181"/>
    <w:rsid w:val="004902B7"/>
    <w:rsid w:val="00490A11"/>
    <w:rsid w:val="004921B6"/>
    <w:rsid w:val="00493F73"/>
    <w:rsid w:val="0049451E"/>
    <w:rsid w:val="00494801"/>
    <w:rsid w:val="0049491B"/>
    <w:rsid w:val="00495843"/>
    <w:rsid w:val="00496CE6"/>
    <w:rsid w:val="00496DBA"/>
    <w:rsid w:val="004974F5"/>
    <w:rsid w:val="00497833"/>
    <w:rsid w:val="004A054A"/>
    <w:rsid w:val="004A08C8"/>
    <w:rsid w:val="004A0DD4"/>
    <w:rsid w:val="004A1F83"/>
    <w:rsid w:val="004A3A3B"/>
    <w:rsid w:val="004A445B"/>
    <w:rsid w:val="004A5B6D"/>
    <w:rsid w:val="004A7D4C"/>
    <w:rsid w:val="004B038B"/>
    <w:rsid w:val="004B2351"/>
    <w:rsid w:val="004B5891"/>
    <w:rsid w:val="004B5A17"/>
    <w:rsid w:val="004B6F73"/>
    <w:rsid w:val="004C2205"/>
    <w:rsid w:val="004C2737"/>
    <w:rsid w:val="004C2D25"/>
    <w:rsid w:val="004C377A"/>
    <w:rsid w:val="004C4054"/>
    <w:rsid w:val="004C69A3"/>
    <w:rsid w:val="004C7265"/>
    <w:rsid w:val="004C7A9A"/>
    <w:rsid w:val="004D1798"/>
    <w:rsid w:val="004D1998"/>
    <w:rsid w:val="004D32C8"/>
    <w:rsid w:val="004D3B81"/>
    <w:rsid w:val="004D3F84"/>
    <w:rsid w:val="004D6FC2"/>
    <w:rsid w:val="004E03B4"/>
    <w:rsid w:val="004E0EBA"/>
    <w:rsid w:val="004E161C"/>
    <w:rsid w:val="004E1654"/>
    <w:rsid w:val="004E2A5A"/>
    <w:rsid w:val="004E2B7E"/>
    <w:rsid w:val="004E2BAD"/>
    <w:rsid w:val="004E3BF9"/>
    <w:rsid w:val="004E4479"/>
    <w:rsid w:val="004E6264"/>
    <w:rsid w:val="004E6EC0"/>
    <w:rsid w:val="004E7709"/>
    <w:rsid w:val="004F15DA"/>
    <w:rsid w:val="004F2812"/>
    <w:rsid w:val="004F34B0"/>
    <w:rsid w:val="004F45F2"/>
    <w:rsid w:val="004F4F6A"/>
    <w:rsid w:val="004F5D7A"/>
    <w:rsid w:val="004F69DD"/>
    <w:rsid w:val="004F6CE3"/>
    <w:rsid w:val="004F72F9"/>
    <w:rsid w:val="0050169D"/>
    <w:rsid w:val="00505759"/>
    <w:rsid w:val="00506C71"/>
    <w:rsid w:val="00511325"/>
    <w:rsid w:val="0051223A"/>
    <w:rsid w:val="005131DA"/>
    <w:rsid w:val="00513464"/>
    <w:rsid w:val="0051372B"/>
    <w:rsid w:val="005159BA"/>
    <w:rsid w:val="00516ACE"/>
    <w:rsid w:val="00516FCD"/>
    <w:rsid w:val="00520A80"/>
    <w:rsid w:val="00520BC5"/>
    <w:rsid w:val="005217C6"/>
    <w:rsid w:val="00522BC1"/>
    <w:rsid w:val="00523877"/>
    <w:rsid w:val="00524DEC"/>
    <w:rsid w:val="00530AC3"/>
    <w:rsid w:val="00530F57"/>
    <w:rsid w:val="005363A3"/>
    <w:rsid w:val="00541633"/>
    <w:rsid w:val="00544745"/>
    <w:rsid w:val="005450B6"/>
    <w:rsid w:val="00547EBF"/>
    <w:rsid w:val="00550158"/>
    <w:rsid w:val="005523C1"/>
    <w:rsid w:val="005537B7"/>
    <w:rsid w:val="00554712"/>
    <w:rsid w:val="005557BA"/>
    <w:rsid w:val="00557AFE"/>
    <w:rsid w:val="00557EA2"/>
    <w:rsid w:val="005603A5"/>
    <w:rsid w:val="00560403"/>
    <w:rsid w:val="00560D95"/>
    <w:rsid w:val="005617A5"/>
    <w:rsid w:val="00561BA5"/>
    <w:rsid w:val="00563BE7"/>
    <w:rsid w:val="005644D5"/>
    <w:rsid w:val="005649FB"/>
    <w:rsid w:val="0056563D"/>
    <w:rsid w:val="00565895"/>
    <w:rsid w:val="0056607F"/>
    <w:rsid w:val="00567EEC"/>
    <w:rsid w:val="00567FAC"/>
    <w:rsid w:val="00571C72"/>
    <w:rsid w:val="0057384C"/>
    <w:rsid w:val="00573B63"/>
    <w:rsid w:val="00573FD6"/>
    <w:rsid w:val="00574B08"/>
    <w:rsid w:val="00575ECA"/>
    <w:rsid w:val="00575FFC"/>
    <w:rsid w:val="00576152"/>
    <w:rsid w:val="005774E4"/>
    <w:rsid w:val="00577F12"/>
    <w:rsid w:val="00580632"/>
    <w:rsid w:val="005810B4"/>
    <w:rsid w:val="00581FF7"/>
    <w:rsid w:val="00583771"/>
    <w:rsid w:val="005867BC"/>
    <w:rsid w:val="00591DAA"/>
    <w:rsid w:val="005934E4"/>
    <w:rsid w:val="00595CD4"/>
    <w:rsid w:val="00596225"/>
    <w:rsid w:val="0059704B"/>
    <w:rsid w:val="00597EA4"/>
    <w:rsid w:val="005A1985"/>
    <w:rsid w:val="005A22C8"/>
    <w:rsid w:val="005A50DC"/>
    <w:rsid w:val="005A51D5"/>
    <w:rsid w:val="005A5832"/>
    <w:rsid w:val="005A639E"/>
    <w:rsid w:val="005A652B"/>
    <w:rsid w:val="005B0AED"/>
    <w:rsid w:val="005B0D9B"/>
    <w:rsid w:val="005B41F3"/>
    <w:rsid w:val="005B47D0"/>
    <w:rsid w:val="005B47FC"/>
    <w:rsid w:val="005B4853"/>
    <w:rsid w:val="005B4A47"/>
    <w:rsid w:val="005B73BF"/>
    <w:rsid w:val="005C0D32"/>
    <w:rsid w:val="005C0DBA"/>
    <w:rsid w:val="005C1534"/>
    <w:rsid w:val="005C2BC7"/>
    <w:rsid w:val="005C2DD2"/>
    <w:rsid w:val="005C3252"/>
    <w:rsid w:val="005C349F"/>
    <w:rsid w:val="005C3A0B"/>
    <w:rsid w:val="005C441B"/>
    <w:rsid w:val="005C5A6F"/>
    <w:rsid w:val="005C63D5"/>
    <w:rsid w:val="005C663B"/>
    <w:rsid w:val="005C6DEE"/>
    <w:rsid w:val="005C750E"/>
    <w:rsid w:val="005D175F"/>
    <w:rsid w:val="005D1F69"/>
    <w:rsid w:val="005D3750"/>
    <w:rsid w:val="005D4DF8"/>
    <w:rsid w:val="005D5831"/>
    <w:rsid w:val="005E0292"/>
    <w:rsid w:val="005E15E4"/>
    <w:rsid w:val="005E1B03"/>
    <w:rsid w:val="005E21CA"/>
    <w:rsid w:val="005E29BF"/>
    <w:rsid w:val="005E2F44"/>
    <w:rsid w:val="005E4611"/>
    <w:rsid w:val="005E4FAD"/>
    <w:rsid w:val="005E56E0"/>
    <w:rsid w:val="005E65B4"/>
    <w:rsid w:val="005E6AB2"/>
    <w:rsid w:val="005E7299"/>
    <w:rsid w:val="005E778B"/>
    <w:rsid w:val="005F0587"/>
    <w:rsid w:val="005F2304"/>
    <w:rsid w:val="005F253F"/>
    <w:rsid w:val="005F261F"/>
    <w:rsid w:val="005F2947"/>
    <w:rsid w:val="005F3134"/>
    <w:rsid w:val="005F44E0"/>
    <w:rsid w:val="005F46A8"/>
    <w:rsid w:val="005F5784"/>
    <w:rsid w:val="005F5C26"/>
    <w:rsid w:val="005F6E41"/>
    <w:rsid w:val="005F75B5"/>
    <w:rsid w:val="0060009B"/>
    <w:rsid w:val="00600636"/>
    <w:rsid w:val="006009DB"/>
    <w:rsid w:val="00601DF6"/>
    <w:rsid w:val="006021A9"/>
    <w:rsid w:val="00602E7D"/>
    <w:rsid w:val="006039AA"/>
    <w:rsid w:val="006044FD"/>
    <w:rsid w:val="006045F7"/>
    <w:rsid w:val="00604705"/>
    <w:rsid w:val="006067D7"/>
    <w:rsid w:val="00606852"/>
    <w:rsid w:val="0060696D"/>
    <w:rsid w:val="00607CEA"/>
    <w:rsid w:val="00610820"/>
    <w:rsid w:val="00612C51"/>
    <w:rsid w:val="006134E3"/>
    <w:rsid w:val="00614F5F"/>
    <w:rsid w:val="00615780"/>
    <w:rsid w:val="00616A74"/>
    <w:rsid w:val="006204D1"/>
    <w:rsid w:val="0062417D"/>
    <w:rsid w:val="006257BB"/>
    <w:rsid w:val="00625F90"/>
    <w:rsid w:val="006270BD"/>
    <w:rsid w:val="00627A7F"/>
    <w:rsid w:val="0063032F"/>
    <w:rsid w:val="006331BE"/>
    <w:rsid w:val="006337FA"/>
    <w:rsid w:val="00635B0B"/>
    <w:rsid w:val="00637B23"/>
    <w:rsid w:val="006409D8"/>
    <w:rsid w:val="00640D53"/>
    <w:rsid w:val="00642321"/>
    <w:rsid w:val="0064432A"/>
    <w:rsid w:val="006445FE"/>
    <w:rsid w:val="006448A1"/>
    <w:rsid w:val="00645553"/>
    <w:rsid w:val="006461BA"/>
    <w:rsid w:val="006463A1"/>
    <w:rsid w:val="00646F97"/>
    <w:rsid w:val="006478B8"/>
    <w:rsid w:val="006478C1"/>
    <w:rsid w:val="00650268"/>
    <w:rsid w:val="00650950"/>
    <w:rsid w:val="006525FF"/>
    <w:rsid w:val="00652FC0"/>
    <w:rsid w:val="006537A3"/>
    <w:rsid w:val="006545EC"/>
    <w:rsid w:val="00655A7B"/>
    <w:rsid w:val="006601F3"/>
    <w:rsid w:val="00660938"/>
    <w:rsid w:val="00661E47"/>
    <w:rsid w:val="00662F35"/>
    <w:rsid w:val="006640E7"/>
    <w:rsid w:val="0066479D"/>
    <w:rsid w:val="006656DD"/>
    <w:rsid w:val="00665FF4"/>
    <w:rsid w:val="006670FC"/>
    <w:rsid w:val="0066755E"/>
    <w:rsid w:val="00672597"/>
    <w:rsid w:val="00673852"/>
    <w:rsid w:val="0067477A"/>
    <w:rsid w:val="00675C8A"/>
    <w:rsid w:val="00676168"/>
    <w:rsid w:val="00676EB6"/>
    <w:rsid w:val="00677A96"/>
    <w:rsid w:val="006801B9"/>
    <w:rsid w:val="0068115F"/>
    <w:rsid w:val="006816EA"/>
    <w:rsid w:val="00681BFD"/>
    <w:rsid w:val="0068291F"/>
    <w:rsid w:val="00682B44"/>
    <w:rsid w:val="00682C54"/>
    <w:rsid w:val="00682C73"/>
    <w:rsid w:val="0068382B"/>
    <w:rsid w:val="006849E8"/>
    <w:rsid w:val="00685E24"/>
    <w:rsid w:val="00687A5B"/>
    <w:rsid w:val="00687D56"/>
    <w:rsid w:val="0069102C"/>
    <w:rsid w:val="006932AA"/>
    <w:rsid w:val="006949F9"/>
    <w:rsid w:val="00695055"/>
    <w:rsid w:val="00696654"/>
    <w:rsid w:val="006A00BF"/>
    <w:rsid w:val="006A2417"/>
    <w:rsid w:val="006A5710"/>
    <w:rsid w:val="006A6B11"/>
    <w:rsid w:val="006A769C"/>
    <w:rsid w:val="006A7CD5"/>
    <w:rsid w:val="006A7E48"/>
    <w:rsid w:val="006B08F7"/>
    <w:rsid w:val="006B0F39"/>
    <w:rsid w:val="006B105A"/>
    <w:rsid w:val="006B1A3D"/>
    <w:rsid w:val="006B1E59"/>
    <w:rsid w:val="006B4945"/>
    <w:rsid w:val="006B5435"/>
    <w:rsid w:val="006B6C15"/>
    <w:rsid w:val="006B733C"/>
    <w:rsid w:val="006B7846"/>
    <w:rsid w:val="006B7932"/>
    <w:rsid w:val="006C0150"/>
    <w:rsid w:val="006C0A5E"/>
    <w:rsid w:val="006C102B"/>
    <w:rsid w:val="006C2D5C"/>
    <w:rsid w:val="006C3B52"/>
    <w:rsid w:val="006C4A87"/>
    <w:rsid w:val="006C4CF9"/>
    <w:rsid w:val="006C63EB"/>
    <w:rsid w:val="006C6578"/>
    <w:rsid w:val="006C7A58"/>
    <w:rsid w:val="006D0491"/>
    <w:rsid w:val="006D16CC"/>
    <w:rsid w:val="006D1992"/>
    <w:rsid w:val="006D2B56"/>
    <w:rsid w:val="006D2BE8"/>
    <w:rsid w:val="006D34B9"/>
    <w:rsid w:val="006D463C"/>
    <w:rsid w:val="006D4D2A"/>
    <w:rsid w:val="006D5375"/>
    <w:rsid w:val="006D66A3"/>
    <w:rsid w:val="006D6C43"/>
    <w:rsid w:val="006D7C50"/>
    <w:rsid w:val="006E010B"/>
    <w:rsid w:val="006E0498"/>
    <w:rsid w:val="006E0B0A"/>
    <w:rsid w:val="006E0C70"/>
    <w:rsid w:val="006E1A2A"/>
    <w:rsid w:val="006E205B"/>
    <w:rsid w:val="006E29B0"/>
    <w:rsid w:val="006E36AD"/>
    <w:rsid w:val="006E3A9E"/>
    <w:rsid w:val="006E3DD5"/>
    <w:rsid w:val="006E4274"/>
    <w:rsid w:val="006E529F"/>
    <w:rsid w:val="006F062F"/>
    <w:rsid w:val="006F1F24"/>
    <w:rsid w:val="006F2208"/>
    <w:rsid w:val="006F2A81"/>
    <w:rsid w:val="006F3984"/>
    <w:rsid w:val="006F52D9"/>
    <w:rsid w:val="006F5D44"/>
    <w:rsid w:val="006F6DAA"/>
    <w:rsid w:val="006F7B1C"/>
    <w:rsid w:val="00700F67"/>
    <w:rsid w:val="0070538A"/>
    <w:rsid w:val="00706DAD"/>
    <w:rsid w:val="00713003"/>
    <w:rsid w:val="00715308"/>
    <w:rsid w:val="00715C35"/>
    <w:rsid w:val="00716399"/>
    <w:rsid w:val="007217DB"/>
    <w:rsid w:val="0072392B"/>
    <w:rsid w:val="00724059"/>
    <w:rsid w:val="007246E7"/>
    <w:rsid w:val="00726CF5"/>
    <w:rsid w:val="00727500"/>
    <w:rsid w:val="007276E8"/>
    <w:rsid w:val="0073047B"/>
    <w:rsid w:val="00731426"/>
    <w:rsid w:val="00732675"/>
    <w:rsid w:val="00732965"/>
    <w:rsid w:val="00733555"/>
    <w:rsid w:val="00736558"/>
    <w:rsid w:val="0073737A"/>
    <w:rsid w:val="00737638"/>
    <w:rsid w:val="00737AB8"/>
    <w:rsid w:val="00743A0F"/>
    <w:rsid w:val="00744237"/>
    <w:rsid w:val="00744959"/>
    <w:rsid w:val="0074656C"/>
    <w:rsid w:val="00750CD6"/>
    <w:rsid w:val="00753852"/>
    <w:rsid w:val="00753CC2"/>
    <w:rsid w:val="00755A46"/>
    <w:rsid w:val="007601B3"/>
    <w:rsid w:val="00762C89"/>
    <w:rsid w:val="007635DB"/>
    <w:rsid w:val="007637E5"/>
    <w:rsid w:val="007667CD"/>
    <w:rsid w:val="00767053"/>
    <w:rsid w:val="0076705E"/>
    <w:rsid w:val="00773C9C"/>
    <w:rsid w:val="00774589"/>
    <w:rsid w:val="007746C9"/>
    <w:rsid w:val="007755A0"/>
    <w:rsid w:val="007756DB"/>
    <w:rsid w:val="007762DD"/>
    <w:rsid w:val="00776A5C"/>
    <w:rsid w:val="00777643"/>
    <w:rsid w:val="007779D9"/>
    <w:rsid w:val="00781437"/>
    <w:rsid w:val="007818C2"/>
    <w:rsid w:val="0078316F"/>
    <w:rsid w:val="007842F2"/>
    <w:rsid w:val="00785946"/>
    <w:rsid w:val="00785E81"/>
    <w:rsid w:val="007869B2"/>
    <w:rsid w:val="00787EF1"/>
    <w:rsid w:val="00791812"/>
    <w:rsid w:val="0079292F"/>
    <w:rsid w:val="0079305D"/>
    <w:rsid w:val="0079396F"/>
    <w:rsid w:val="007947FF"/>
    <w:rsid w:val="00794D4C"/>
    <w:rsid w:val="007A144F"/>
    <w:rsid w:val="007A34A0"/>
    <w:rsid w:val="007A4810"/>
    <w:rsid w:val="007A53AC"/>
    <w:rsid w:val="007A592D"/>
    <w:rsid w:val="007A6E16"/>
    <w:rsid w:val="007A75DE"/>
    <w:rsid w:val="007B057D"/>
    <w:rsid w:val="007B117F"/>
    <w:rsid w:val="007B141D"/>
    <w:rsid w:val="007B1EB0"/>
    <w:rsid w:val="007B2C25"/>
    <w:rsid w:val="007B3AB3"/>
    <w:rsid w:val="007B7B24"/>
    <w:rsid w:val="007C082C"/>
    <w:rsid w:val="007C19A4"/>
    <w:rsid w:val="007C2297"/>
    <w:rsid w:val="007C2486"/>
    <w:rsid w:val="007C35EE"/>
    <w:rsid w:val="007C455F"/>
    <w:rsid w:val="007C51EC"/>
    <w:rsid w:val="007C5243"/>
    <w:rsid w:val="007C5B15"/>
    <w:rsid w:val="007C7B0F"/>
    <w:rsid w:val="007D0B56"/>
    <w:rsid w:val="007D0E86"/>
    <w:rsid w:val="007D20F9"/>
    <w:rsid w:val="007D4082"/>
    <w:rsid w:val="007D498F"/>
    <w:rsid w:val="007D4A29"/>
    <w:rsid w:val="007D5612"/>
    <w:rsid w:val="007D6672"/>
    <w:rsid w:val="007D67BD"/>
    <w:rsid w:val="007D68D9"/>
    <w:rsid w:val="007D6A3E"/>
    <w:rsid w:val="007D7448"/>
    <w:rsid w:val="007D78AD"/>
    <w:rsid w:val="007E0362"/>
    <w:rsid w:val="007E0E00"/>
    <w:rsid w:val="007E2BF9"/>
    <w:rsid w:val="007E51BB"/>
    <w:rsid w:val="007E671B"/>
    <w:rsid w:val="007E7360"/>
    <w:rsid w:val="007F067C"/>
    <w:rsid w:val="007F0D73"/>
    <w:rsid w:val="007F23ED"/>
    <w:rsid w:val="007F2E85"/>
    <w:rsid w:val="007F3186"/>
    <w:rsid w:val="007F3750"/>
    <w:rsid w:val="007F385F"/>
    <w:rsid w:val="007F3A15"/>
    <w:rsid w:val="007F4186"/>
    <w:rsid w:val="007F4E58"/>
    <w:rsid w:val="007F52BA"/>
    <w:rsid w:val="007F7004"/>
    <w:rsid w:val="007F7041"/>
    <w:rsid w:val="007F7D2F"/>
    <w:rsid w:val="008025C2"/>
    <w:rsid w:val="00802BCC"/>
    <w:rsid w:val="008030DF"/>
    <w:rsid w:val="00805746"/>
    <w:rsid w:val="00805C14"/>
    <w:rsid w:val="00805C32"/>
    <w:rsid w:val="00810E22"/>
    <w:rsid w:val="00813DEE"/>
    <w:rsid w:val="008172BB"/>
    <w:rsid w:val="0082065A"/>
    <w:rsid w:val="00821643"/>
    <w:rsid w:val="00822EBE"/>
    <w:rsid w:val="00824628"/>
    <w:rsid w:val="0082482C"/>
    <w:rsid w:val="008263DA"/>
    <w:rsid w:val="00826B30"/>
    <w:rsid w:val="008302CF"/>
    <w:rsid w:val="008303A8"/>
    <w:rsid w:val="00833FCE"/>
    <w:rsid w:val="008345A2"/>
    <w:rsid w:val="00835FFD"/>
    <w:rsid w:val="0083751C"/>
    <w:rsid w:val="00840105"/>
    <w:rsid w:val="00840F55"/>
    <w:rsid w:val="00842E34"/>
    <w:rsid w:val="00844798"/>
    <w:rsid w:val="008456A5"/>
    <w:rsid w:val="00846138"/>
    <w:rsid w:val="00850BEB"/>
    <w:rsid w:val="0085118E"/>
    <w:rsid w:val="00851BAF"/>
    <w:rsid w:val="00852692"/>
    <w:rsid w:val="00854107"/>
    <w:rsid w:val="00856B08"/>
    <w:rsid w:val="00857603"/>
    <w:rsid w:val="0086092A"/>
    <w:rsid w:val="00860CEF"/>
    <w:rsid w:val="00861AB3"/>
    <w:rsid w:val="00863424"/>
    <w:rsid w:val="00864585"/>
    <w:rsid w:val="008665DD"/>
    <w:rsid w:val="00870184"/>
    <w:rsid w:val="008708FA"/>
    <w:rsid w:val="008713BE"/>
    <w:rsid w:val="008737DD"/>
    <w:rsid w:val="008741D2"/>
    <w:rsid w:val="00874EC7"/>
    <w:rsid w:val="00875549"/>
    <w:rsid w:val="00876B43"/>
    <w:rsid w:val="00880A4B"/>
    <w:rsid w:val="008817B5"/>
    <w:rsid w:val="00882142"/>
    <w:rsid w:val="008824CB"/>
    <w:rsid w:val="00882A9D"/>
    <w:rsid w:val="0088338E"/>
    <w:rsid w:val="00884163"/>
    <w:rsid w:val="008865CB"/>
    <w:rsid w:val="008873D4"/>
    <w:rsid w:val="00890170"/>
    <w:rsid w:val="00892244"/>
    <w:rsid w:val="008929B4"/>
    <w:rsid w:val="00892D8E"/>
    <w:rsid w:val="00893510"/>
    <w:rsid w:val="0089557C"/>
    <w:rsid w:val="00896F65"/>
    <w:rsid w:val="00897603"/>
    <w:rsid w:val="0089767E"/>
    <w:rsid w:val="008A34D8"/>
    <w:rsid w:val="008A3B89"/>
    <w:rsid w:val="008A40D3"/>
    <w:rsid w:val="008A544D"/>
    <w:rsid w:val="008A6329"/>
    <w:rsid w:val="008A7925"/>
    <w:rsid w:val="008A7AA9"/>
    <w:rsid w:val="008A7B50"/>
    <w:rsid w:val="008B0A0F"/>
    <w:rsid w:val="008B0D49"/>
    <w:rsid w:val="008B1086"/>
    <w:rsid w:val="008B1BC7"/>
    <w:rsid w:val="008B1D41"/>
    <w:rsid w:val="008B20FE"/>
    <w:rsid w:val="008B22BC"/>
    <w:rsid w:val="008B3657"/>
    <w:rsid w:val="008B494F"/>
    <w:rsid w:val="008B4C21"/>
    <w:rsid w:val="008B4EA2"/>
    <w:rsid w:val="008B5863"/>
    <w:rsid w:val="008B5D54"/>
    <w:rsid w:val="008B6F48"/>
    <w:rsid w:val="008B7E7D"/>
    <w:rsid w:val="008C07D3"/>
    <w:rsid w:val="008C0D28"/>
    <w:rsid w:val="008C1358"/>
    <w:rsid w:val="008C5D26"/>
    <w:rsid w:val="008C5F0E"/>
    <w:rsid w:val="008C669A"/>
    <w:rsid w:val="008D104A"/>
    <w:rsid w:val="008D13B2"/>
    <w:rsid w:val="008D1E68"/>
    <w:rsid w:val="008D27AC"/>
    <w:rsid w:val="008D356A"/>
    <w:rsid w:val="008D3971"/>
    <w:rsid w:val="008D3A5E"/>
    <w:rsid w:val="008D3B1E"/>
    <w:rsid w:val="008D3D34"/>
    <w:rsid w:val="008D3DE8"/>
    <w:rsid w:val="008D3F1A"/>
    <w:rsid w:val="008D46AA"/>
    <w:rsid w:val="008D6C3E"/>
    <w:rsid w:val="008D739D"/>
    <w:rsid w:val="008D7CE2"/>
    <w:rsid w:val="008E22A3"/>
    <w:rsid w:val="008E25B3"/>
    <w:rsid w:val="008E2C25"/>
    <w:rsid w:val="008E317C"/>
    <w:rsid w:val="008E32F1"/>
    <w:rsid w:val="008E55C8"/>
    <w:rsid w:val="008E6708"/>
    <w:rsid w:val="008E71BB"/>
    <w:rsid w:val="008E7895"/>
    <w:rsid w:val="008F0144"/>
    <w:rsid w:val="008F2B9B"/>
    <w:rsid w:val="008F3377"/>
    <w:rsid w:val="008F4D9F"/>
    <w:rsid w:val="008F7D24"/>
    <w:rsid w:val="00900F47"/>
    <w:rsid w:val="00900F55"/>
    <w:rsid w:val="0090139F"/>
    <w:rsid w:val="00904CE7"/>
    <w:rsid w:val="00904D72"/>
    <w:rsid w:val="00904FEA"/>
    <w:rsid w:val="009054CD"/>
    <w:rsid w:val="00905BE7"/>
    <w:rsid w:val="009066DE"/>
    <w:rsid w:val="009069AF"/>
    <w:rsid w:val="009071B1"/>
    <w:rsid w:val="00910586"/>
    <w:rsid w:val="009115E8"/>
    <w:rsid w:val="00912D21"/>
    <w:rsid w:val="0091352A"/>
    <w:rsid w:val="0091565B"/>
    <w:rsid w:val="009164A3"/>
    <w:rsid w:val="00916B13"/>
    <w:rsid w:val="0092077B"/>
    <w:rsid w:val="009208F8"/>
    <w:rsid w:val="00921026"/>
    <w:rsid w:val="0092110C"/>
    <w:rsid w:val="00923AE3"/>
    <w:rsid w:val="00923C8F"/>
    <w:rsid w:val="009259AD"/>
    <w:rsid w:val="0092625B"/>
    <w:rsid w:val="00926FEB"/>
    <w:rsid w:val="00927F26"/>
    <w:rsid w:val="00931729"/>
    <w:rsid w:val="009326EC"/>
    <w:rsid w:val="009344D2"/>
    <w:rsid w:val="009346B5"/>
    <w:rsid w:val="00935642"/>
    <w:rsid w:val="0093575D"/>
    <w:rsid w:val="00935FC3"/>
    <w:rsid w:val="00936F4E"/>
    <w:rsid w:val="009374B9"/>
    <w:rsid w:val="00937830"/>
    <w:rsid w:val="00940202"/>
    <w:rsid w:val="00943165"/>
    <w:rsid w:val="00943986"/>
    <w:rsid w:val="00945968"/>
    <w:rsid w:val="00945B1B"/>
    <w:rsid w:val="00947ADA"/>
    <w:rsid w:val="00950BC1"/>
    <w:rsid w:val="00950C96"/>
    <w:rsid w:val="00952867"/>
    <w:rsid w:val="00952A26"/>
    <w:rsid w:val="00953352"/>
    <w:rsid w:val="0095471A"/>
    <w:rsid w:val="00960A98"/>
    <w:rsid w:val="009615FC"/>
    <w:rsid w:val="00963C5F"/>
    <w:rsid w:val="00964A41"/>
    <w:rsid w:val="009653E1"/>
    <w:rsid w:val="00965AB3"/>
    <w:rsid w:val="00965C36"/>
    <w:rsid w:val="00965E5B"/>
    <w:rsid w:val="00965FC9"/>
    <w:rsid w:val="00966246"/>
    <w:rsid w:val="00966397"/>
    <w:rsid w:val="00966A82"/>
    <w:rsid w:val="00967222"/>
    <w:rsid w:val="00967E1D"/>
    <w:rsid w:val="00970C52"/>
    <w:rsid w:val="00973602"/>
    <w:rsid w:val="00974133"/>
    <w:rsid w:val="00974F70"/>
    <w:rsid w:val="00975590"/>
    <w:rsid w:val="009765FE"/>
    <w:rsid w:val="009770F7"/>
    <w:rsid w:val="00980165"/>
    <w:rsid w:val="0098105B"/>
    <w:rsid w:val="009817E1"/>
    <w:rsid w:val="00981DCA"/>
    <w:rsid w:val="00982E40"/>
    <w:rsid w:val="0098348B"/>
    <w:rsid w:val="009835CC"/>
    <w:rsid w:val="009839D5"/>
    <w:rsid w:val="0098565E"/>
    <w:rsid w:val="009856CF"/>
    <w:rsid w:val="009856FF"/>
    <w:rsid w:val="00985EC8"/>
    <w:rsid w:val="00985EED"/>
    <w:rsid w:val="009863AC"/>
    <w:rsid w:val="009875D7"/>
    <w:rsid w:val="00990169"/>
    <w:rsid w:val="00990E76"/>
    <w:rsid w:val="009913A6"/>
    <w:rsid w:val="009914E4"/>
    <w:rsid w:val="00992FB4"/>
    <w:rsid w:val="009939B7"/>
    <w:rsid w:val="00996503"/>
    <w:rsid w:val="00996713"/>
    <w:rsid w:val="00996A7E"/>
    <w:rsid w:val="009970F2"/>
    <w:rsid w:val="009A5611"/>
    <w:rsid w:val="009A5958"/>
    <w:rsid w:val="009B121C"/>
    <w:rsid w:val="009B1C78"/>
    <w:rsid w:val="009B2257"/>
    <w:rsid w:val="009B279E"/>
    <w:rsid w:val="009B2AB0"/>
    <w:rsid w:val="009B2B90"/>
    <w:rsid w:val="009B302C"/>
    <w:rsid w:val="009B3DFA"/>
    <w:rsid w:val="009B4343"/>
    <w:rsid w:val="009B46DC"/>
    <w:rsid w:val="009B4966"/>
    <w:rsid w:val="009B6A00"/>
    <w:rsid w:val="009B6ED0"/>
    <w:rsid w:val="009C01F5"/>
    <w:rsid w:val="009C060B"/>
    <w:rsid w:val="009C07C7"/>
    <w:rsid w:val="009C2D15"/>
    <w:rsid w:val="009C3719"/>
    <w:rsid w:val="009C6818"/>
    <w:rsid w:val="009C6C6C"/>
    <w:rsid w:val="009C73E2"/>
    <w:rsid w:val="009D0ADC"/>
    <w:rsid w:val="009D12C2"/>
    <w:rsid w:val="009D2B65"/>
    <w:rsid w:val="009D30F6"/>
    <w:rsid w:val="009D77D8"/>
    <w:rsid w:val="009D7B4F"/>
    <w:rsid w:val="009E03DA"/>
    <w:rsid w:val="009E0528"/>
    <w:rsid w:val="009E0F1B"/>
    <w:rsid w:val="009E1939"/>
    <w:rsid w:val="009E4FE6"/>
    <w:rsid w:val="009E644C"/>
    <w:rsid w:val="009E66F6"/>
    <w:rsid w:val="009F0302"/>
    <w:rsid w:val="009F05CF"/>
    <w:rsid w:val="009F3F0E"/>
    <w:rsid w:val="009F5294"/>
    <w:rsid w:val="009F5B01"/>
    <w:rsid w:val="009F6369"/>
    <w:rsid w:val="009F64A1"/>
    <w:rsid w:val="009F6940"/>
    <w:rsid w:val="00A0150F"/>
    <w:rsid w:val="00A018B4"/>
    <w:rsid w:val="00A01FC2"/>
    <w:rsid w:val="00A02F4C"/>
    <w:rsid w:val="00A05B7D"/>
    <w:rsid w:val="00A063CB"/>
    <w:rsid w:val="00A07F21"/>
    <w:rsid w:val="00A07F3A"/>
    <w:rsid w:val="00A128F4"/>
    <w:rsid w:val="00A13167"/>
    <w:rsid w:val="00A13445"/>
    <w:rsid w:val="00A13471"/>
    <w:rsid w:val="00A154B8"/>
    <w:rsid w:val="00A15F7E"/>
    <w:rsid w:val="00A16374"/>
    <w:rsid w:val="00A1649A"/>
    <w:rsid w:val="00A200B4"/>
    <w:rsid w:val="00A201D3"/>
    <w:rsid w:val="00A21463"/>
    <w:rsid w:val="00A21A51"/>
    <w:rsid w:val="00A21B27"/>
    <w:rsid w:val="00A222B0"/>
    <w:rsid w:val="00A23124"/>
    <w:rsid w:val="00A234C2"/>
    <w:rsid w:val="00A257B1"/>
    <w:rsid w:val="00A27D5C"/>
    <w:rsid w:val="00A3016A"/>
    <w:rsid w:val="00A308B7"/>
    <w:rsid w:val="00A31093"/>
    <w:rsid w:val="00A31BD1"/>
    <w:rsid w:val="00A31FB5"/>
    <w:rsid w:val="00A322B5"/>
    <w:rsid w:val="00A329D3"/>
    <w:rsid w:val="00A3361B"/>
    <w:rsid w:val="00A337B1"/>
    <w:rsid w:val="00A349C2"/>
    <w:rsid w:val="00A353CF"/>
    <w:rsid w:val="00A35761"/>
    <w:rsid w:val="00A3615F"/>
    <w:rsid w:val="00A36D82"/>
    <w:rsid w:val="00A37A78"/>
    <w:rsid w:val="00A42398"/>
    <w:rsid w:val="00A4402F"/>
    <w:rsid w:val="00A45C16"/>
    <w:rsid w:val="00A45FD7"/>
    <w:rsid w:val="00A46A40"/>
    <w:rsid w:val="00A50223"/>
    <w:rsid w:val="00A51018"/>
    <w:rsid w:val="00A51B8D"/>
    <w:rsid w:val="00A52588"/>
    <w:rsid w:val="00A52ABC"/>
    <w:rsid w:val="00A5408F"/>
    <w:rsid w:val="00A5409F"/>
    <w:rsid w:val="00A54DAB"/>
    <w:rsid w:val="00A556CD"/>
    <w:rsid w:val="00A55D33"/>
    <w:rsid w:val="00A55DB0"/>
    <w:rsid w:val="00A56D7B"/>
    <w:rsid w:val="00A56E40"/>
    <w:rsid w:val="00A6249E"/>
    <w:rsid w:val="00A637A3"/>
    <w:rsid w:val="00A63E0F"/>
    <w:rsid w:val="00A70AC8"/>
    <w:rsid w:val="00A72A8A"/>
    <w:rsid w:val="00A73643"/>
    <w:rsid w:val="00A73E55"/>
    <w:rsid w:val="00A76494"/>
    <w:rsid w:val="00A778C2"/>
    <w:rsid w:val="00A77FF4"/>
    <w:rsid w:val="00A80735"/>
    <w:rsid w:val="00A81F25"/>
    <w:rsid w:val="00A83D04"/>
    <w:rsid w:val="00A8592A"/>
    <w:rsid w:val="00A87428"/>
    <w:rsid w:val="00A945E0"/>
    <w:rsid w:val="00A9524D"/>
    <w:rsid w:val="00A95D4C"/>
    <w:rsid w:val="00A9682F"/>
    <w:rsid w:val="00A97533"/>
    <w:rsid w:val="00AA3B35"/>
    <w:rsid w:val="00AA6509"/>
    <w:rsid w:val="00AB0413"/>
    <w:rsid w:val="00AB0A67"/>
    <w:rsid w:val="00AB3ADC"/>
    <w:rsid w:val="00AB4CE2"/>
    <w:rsid w:val="00AB6D62"/>
    <w:rsid w:val="00AC08D1"/>
    <w:rsid w:val="00AC100A"/>
    <w:rsid w:val="00AC10C1"/>
    <w:rsid w:val="00AC13AB"/>
    <w:rsid w:val="00AC1AB5"/>
    <w:rsid w:val="00AC1ACB"/>
    <w:rsid w:val="00AC1C2E"/>
    <w:rsid w:val="00AC346D"/>
    <w:rsid w:val="00AC48BD"/>
    <w:rsid w:val="00AC49B1"/>
    <w:rsid w:val="00AC4AF1"/>
    <w:rsid w:val="00AC67A4"/>
    <w:rsid w:val="00AD2067"/>
    <w:rsid w:val="00AD2F3E"/>
    <w:rsid w:val="00AD3249"/>
    <w:rsid w:val="00AD65F7"/>
    <w:rsid w:val="00AE0340"/>
    <w:rsid w:val="00AE04EF"/>
    <w:rsid w:val="00AE0AD5"/>
    <w:rsid w:val="00AE10ED"/>
    <w:rsid w:val="00AE14AC"/>
    <w:rsid w:val="00AE18F1"/>
    <w:rsid w:val="00AE40C1"/>
    <w:rsid w:val="00AE45E1"/>
    <w:rsid w:val="00AE5246"/>
    <w:rsid w:val="00AE6581"/>
    <w:rsid w:val="00AE67AB"/>
    <w:rsid w:val="00AE6A74"/>
    <w:rsid w:val="00AE77DA"/>
    <w:rsid w:val="00AE7B64"/>
    <w:rsid w:val="00AE7F3F"/>
    <w:rsid w:val="00AF12A7"/>
    <w:rsid w:val="00AF3169"/>
    <w:rsid w:val="00AF3BEA"/>
    <w:rsid w:val="00AF54C5"/>
    <w:rsid w:val="00AF5858"/>
    <w:rsid w:val="00AF637B"/>
    <w:rsid w:val="00AF781E"/>
    <w:rsid w:val="00B00021"/>
    <w:rsid w:val="00B01797"/>
    <w:rsid w:val="00B01830"/>
    <w:rsid w:val="00B02055"/>
    <w:rsid w:val="00B02F2D"/>
    <w:rsid w:val="00B034E2"/>
    <w:rsid w:val="00B049AF"/>
    <w:rsid w:val="00B058D4"/>
    <w:rsid w:val="00B05A83"/>
    <w:rsid w:val="00B06D02"/>
    <w:rsid w:val="00B06DF6"/>
    <w:rsid w:val="00B07D3B"/>
    <w:rsid w:val="00B101CD"/>
    <w:rsid w:val="00B10B0A"/>
    <w:rsid w:val="00B135FD"/>
    <w:rsid w:val="00B1407C"/>
    <w:rsid w:val="00B1428B"/>
    <w:rsid w:val="00B149AF"/>
    <w:rsid w:val="00B150B1"/>
    <w:rsid w:val="00B15B72"/>
    <w:rsid w:val="00B16130"/>
    <w:rsid w:val="00B17810"/>
    <w:rsid w:val="00B21D44"/>
    <w:rsid w:val="00B23499"/>
    <w:rsid w:val="00B2429F"/>
    <w:rsid w:val="00B24B24"/>
    <w:rsid w:val="00B25453"/>
    <w:rsid w:val="00B26365"/>
    <w:rsid w:val="00B30BF4"/>
    <w:rsid w:val="00B31D9F"/>
    <w:rsid w:val="00B33686"/>
    <w:rsid w:val="00B33A07"/>
    <w:rsid w:val="00B34054"/>
    <w:rsid w:val="00B34A3E"/>
    <w:rsid w:val="00B350FD"/>
    <w:rsid w:val="00B353A0"/>
    <w:rsid w:val="00B373B0"/>
    <w:rsid w:val="00B376A2"/>
    <w:rsid w:val="00B37CF4"/>
    <w:rsid w:val="00B41F72"/>
    <w:rsid w:val="00B42B54"/>
    <w:rsid w:val="00B430BE"/>
    <w:rsid w:val="00B436DC"/>
    <w:rsid w:val="00B444E3"/>
    <w:rsid w:val="00B4461E"/>
    <w:rsid w:val="00B459C7"/>
    <w:rsid w:val="00B5010A"/>
    <w:rsid w:val="00B51117"/>
    <w:rsid w:val="00B53904"/>
    <w:rsid w:val="00B54549"/>
    <w:rsid w:val="00B54F9C"/>
    <w:rsid w:val="00B55735"/>
    <w:rsid w:val="00B55829"/>
    <w:rsid w:val="00B55CF3"/>
    <w:rsid w:val="00B56211"/>
    <w:rsid w:val="00B57605"/>
    <w:rsid w:val="00B608AC"/>
    <w:rsid w:val="00B60B1C"/>
    <w:rsid w:val="00B65BB8"/>
    <w:rsid w:val="00B700A2"/>
    <w:rsid w:val="00B7038B"/>
    <w:rsid w:val="00B71543"/>
    <w:rsid w:val="00B71ADA"/>
    <w:rsid w:val="00B7358F"/>
    <w:rsid w:val="00B74863"/>
    <w:rsid w:val="00B75662"/>
    <w:rsid w:val="00B75AB8"/>
    <w:rsid w:val="00B75E37"/>
    <w:rsid w:val="00B77723"/>
    <w:rsid w:val="00B77B40"/>
    <w:rsid w:val="00B8020F"/>
    <w:rsid w:val="00B80C45"/>
    <w:rsid w:val="00B81145"/>
    <w:rsid w:val="00B81211"/>
    <w:rsid w:val="00B82280"/>
    <w:rsid w:val="00B83A27"/>
    <w:rsid w:val="00B92254"/>
    <w:rsid w:val="00B9275B"/>
    <w:rsid w:val="00B92A3F"/>
    <w:rsid w:val="00B92BFC"/>
    <w:rsid w:val="00B92FA7"/>
    <w:rsid w:val="00B934C4"/>
    <w:rsid w:val="00B941B8"/>
    <w:rsid w:val="00B94642"/>
    <w:rsid w:val="00B94A07"/>
    <w:rsid w:val="00B95C2C"/>
    <w:rsid w:val="00B95E54"/>
    <w:rsid w:val="00B96989"/>
    <w:rsid w:val="00B9703B"/>
    <w:rsid w:val="00BA045A"/>
    <w:rsid w:val="00BA4D06"/>
    <w:rsid w:val="00BA7982"/>
    <w:rsid w:val="00BB22EF"/>
    <w:rsid w:val="00BB318C"/>
    <w:rsid w:val="00BB3EC8"/>
    <w:rsid w:val="00BB5158"/>
    <w:rsid w:val="00BB6CBF"/>
    <w:rsid w:val="00BB71AD"/>
    <w:rsid w:val="00BC126B"/>
    <w:rsid w:val="00BC1F53"/>
    <w:rsid w:val="00BC31B8"/>
    <w:rsid w:val="00BC47FD"/>
    <w:rsid w:val="00BC4F09"/>
    <w:rsid w:val="00BC5027"/>
    <w:rsid w:val="00BC539A"/>
    <w:rsid w:val="00BC58C8"/>
    <w:rsid w:val="00BD00C4"/>
    <w:rsid w:val="00BD0676"/>
    <w:rsid w:val="00BD0FF5"/>
    <w:rsid w:val="00BD17F1"/>
    <w:rsid w:val="00BD39BE"/>
    <w:rsid w:val="00BD5DB5"/>
    <w:rsid w:val="00BD6DE1"/>
    <w:rsid w:val="00BE0D6E"/>
    <w:rsid w:val="00BE19B6"/>
    <w:rsid w:val="00BE2B11"/>
    <w:rsid w:val="00BE5691"/>
    <w:rsid w:val="00BE7906"/>
    <w:rsid w:val="00BF12A8"/>
    <w:rsid w:val="00BF1C97"/>
    <w:rsid w:val="00BF49EB"/>
    <w:rsid w:val="00BF57E9"/>
    <w:rsid w:val="00BF61AD"/>
    <w:rsid w:val="00BF687A"/>
    <w:rsid w:val="00BF6CE0"/>
    <w:rsid w:val="00C008ED"/>
    <w:rsid w:val="00C0108F"/>
    <w:rsid w:val="00C012ED"/>
    <w:rsid w:val="00C038CB"/>
    <w:rsid w:val="00C03E3E"/>
    <w:rsid w:val="00C040CC"/>
    <w:rsid w:val="00C0418C"/>
    <w:rsid w:val="00C04E60"/>
    <w:rsid w:val="00C076A8"/>
    <w:rsid w:val="00C105CE"/>
    <w:rsid w:val="00C10649"/>
    <w:rsid w:val="00C121FB"/>
    <w:rsid w:val="00C13BEF"/>
    <w:rsid w:val="00C150B9"/>
    <w:rsid w:val="00C150C4"/>
    <w:rsid w:val="00C15CBE"/>
    <w:rsid w:val="00C15FA0"/>
    <w:rsid w:val="00C1624B"/>
    <w:rsid w:val="00C16356"/>
    <w:rsid w:val="00C16651"/>
    <w:rsid w:val="00C16FB1"/>
    <w:rsid w:val="00C172F5"/>
    <w:rsid w:val="00C201B8"/>
    <w:rsid w:val="00C20727"/>
    <w:rsid w:val="00C21309"/>
    <w:rsid w:val="00C22A26"/>
    <w:rsid w:val="00C23FC7"/>
    <w:rsid w:val="00C24696"/>
    <w:rsid w:val="00C2677C"/>
    <w:rsid w:val="00C27586"/>
    <w:rsid w:val="00C27681"/>
    <w:rsid w:val="00C31B31"/>
    <w:rsid w:val="00C31FF6"/>
    <w:rsid w:val="00C3213C"/>
    <w:rsid w:val="00C327B8"/>
    <w:rsid w:val="00C335CF"/>
    <w:rsid w:val="00C34581"/>
    <w:rsid w:val="00C35408"/>
    <w:rsid w:val="00C35E64"/>
    <w:rsid w:val="00C4094A"/>
    <w:rsid w:val="00C40E01"/>
    <w:rsid w:val="00C419B6"/>
    <w:rsid w:val="00C42E1B"/>
    <w:rsid w:val="00C44276"/>
    <w:rsid w:val="00C46C85"/>
    <w:rsid w:val="00C46E31"/>
    <w:rsid w:val="00C474A0"/>
    <w:rsid w:val="00C476CE"/>
    <w:rsid w:val="00C50375"/>
    <w:rsid w:val="00C51297"/>
    <w:rsid w:val="00C5223E"/>
    <w:rsid w:val="00C54E03"/>
    <w:rsid w:val="00C54E35"/>
    <w:rsid w:val="00C55173"/>
    <w:rsid w:val="00C555F8"/>
    <w:rsid w:val="00C57342"/>
    <w:rsid w:val="00C578A0"/>
    <w:rsid w:val="00C57F83"/>
    <w:rsid w:val="00C57F9A"/>
    <w:rsid w:val="00C651A6"/>
    <w:rsid w:val="00C66288"/>
    <w:rsid w:val="00C667B2"/>
    <w:rsid w:val="00C675E0"/>
    <w:rsid w:val="00C7167A"/>
    <w:rsid w:val="00C7239A"/>
    <w:rsid w:val="00C73D77"/>
    <w:rsid w:val="00C750EE"/>
    <w:rsid w:val="00C75D50"/>
    <w:rsid w:val="00C767E4"/>
    <w:rsid w:val="00C805A8"/>
    <w:rsid w:val="00C81565"/>
    <w:rsid w:val="00C839B1"/>
    <w:rsid w:val="00C8446B"/>
    <w:rsid w:val="00C856F2"/>
    <w:rsid w:val="00C85A0C"/>
    <w:rsid w:val="00C900AE"/>
    <w:rsid w:val="00C91FD8"/>
    <w:rsid w:val="00C92A4E"/>
    <w:rsid w:val="00C93183"/>
    <w:rsid w:val="00C93228"/>
    <w:rsid w:val="00C9341C"/>
    <w:rsid w:val="00C94493"/>
    <w:rsid w:val="00C94554"/>
    <w:rsid w:val="00C946C6"/>
    <w:rsid w:val="00C95803"/>
    <w:rsid w:val="00C967E4"/>
    <w:rsid w:val="00C96984"/>
    <w:rsid w:val="00C96AFA"/>
    <w:rsid w:val="00CA27D3"/>
    <w:rsid w:val="00CA2C71"/>
    <w:rsid w:val="00CA3955"/>
    <w:rsid w:val="00CA3C71"/>
    <w:rsid w:val="00CA3DF6"/>
    <w:rsid w:val="00CA530A"/>
    <w:rsid w:val="00CA5A1A"/>
    <w:rsid w:val="00CB0254"/>
    <w:rsid w:val="00CB028B"/>
    <w:rsid w:val="00CB2888"/>
    <w:rsid w:val="00CB3133"/>
    <w:rsid w:val="00CB33D6"/>
    <w:rsid w:val="00CB57BD"/>
    <w:rsid w:val="00CB5DED"/>
    <w:rsid w:val="00CB643B"/>
    <w:rsid w:val="00CC1F44"/>
    <w:rsid w:val="00CC2035"/>
    <w:rsid w:val="00CC4A8A"/>
    <w:rsid w:val="00CC5168"/>
    <w:rsid w:val="00CC64DB"/>
    <w:rsid w:val="00CC76FD"/>
    <w:rsid w:val="00CC7A3C"/>
    <w:rsid w:val="00CD023C"/>
    <w:rsid w:val="00CD039C"/>
    <w:rsid w:val="00CD0C13"/>
    <w:rsid w:val="00CD138C"/>
    <w:rsid w:val="00CD2924"/>
    <w:rsid w:val="00CD3C37"/>
    <w:rsid w:val="00CD480C"/>
    <w:rsid w:val="00CD502E"/>
    <w:rsid w:val="00CD669F"/>
    <w:rsid w:val="00CD7104"/>
    <w:rsid w:val="00CE0BCC"/>
    <w:rsid w:val="00CE0C42"/>
    <w:rsid w:val="00CE30D4"/>
    <w:rsid w:val="00CE3B1B"/>
    <w:rsid w:val="00CE6ED2"/>
    <w:rsid w:val="00CE7B49"/>
    <w:rsid w:val="00CF21C2"/>
    <w:rsid w:val="00CF23EC"/>
    <w:rsid w:val="00CF3DCD"/>
    <w:rsid w:val="00CF42DA"/>
    <w:rsid w:val="00CF4DC5"/>
    <w:rsid w:val="00CF5704"/>
    <w:rsid w:val="00CF5DCC"/>
    <w:rsid w:val="00D007E6"/>
    <w:rsid w:val="00D00B51"/>
    <w:rsid w:val="00D04A21"/>
    <w:rsid w:val="00D04C2F"/>
    <w:rsid w:val="00D06473"/>
    <w:rsid w:val="00D07DAB"/>
    <w:rsid w:val="00D07E3F"/>
    <w:rsid w:val="00D11E10"/>
    <w:rsid w:val="00D11F53"/>
    <w:rsid w:val="00D1331F"/>
    <w:rsid w:val="00D13934"/>
    <w:rsid w:val="00D149C6"/>
    <w:rsid w:val="00D15F24"/>
    <w:rsid w:val="00D16721"/>
    <w:rsid w:val="00D16FB6"/>
    <w:rsid w:val="00D17DDD"/>
    <w:rsid w:val="00D20C5A"/>
    <w:rsid w:val="00D20E50"/>
    <w:rsid w:val="00D212E3"/>
    <w:rsid w:val="00D23357"/>
    <w:rsid w:val="00D23CB2"/>
    <w:rsid w:val="00D2500A"/>
    <w:rsid w:val="00D26279"/>
    <w:rsid w:val="00D2676C"/>
    <w:rsid w:val="00D30EDB"/>
    <w:rsid w:val="00D310FB"/>
    <w:rsid w:val="00D31DBB"/>
    <w:rsid w:val="00D378E4"/>
    <w:rsid w:val="00D410E7"/>
    <w:rsid w:val="00D42CDE"/>
    <w:rsid w:val="00D432A8"/>
    <w:rsid w:val="00D43D4C"/>
    <w:rsid w:val="00D43D5B"/>
    <w:rsid w:val="00D466CA"/>
    <w:rsid w:val="00D47F52"/>
    <w:rsid w:val="00D504CA"/>
    <w:rsid w:val="00D51088"/>
    <w:rsid w:val="00D5118E"/>
    <w:rsid w:val="00D51789"/>
    <w:rsid w:val="00D51C36"/>
    <w:rsid w:val="00D51C65"/>
    <w:rsid w:val="00D52C71"/>
    <w:rsid w:val="00D53508"/>
    <w:rsid w:val="00D538D7"/>
    <w:rsid w:val="00D53CCA"/>
    <w:rsid w:val="00D54CE0"/>
    <w:rsid w:val="00D55B62"/>
    <w:rsid w:val="00D55CC2"/>
    <w:rsid w:val="00D55F8C"/>
    <w:rsid w:val="00D56423"/>
    <w:rsid w:val="00D57D7D"/>
    <w:rsid w:val="00D61712"/>
    <w:rsid w:val="00D62062"/>
    <w:rsid w:val="00D63A9C"/>
    <w:rsid w:val="00D64AB1"/>
    <w:rsid w:val="00D67C34"/>
    <w:rsid w:val="00D727C2"/>
    <w:rsid w:val="00D73280"/>
    <w:rsid w:val="00D7440D"/>
    <w:rsid w:val="00D74AF3"/>
    <w:rsid w:val="00D764A4"/>
    <w:rsid w:val="00D801BD"/>
    <w:rsid w:val="00D81380"/>
    <w:rsid w:val="00D81931"/>
    <w:rsid w:val="00D81F6C"/>
    <w:rsid w:val="00D82DFE"/>
    <w:rsid w:val="00D83798"/>
    <w:rsid w:val="00D85DA8"/>
    <w:rsid w:val="00D861EF"/>
    <w:rsid w:val="00D86833"/>
    <w:rsid w:val="00D900DD"/>
    <w:rsid w:val="00D9059B"/>
    <w:rsid w:val="00D91C9E"/>
    <w:rsid w:val="00D92D8C"/>
    <w:rsid w:val="00D934D3"/>
    <w:rsid w:val="00D93C71"/>
    <w:rsid w:val="00D94C9B"/>
    <w:rsid w:val="00D970CB"/>
    <w:rsid w:val="00D97755"/>
    <w:rsid w:val="00DA4E1C"/>
    <w:rsid w:val="00DA526E"/>
    <w:rsid w:val="00DA639F"/>
    <w:rsid w:val="00DA7A31"/>
    <w:rsid w:val="00DB2256"/>
    <w:rsid w:val="00DB2D1C"/>
    <w:rsid w:val="00DB338D"/>
    <w:rsid w:val="00DB43D5"/>
    <w:rsid w:val="00DB6DCA"/>
    <w:rsid w:val="00DB70D9"/>
    <w:rsid w:val="00DB721A"/>
    <w:rsid w:val="00DB7A02"/>
    <w:rsid w:val="00DC02C1"/>
    <w:rsid w:val="00DC13DF"/>
    <w:rsid w:val="00DC1FD5"/>
    <w:rsid w:val="00DC2E9E"/>
    <w:rsid w:val="00DC46CC"/>
    <w:rsid w:val="00DC54F1"/>
    <w:rsid w:val="00DC57CC"/>
    <w:rsid w:val="00DC5B8A"/>
    <w:rsid w:val="00DC69CB"/>
    <w:rsid w:val="00DC7700"/>
    <w:rsid w:val="00DD0DDF"/>
    <w:rsid w:val="00DD1644"/>
    <w:rsid w:val="00DD1876"/>
    <w:rsid w:val="00DD4009"/>
    <w:rsid w:val="00DD5AB9"/>
    <w:rsid w:val="00DD5AE2"/>
    <w:rsid w:val="00DD6722"/>
    <w:rsid w:val="00DD68EB"/>
    <w:rsid w:val="00DD7381"/>
    <w:rsid w:val="00DE1E9E"/>
    <w:rsid w:val="00DE222A"/>
    <w:rsid w:val="00DE4A81"/>
    <w:rsid w:val="00DE4D28"/>
    <w:rsid w:val="00DE75A6"/>
    <w:rsid w:val="00DF0D15"/>
    <w:rsid w:val="00DF49E6"/>
    <w:rsid w:val="00DF4FB3"/>
    <w:rsid w:val="00DF599B"/>
    <w:rsid w:val="00DF61CF"/>
    <w:rsid w:val="00DF7831"/>
    <w:rsid w:val="00DF7AF4"/>
    <w:rsid w:val="00E00041"/>
    <w:rsid w:val="00E00404"/>
    <w:rsid w:val="00E01580"/>
    <w:rsid w:val="00E02892"/>
    <w:rsid w:val="00E03294"/>
    <w:rsid w:val="00E03D3A"/>
    <w:rsid w:val="00E04755"/>
    <w:rsid w:val="00E060A2"/>
    <w:rsid w:val="00E0764D"/>
    <w:rsid w:val="00E07A01"/>
    <w:rsid w:val="00E110B7"/>
    <w:rsid w:val="00E12D79"/>
    <w:rsid w:val="00E13191"/>
    <w:rsid w:val="00E13BAD"/>
    <w:rsid w:val="00E15455"/>
    <w:rsid w:val="00E164FA"/>
    <w:rsid w:val="00E1674A"/>
    <w:rsid w:val="00E16976"/>
    <w:rsid w:val="00E22544"/>
    <w:rsid w:val="00E22A0B"/>
    <w:rsid w:val="00E23CE2"/>
    <w:rsid w:val="00E23DBD"/>
    <w:rsid w:val="00E256DA"/>
    <w:rsid w:val="00E258C9"/>
    <w:rsid w:val="00E269D8"/>
    <w:rsid w:val="00E26B60"/>
    <w:rsid w:val="00E275D8"/>
    <w:rsid w:val="00E27C33"/>
    <w:rsid w:val="00E30F9F"/>
    <w:rsid w:val="00E30FB0"/>
    <w:rsid w:val="00E3118D"/>
    <w:rsid w:val="00E31238"/>
    <w:rsid w:val="00E312F2"/>
    <w:rsid w:val="00E3178A"/>
    <w:rsid w:val="00E31897"/>
    <w:rsid w:val="00E31BA4"/>
    <w:rsid w:val="00E32481"/>
    <w:rsid w:val="00E329F7"/>
    <w:rsid w:val="00E34AC2"/>
    <w:rsid w:val="00E352C3"/>
    <w:rsid w:val="00E354EC"/>
    <w:rsid w:val="00E3599B"/>
    <w:rsid w:val="00E35DB8"/>
    <w:rsid w:val="00E360C8"/>
    <w:rsid w:val="00E3697A"/>
    <w:rsid w:val="00E36C00"/>
    <w:rsid w:val="00E37C52"/>
    <w:rsid w:val="00E403C2"/>
    <w:rsid w:val="00E41B5C"/>
    <w:rsid w:val="00E42373"/>
    <w:rsid w:val="00E42C25"/>
    <w:rsid w:val="00E45BED"/>
    <w:rsid w:val="00E462FC"/>
    <w:rsid w:val="00E475B9"/>
    <w:rsid w:val="00E4780E"/>
    <w:rsid w:val="00E50382"/>
    <w:rsid w:val="00E5134C"/>
    <w:rsid w:val="00E51511"/>
    <w:rsid w:val="00E5239D"/>
    <w:rsid w:val="00E53440"/>
    <w:rsid w:val="00E54760"/>
    <w:rsid w:val="00E550C2"/>
    <w:rsid w:val="00E57353"/>
    <w:rsid w:val="00E60811"/>
    <w:rsid w:val="00E60E74"/>
    <w:rsid w:val="00E628D0"/>
    <w:rsid w:val="00E62DBE"/>
    <w:rsid w:val="00E64710"/>
    <w:rsid w:val="00E674C8"/>
    <w:rsid w:val="00E67A7C"/>
    <w:rsid w:val="00E71D2D"/>
    <w:rsid w:val="00E74C2F"/>
    <w:rsid w:val="00E757D2"/>
    <w:rsid w:val="00E75D38"/>
    <w:rsid w:val="00E7637C"/>
    <w:rsid w:val="00E76DA9"/>
    <w:rsid w:val="00E77A30"/>
    <w:rsid w:val="00E81599"/>
    <w:rsid w:val="00E81B1C"/>
    <w:rsid w:val="00E82C3B"/>
    <w:rsid w:val="00E83E49"/>
    <w:rsid w:val="00E8539F"/>
    <w:rsid w:val="00E853E8"/>
    <w:rsid w:val="00E865A0"/>
    <w:rsid w:val="00E8666D"/>
    <w:rsid w:val="00E86835"/>
    <w:rsid w:val="00E87F02"/>
    <w:rsid w:val="00E901B5"/>
    <w:rsid w:val="00E90759"/>
    <w:rsid w:val="00E9132B"/>
    <w:rsid w:val="00E91638"/>
    <w:rsid w:val="00E932C7"/>
    <w:rsid w:val="00E93FC3"/>
    <w:rsid w:val="00E943AD"/>
    <w:rsid w:val="00E94480"/>
    <w:rsid w:val="00E95CE1"/>
    <w:rsid w:val="00E971AC"/>
    <w:rsid w:val="00E97800"/>
    <w:rsid w:val="00E97BE6"/>
    <w:rsid w:val="00E97D5E"/>
    <w:rsid w:val="00EA00E7"/>
    <w:rsid w:val="00EA0CA7"/>
    <w:rsid w:val="00EA24CF"/>
    <w:rsid w:val="00EA2DB5"/>
    <w:rsid w:val="00EA4496"/>
    <w:rsid w:val="00EA6268"/>
    <w:rsid w:val="00EA6404"/>
    <w:rsid w:val="00EA6878"/>
    <w:rsid w:val="00EA731C"/>
    <w:rsid w:val="00EB0C03"/>
    <w:rsid w:val="00EB0E30"/>
    <w:rsid w:val="00EB3E62"/>
    <w:rsid w:val="00EB3EFA"/>
    <w:rsid w:val="00EB4B5A"/>
    <w:rsid w:val="00EB6256"/>
    <w:rsid w:val="00EB64CE"/>
    <w:rsid w:val="00EB6FEA"/>
    <w:rsid w:val="00EB70FE"/>
    <w:rsid w:val="00EB791A"/>
    <w:rsid w:val="00EC0842"/>
    <w:rsid w:val="00EC0E26"/>
    <w:rsid w:val="00EC0F15"/>
    <w:rsid w:val="00EC5775"/>
    <w:rsid w:val="00EC7128"/>
    <w:rsid w:val="00EC7299"/>
    <w:rsid w:val="00ED0EA8"/>
    <w:rsid w:val="00ED4353"/>
    <w:rsid w:val="00ED4594"/>
    <w:rsid w:val="00ED5AAC"/>
    <w:rsid w:val="00EE000B"/>
    <w:rsid w:val="00EE07A6"/>
    <w:rsid w:val="00EE0F52"/>
    <w:rsid w:val="00EE1341"/>
    <w:rsid w:val="00EE2325"/>
    <w:rsid w:val="00EE2804"/>
    <w:rsid w:val="00EE2F3D"/>
    <w:rsid w:val="00EE3BEF"/>
    <w:rsid w:val="00EE3C3A"/>
    <w:rsid w:val="00EE4874"/>
    <w:rsid w:val="00EE57F4"/>
    <w:rsid w:val="00EE593A"/>
    <w:rsid w:val="00EE7D79"/>
    <w:rsid w:val="00EF01E6"/>
    <w:rsid w:val="00EF02B3"/>
    <w:rsid w:val="00EF02F6"/>
    <w:rsid w:val="00EF1D4C"/>
    <w:rsid w:val="00EF1DB4"/>
    <w:rsid w:val="00EF1F03"/>
    <w:rsid w:val="00EF298A"/>
    <w:rsid w:val="00EF4E7C"/>
    <w:rsid w:val="00EF5109"/>
    <w:rsid w:val="00EF5AED"/>
    <w:rsid w:val="00EF68C7"/>
    <w:rsid w:val="00EF6F35"/>
    <w:rsid w:val="00EF7A1E"/>
    <w:rsid w:val="00F00776"/>
    <w:rsid w:val="00F01A28"/>
    <w:rsid w:val="00F02010"/>
    <w:rsid w:val="00F02046"/>
    <w:rsid w:val="00F03095"/>
    <w:rsid w:val="00F037F1"/>
    <w:rsid w:val="00F03BDC"/>
    <w:rsid w:val="00F041D3"/>
    <w:rsid w:val="00F05E63"/>
    <w:rsid w:val="00F06183"/>
    <w:rsid w:val="00F06983"/>
    <w:rsid w:val="00F1264F"/>
    <w:rsid w:val="00F201DE"/>
    <w:rsid w:val="00F2059E"/>
    <w:rsid w:val="00F207F1"/>
    <w:rsid w:val="00F21422"/>
    <w:rsid w:val="00F216BA"/>
    <w:rsid w:val="00F21CD5"/>
    <w:rsid w:val="00F2208E"/>
    <w:rsid w:val="00F22172"/>
    <w:rsid w:val="00F22FCD"/>
    <w:rsid w:val="00F25E76"/>
    <w:rsid w:val="00F27F72"/>
    <w:rsid w:val="00F30AD9"/>
    <w:rsid w:val="00F315A6"/>
    <w:rsid w:val="00F31D49"/>
    <w:rsid w:val="00F32BC4"/>
    <w:rsid w:val="00F34208"/>
    <w:rsid w:val="00F355E4"/>
    <w:rsid w:val="00F361D1"/>
    <w:rsid w:val="00F36691"/>
    <w:rsid w:val="00F36D80"/>
    <w:rsid w:val="00F37F6B"/>
    <w:rsid w:val="00F40E60"/>
    <w:rsid w:val="00F410C7"/>
    <w:rsid w:val="00F4150C"/>
    <w:rsid w:val="00F419AE"/>
    <w:rsid w:val="00F431E4"/>
    <w:rsid w:val="00F43955"/>
    <w:rsid w:val="00F43BC8"/>
    <w:rsid w:val="00F44A2C"/>
    <w:rsid w:val="00F44E0D"/>
    <w:rsid w:val="00F4531A"/>
    <w:rsid w:val="00F456DC"/>
    <w:rsid w:val="00F4654C"/>
    <w:rsid w:val="00F50CED"/>
    <w:rsid w:val="00F51BE1"/>
    <w:rsid w:val="00F5248A"/>
    <w:rsid w:val="00F52887"/>
    <w:rsid w:val="00F52D88"/>
    <w:rsid w:val="00F57A88"/>
    <w:rsid w:val="00F61145"/>
    <w:rsid w:val="00F61399"/>
    <w:rsid w:val="00F641D7"/>
    <w:rsid w:val="00F645E6"/>
    <w:rsid w:val="00F65D85"/>
    <w:rsid w:val="00F6710F"/>
    <w:rsid w:val="00F67324"/>
    <w:rsid w:val="00F6798A"/>
    <w:rsid w:val="00F702A8"/>
    <w:rsid w:val="00F70692"/>
    <w:rsid w:val="00F7116D"/>
    <w:rsid w:val="00F71820"/>
    <w:rsid w:val="00F81E83"/>
    <w:rsid w:val="00F81ED2"/>
    <w:rsid w:val="00F8220E"/>
    <w:rsid w:val="00F8237E"/>
    <w:rsid w:val="00F82B42"/>
    <w:rsid w:val="00F83761"/>
    <w:rsid w:val="00F8451A"/>
    <w:rsid w:val="00F84680"/>
    <w:rsid w:val="00F8689A"/>
    <w:rsid w:val="00F86A94"/>
    <w:rsid w:val="00F87762"/>
    <w:rsid w:val="00F920F9"/>
    <w:rsid w:val="00F934BD"/>
    <w:rsid w:val="00F94F48"/>
    <w:rsid w:val="00F9513E"/>
    <w:rsid w:val="00F957B2"/>
    <w:rsid w:val="00F96A57"/>
    <w:rsid w:val="00F96B43"/>
    <w:rsid w:val="00F971BD"/>
    <w:rsid w:val="00FA0510"/>
    <w:rsid w:val="00FA11F9"/>
    <w:rsid w:val="00FA1347"/>
    <w:rsid w:val="00FA35EF"/>
    <w:rsid w:val="00FA447F"/>
    <w:rsid w:val="00FA4EAB"/>
    <w:rsid w:val="00FA55E2"/>
    <w:rsid w:val="00FA5A62"/>
    <w:rsid w:val="00FA5EB6"/>
    <w:rsid w:val="00FA5F4C"/>
    <w:rsid w:val="00FA758A"/>
    <w:rsid w:val="00FA76DB"/>
    <w:rsid w:val="00FB0E71"/>
    <w:rsid w:val="00FB1F00"/>
    <w:rsid w:val="00FB370B"/>
    <w:rsid w:val="00FB3904"/>
    <w:rsid w:val="00FB450E"/>
    <w:rsid w:val="00FB4F23"/>
    <w:rsid w:val="00FB57AE"/>
    <w:rsid w:val="00FB5EA6"/>
    <w:rsid w:val="00FB6931"/>
    <w:rsid w:val="00FB6DEC"/>
    <w:rsid w:val="00FC1E36"/>
    <w:rsid w:val="00FC20E5"/>
    <w:rsid w:val="00FC221F"/>
    <w:rsid w:val="00FC25E1"/>
    <w:rsid w:val="00FC375E"/>
    <w:rsid w:val="00FC56AC"/>
    <w:rsid w:val="00FC5770"/>
    <w:rsid w:val="00FC57FD"/>
    <w:rsid w:val="00FC63F7"/>
    <w:rsid w:val="00FC6A6F"/>
    <w:rsid w:val="00FC6F19"/>
    <w:rsid w:val="00FC7007"/>
    <w:rsid w:val="00FC7D6C"/>
    <w:rsid w:val="00FD0333"/>
    <w:rsid w:val="00FD11F3"/>
    <w:rsid w:val="00FD2359"/>
    <w:rsid w:val="00FD2B18"/>
    <w:rsid w:val="00FD3609"/>
    <w:rsid w:val="00FD392F"/>
    <w:rsid w:val="00FD3BEB"/>
    <w:rsid w:val="00FD440A"/>
    <w:rsid w:val="00FD4D8B"/>
    <w:rsid w:val="00FD632B"/>
    <w:rsid w:val="00FD648B"/>
    <w:rsid w:val="00FD6A6A"/>
    <w:rsid w:val="00FD6AA1"/>
    <w:rsid w:val="00FD7B84"/>
    <w:rsid w:val="00FE0EEC"/>
    <w:rsid w:val="00FE12D1"/>
    <w:rsid w:val="00FE1FED"/>
    <w:rsid w:val="00FE339B"/>
    <w:rsid w:val="00FE4092"/>
    <w:rsid w:val="00FE4214"/>
    <w:rsid w:val="00FE4E07"/>
    <w:rsid w:val="00FE53B8"/>
    <w:rsid w:val="00FF1DBA"/>
    <w:rsid w:val="00FF20CC"/>
    <w:rsid w:val="00FF2972"/>
    <w:rsid w:val="00FF30F7"/>
    <w:rsid w:val="00FF56A1"/>
    <w:rsid w:val="00FF56F3"/>
    <w:rsid w:val="00FF5739"/>
    <w:rsid w:val="00FF6A0F"/>
    <w:rsid w:val="00FF6A3F"/>
    <w:rsid w:val="00FF7280"/>
    <w:rsid w:val="00FF7483"/>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1F5C1D2"/>
  <w15:docId w15:val="{CE4293FD-1E63-46DC-A752-A1D4ECE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EndNoteBibliographyTitle">
    <w:name w:val="EndNote Bibliography Title"/>
    <w:basedOn w:val="Normal"/>
    <w:link w:val="EndNoteBibliographyTitleChar"/>
    <w:rsid w:val="00F126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264F"/>
    <w:rPr>
      <w:rFonts w:ascii="Calibri" w:hAnsi="Calibri" w:cs="Calibri"/>
      <w:noProof/>
    </w:rPr>
  </w:style>
  <w:style w:type="paragraph" w:customStyle="1" w:styleId="EndNoteBibliography">
    <w:name w:val="EndNote Bibliography"/>
    <w:basedOn w:val="Normal"/>
    <w:link w:val="EndNoteBibliographyChar"/>
    <w:rsid w:val="00F126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1264F"/>
    <w:rPr>
      <w:rFonts w:ascii="Calibri" w:hAnsi="Calibri" w:cs="Calibri"/>
      <w:noProof/>
    </w:rPr>
  </w:style>
  <w:style w:type="character" w:styleId="Hyperlink">
    <w:name w:val="Hyperlink"/>
    <w:basedOn w:val="DefaultParagraphFont"/>
    <w:uiPriority w:val="99"/>
    <w:unhideWhenUsed/>
    <w:rsid w:val="006F3984"/>
    <w:rPr>
      <w:color w:val="0000FF" w:themeColor="hyperlink"/>
      <w:u w:val="single"/>
    </w:rPr>
  </w:style>
  <w:style w:type="character" w:styleId="Emphasis">
    <w:name w:val="Emphasis"/>
    <w:basedOn w:val="DefaultParagraphFont"/>
    <w:uiPriority w:val="20"/>
    <w:qFormat/>
    <w:rsid w:val="00E628D0"/>
    <w:rPr>
      <w:b/>
      <w:bCs/>
      <w:i w:val="0"/>
      <w:iCs w:val="0"/>
    </w:rPr>
  </w:style>
  <w:style w:type="paragraph" w:styleId="BalloonText">
    <w:name w:val="Balloon Text"/>
    <w:basedOn w:val="Normal"/>
    <w:link w:val="BalloonTextChar"/>
    <w:uiPriority w:val="99"/>
    <w:semiHidden/>
    <w:unhideWhenUsed/>
    <w:rsid w:val="00AC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0C1"/>
    <w:rPr>
      <w:rFonts w:ascii="Segoe UI" w:hAnsi="Segoe UI" w:cs="Segoe UI"/>
      <w:sz w:val="18"/>
      <w:szCs w:val="18"/>
    </w:rPr>
  </w:style>
  <w:style w:type="paragraph" w:styleId="ListParagraph">
    <w:name w:val="List Paragraph"/>
    <w:basedOn w:val="Normal"/>
    <w:uiPriority w:val="34"/>
    <w:qFormat/>
    <w:rsid w:val="00470A34"/>
    <w:pPr>
      <w:ind w:left="720"/>
      <w:contextualSpacing/>
    </w:pPr>
  </w:style>
  <w:style w:type="character" w:styleId="CommentReference">
    <w:name w:val="annotation reference"/>
    <w:basedOn w:val="DefaultParagraphFont"/>
    <w:uiPriority w:val="99"/>
    <w:semiHidden/>
    <w:unhideWhenUsed/>
    <w:rsid w:val="00377688"/>
    <w:rPr>
      <w:sz w:val="16"/>
      <w:szCs w:val="16"/>
    </w:rPr>
  </w:style>
  <w:style w:type="paragraph" w:styleId="CommentText">
    <w:name w:val="annotation text"/>
    <w:basedOn w:val="Normal"/>
    <w:link w:val="CommentTextChar"/>
    <w:uiPriority w:val="99"/>
    <w:unhideWhenUsed/>
    <w:rsid w:val="00377688"/>
    <w:pPr>
      <w:spacing w:line="240" w:lineRule="auto"/>
    </w:pPr>
    <w:rPr>
      <w:sz w:val="20"/>
      <w:szCs w:val="20"/>
    </w:rPr>
  </w:style>
  <w:style w:type="character" w:customStyle="1" w:styleId="CommentTextChar">
    <w:name w:val="Comment Text Char"/>
    <w:basedOn w:val="DefaultParagraphFont"/>
    <w:link w:val="CommentText"/>
    <w:uiPriority w:val="99"/>
    <w:rsid w:val="00377688"/>
    <w:rPr>
      <w:sz w:val="20"/>
      <w:szCs w:val="20"/>
    </w:rPr>
  </w:style>
  <w:style w:type="paragraph" w:styleId="CommentSubject">
    <w:name w:val="annotation subject"/>
    <w:basedOn w:val="CommentText"/>
    <w:next w:val="CommentText"/>
    <w:link w:val="CommentSubjectChar"/>
    <w:uiPriority w:val="99"/>
    <w:semiHidden/>
    <w:unhideWhenUsed/>
    <w:rsid w:val="00377688"/>
    <w:rPr>
      <w:b/>
      <w:bCs/>
    </w:rPr>
  </w:style>
  <w:style w:type="character" w:customStyle="1" w:styleId="CommentSubjectChar">
    <w:name w:val="Comment Subject Char"/>
    <w:basedOn w:val="CommentTextChar"/>
    <w:link w:val="CommentSubject"/>
    <w:uiPriority w:val="99"/>
    <w:semiHidden/>
    <w:rsid w:val="00377688"/>
    <w:rPr>
      <w:b/>
      <w:bCs/>
      <w:sz w:val="20"/>
      <w:szCs w:val="20"/>
    </w:rPr>
  </w:style>
  <w:style w:type="paragraph" w:styleId="Revision">
    <w:name w:val="Revision"/>
    <w:hidden/>
    <w:uiPriority w:val="99"/>
    <w:semiHidden/>
    <w:rsid w:val="005A22C8"/>
    <w:pPr>
      <w:spacing w:after="0" w:line="240" w:lineRule="auto"/>
    </w:pPr>
  </w:style>
  <w:style w:type="paragraph" w:styleId="FootnoteText">
    <w:name w:val="footnote text"/>
    <w:basedOn w:val="Normal"/>
    <w:link w:val="FootnoteTextChar"/>
    <w:uiPriority w:val="99"/>
    <w:semiHidden/>
    <w:unhideWhenUsed/>
    <w:rsid w:val="002305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30529"/>
    <w:rPr>
      <w:rFonts w:eastAsiaTheme="minorHAnsi"/>
      <w:sz w:val="20"/>
      <w:szCs w:val="20"/>
      <w:lang w:eastAsia="en-US"/>
    </w:rPr>
  </w:style>
  <w:style w:type="character" w:styleId="FootnoteReference">
    <w:name w:val="footnote reference"/>
    <w:basedOn w:val="DefaultParagraphFont"/>
    <w:uiPriority w:val="99"/>
    <w:semiHidden/>
    <w:unhideWhenUsed/>
    <w:rsid w:val="00230529"/>
    <w:rPr>
      <w:vertAlign w:val="superscript"/>
    </w:rPr>
  </w:style>
  <w:style w:type="character" w:styleId="PlaceholderText">
    <w:name w:val="Placeholder Text"/>
    <w:basedOn w:val="DefaultParagraphFont"/>
    <w:uiPriority w:val="99"/>
    <w:semiHidden/>
    <w:rsid w:val="00F702A8"/>
    <w:rPr>
      <w:color w:val="808080"/>
    </w:rPr>
  </w:style>
  <w:style w:type="character" w:styleId="FollowedHyperlink">
    <w:name w:val="FollowedHyperlink"/>
    <w:basedOn w:val="DefaultParagraphFont"/>
    <w:uiPriority w:val="99"/>
    <w:semiHidden/>
    <w:unhideWhenUsed/>
    <w:rsid w:val="00716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615">
      <w:bodyDiv w:val="1"/>
      <w:marLeft w:val="0"/>
      <w:marRight w:val="0"/>
      <w:marTop w:val="0"/>
      <w:marBottom w:val="0"/>
      <w:divBdr>
        <w:top w:val="none" w:sz="0" w:space="0" w:color="auto"/>
        <w:left w:val="none" w:sz="0" w:space="0" w:color="auto"/>
        <w:bottom w:val="none" w:sz="0" w:space="0" w:color="auto"/>
        <w:right w:val="none" w:sz="0" w:space="0" w:color="auto"/>
      </w:divBdr>
    </w:div>
    <w:div w:id="691104233">
      <w:bodyDiv w:val="1"/>
      <w:marLeft w:val="0"/>
      <w:marRight w:val="0"/>
      <w:marTop w:val="0"/>
      <w:marBottom w:val="0"/>
      <w:divBdr>
        <w:top w:val="none" w:sz="0" w:space="0" w:color="auto"/>
        <w:left w:val="none" w:sz="0" w:space="0" w:color="auto"/>
        <w:bottom w:val="none" w:sz="0" w:space="0" w:color="auto"/>
        <w:right w:val="none" w:sz="0" w:space="0" w:color="auto"/>
      </w:divBdr>
    </w:div>
    <w:div w:id="760570634">
      <w:bodyDiv w:val="1"/>
      <w:marLeft w:val="0"/>
      <w:marRight w:val="0"/>
      <w:marTop w:val="0"/>
      <w:marBottom w:val="0"/>
      <w:divBdr>
        <w:top w:val="none" w:sz="0" w:space="0" w:color="auto"/>
        <w:left w:val="none" w:sz="0" w:space="0" w:color="auto"/>
        <w:bottom w:val="none" w:sz="0" w:space="0" w:color="auto"/>
        <w:right w:val="none" w:sz="0" w:space="0" w:color="auto"/>
      </w:divBdr>
    </w:div>
    <w:div w:id="832061916">
      <w:bodyDiv w:val="1"/>
      <w:marLeft w:val="0"/>
      <w:marRight w:val="0"/>
      <w:marTop w:val="0"/>
      <w:marBottom w:val="0"/>
      <w:divBdr>
        <w:top w:val="none" w:sz="0" w:space="0" w:color="auto"/>
        <w:left w:val="none" w:sz="0" w:space="0" w:color="auto"/>
        <w:bottom w:val="none" w:sz="0" w:space="0" w:color="auto"/>
        <w:right w:val="none" w:sz="0" w:space="0" w:color="auto"/>
      </w:divBdr>
    </w:div>
    <w:div w:id="850099440">
      <w:bodyDiv w:val="1"/>
      <w:marLeft w:val="0"/>
      <w:marRight w:val="0"/>
      <w:marTop w:val="0"/>
      <w:marBottom w:val="0"/>
      <w:divBdr>
        <w:top w:val="none" w:sz="0" w:space="0" w:color="auto"/>
        <w:left w:val="none" w:sz="0" w:space="0" w:color="auto"/>
        <w:bottom w:val="none" w:sz="0" w:space="0" w:color="auto"/>
        <w:right w:val="none" w:sz="0" w:space="0" w:color="auto"/>
      </w:divBdr>
    </w:div>
    <w:div w:id="1052273566">
      <w:bodyDiv w:val="1"/>
      <w:marLeft w:val="0"/>
      <w:marRight w:val="0"/>
      <w:marTop w:val="0"/>
      <w:marBottom w:val="0"/>
      <w:divBdr>
        <w:top w:val="none" w:sz="0" w:space="0" w:color="auto"/>
        <w:left w:val="none" w:sz="0" w:space="0" w:color="auto"/>
        <w:bottom w:val="none" w:sz="0" w:space="0" w:color="auto"/>
        <w:right w:val="none" w:sz="0" w:space="0" w:color="auto"/>
      </w:divBdr>
    </w:div>
    <w:div w:id="1088383325">
      <w:bodyDiv w:val="1"/>
      <w:marLeft w:val="0"/>
      <w:marRight w:val="0"/>
      <w:marTop w:val="0"/>
      <w:marBottom w:val="0"/>
      <w:divBdr>
        <w:top w:val="none" w:sz="0" w:space="0" w:color="auto"/>
        <w:left w:val="none" w:sz="0" w:space="0" w:color="auto"/>
        <w:bottom w:val="none" w:sz="0" w:space="0" w:color="auto"/>
        <w:right w:val="none" w:sz="0" w:space="0" w:color="auto"/>
      </w:divBdr>
    </w:div>
    <w:div w:id="1114668698">
      <w:bodyDiv w:val="1"/>
      <w:marLeft w:val="0"/>
      <w:marRight w:val="0"/>
      <w:marTop w:val="0"/>
      <w:marBottom w:val="0"/>
      <w:divBdr>
        <w:top w:val="none" w:sz="0" w:space="0" w:color="auto"/>
        <w:left w:val="none" w:sz="0" w:space="0" w:color="auto"/>
        <w:bottom w:val="none" w:sz="0" w:space="0" w:color="auto"/>
        <w:right w:val="none" w:sz="0" w:space="0" w:color="auto"/>
      </w:divBdr>
    </w:div>
    <w:div w:id="1212422018">
      <w:bodyDiv w:val="1"/>
      <w:marLeft w:val="0"/>
      <w:marRight w:val="0"/>
      <w:marTop w:val="0"/>
      <w:marBottom w:val="0"/>
      <w:divBdr>
        <w:top w:val="none" w:sz="0" w:space="0" w:color="auto"/>
        <w:left w:val="none" w:sz="0" w:space="0" w:color="auto"/>
        <w:bottom w:val="none" w:sz="0" w:space="0" w:color="auto"/>
        <w:right w:val="none" w:sz="0" w:space="0" w:color="auto"/>
      </w:divBdr>
    </w:div>
    <w:div w:id="1438990224">
      <w:bodyDiv w:val="1"/>
      <w:marLeft w:val="0"/>
      <w:marRight w:val="0"/>
      <w:marTop w:val="0"/>
      <w:marBottom w:val="0"/>
      <w:divBdr>
        <w:top w:val="none" w:sz="0" w:space="0" w:color="auto"/>
        <w:left w:val="none" w:sz="0" w:space="0" w:color="auto"/>
        <w:bottom w:val="none" w:sz="0" w:space="0" w:color="auto"/>
        <w:right w:val="none" w:sz="0" w:space="0" w:color="auto"/>
      </w:divBdr>
    </w:div>
    <w:div w:id="1468279713">
      <w:bodyDiv w:val="1"/>
      <w:marLeft w:val="0"/>
      <w:marRight w:val="0"/>
      <w:marTop w:val="0"/>
      <w:marBottom w:val="0"/>
      <w:divBdr>
        <w:top w:val="none" w:sz="0" w:space="0" w:color="auto"/>
        <w:left w:val="none" w:sz="0" w:space="0" w:color="auto"/>
        <w:bottom w:val="none" w:sz="0" w:space="0" w:color="auto"/>
        <w:right w:val="none" w:sz="0" w:space="0" w:color="auto"/>
      </w:divBdr>
    </w:div>
    <w:div w:id="1510948970">
      <w:bodyDiv w:val="1"/>
      <w:marLeft w:val="0"/>
      <w:marRight w:val="0"/>
      <w:marTop w:val="0"/>
      <w:marBottom w:val="0"/>
      <w:divBdr>
        <w:top w:val="none" w:sz="0" w:space="0" w:color="auto"/>
        <w:left w:val="none" w:sz="0" w:space="0" w:color="auto"/>
        <w:bottom w:val="none" w:sz="0" w:space="0" w:color="auto"/>
        <w:right w:val="none" w:sz="0" w:space="0" w:color="auto"/>
      </w:divBdr>
    </w:div>
    <w:div w:id="1562861224">
      <w:bodyDiv w:val="1"/>
      <w:marLeft w:val="0"/>
      <w:marRight w:val="0"/>
      <w:marTop w:val="0"/>
      <w:marBottom w:val="0"/>
      <w:divBdr>
        <w:top w:val="none" w:sz="0" w:space="0" w:color="auto"/>
        <w:left w:val="none" w:sz="0" w:space="0" w:color="auto"/>
        <w:bottom w:val="none" w:sz="0" w:space="0" w:color="auto"/>
        <w:right w:val="none" w:sz="0" w:space="0" w:color="auto"/>
      </w:divBdr>
    </w:div>
    <w:div w:id="1736515126">
      <w:bodyDiv w:val="1"/>
      <w:marLeft w:val="0"/>
      <w:marRight w:val="0"/>
      <w:marTop w:val="0"/>
      <w:marBottom w:val="0"/>
      <w:divBdr>
        <w:top w:val="none" w:sz="0" w:space="0" w:color="auto"/>
        <w:left w:val="none" w:sz="0" w:space="0" w:color="auto"/>
        <w:bottom w:val="none" w:sz="0" w:space="0" w:color="auto"/>
        <w:right w:val="none" w:sz="0" w:space="0" w:color="auto"/>
      </w:divBdr>
    </w:div>
    <w:div w:id="1972248413">
      <w:bodyDiv w:val="1"/>
      <w:marLeft w:val="0"/>
      <w:marRight w:val="0"/>
      <w:marTop w:val="0"/>
      <w:marBottom w:val="0"/>
      <w:divBdr>
        <w:top w:val="none" w:sz="0" w:space="0" w:color="auto"/>
        <w:left w:val="none" w:sz="0" w:space="0" w:color="auto"/>
        <w:bottom w:val="none" w:sz="0" w:space="0" w:color="auto"/>
        <w:right w:val="none" w:sz="0" w:space="0" w:color="auto"/>
      </w:divBdr>
    </w:div>
    <w:div w:id="20415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kb3@cdc.gov"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ID xmlns="36725435-cf4a-428e-be64-d214dda54e76">2128</Request_x0020_ID>
    <IsFinal xmlns="36725435-cf4a-428e-be64-d214dda54e76">false</IsFinal>
    <_dlc_DocId xmlns="c593544c-8bc9-488a-9957-4d59a7b3d015">D7N5T6D4PFVK-38-8218</_dlc_DocId>
    <_dlc_DocIdUrl xmlns="c593544c-8bc9-488a-9957-4d59a7b3d015">
      <Url>http://sharepoint.fda.gov/orgs/CTP-OCD/Clearance/_layouts/DocIdRedir.aspx?ID=D7N5T6D4PFVK-38-8218</Url>
      <Description>D7N5T6D4PFVK-38-8218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AD96B3EA6D404784C1A0DAA2E202CA" ma:contentTypeVersion="14" ma:contentTypeDescription="Create a new document." ma:contentTypeScope="" ma:versionID="f7600de0637cea6ae3e826555abd4a12">
  <xsd:schema xmlns:xsd="http://www.w3.org/2001/XMLSchema" xmlns:xs="http://www.w3.org/2001/XMLSchema" xmlns:p="http://schemas.microsoft.com/office/2006/metadata/properties" xmlns:ns2="c593544c-8bc9-488a-9957-4d59a7b3d015" xmlns:ns4="36725435-cf4a-428e-be64-d214dda54e76" targetNamespace="http://schemas.microsoft.com/office/2006/metadata/properties" ma:root="true" ma:fieldsID="06776dffd28fc11bbc0cff91f6d992d8" ns2:_="" ns4:_="">
    <xsd:import namespace="c593544c-8bc9-488a-9957-4d59a7b3d015"/>
    <xsd:import namespace="36725435-cf4a-428e-be64-d214dda54e76"/>
    <xsd:element name="properties">
      <xsd:complexType>
        <xsd:sequence>
          <xsd:element name="documentManagement">
            <xsd:complexType>
              <xsd:all>
                <xsd:element ref="ns2:_dlc_DocId" minOccurs="0"/>
                <xsd:element ref="ns2:_dlc_DocIdUrl" minOccurs="0"/>
                <xsd:element ref="ns2:_dlc_DocIdPersistId" minOccurs="0"/>
                <xsd:element ref="ns4:IsFinal" minOccurs="0"/>
                <xsd:element ref="ns4:Reques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725435-cf4a-428e-be64-d214dda54e76" elementFormDefault="qualified">
    <xsd:import namespace="http://schemas.microsoft.com/office/2006/documentManagement/types"/>
    <xsd:import namespace="http://schemas.microsoft.com/office/infopath/2007/PartnerControls"/>
    <xsd:element name="IsFinal" ma:index="12" nillable="true" ma:displayName="Archival Version" ma:default="0" ma:description="" ma:internalName="IsFinal">
      <xsd:simpleType>
        <xsd:restriction base="dms:Boolean"/>
      </xsd:simpleType>
    </xsd:element>
    <xsd:element name="Request_x0020_ID" ma:index="13" nillable="true" ma:displayName="Request ID" ma:internalName="Reques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71C2-084C-4939-B064-AAF6E5916000}">
  <ds:schemaRefs>
    <ds:schemaRef ds:uri="http://schemas.microsoft.com/sharepoint/events"/>
  </ds:schemaRefs>
</ds:datastoreItem>
</file>

<file path=customXml/itemProps2.xml><?xml version="1.0" encoding="utf-8"?>
<ds:datastoreItem xmlns:ds="http://schemas.openxmlformats.org/officeDocument/2006/customXml" ds:itemID="{F17FAD48-11F2-42BA-9C25-DDC873369EFD}">
  <ds:schemaRefs>
    <ds:schemaRef ds:uri="http://schemas.microsoft.com/sharepoint/v3/contenttype/forms"/>
  </ds:schemaRefs>
</ds:datastoreItem>
</file>

<file path=customXml/itemProps3.xml><?xml version="1.0" encoding="utf-8"?>
<ds:datastoreItem xmlns:ds="http://schemas.openxmlformats.org/officeDocument/2006/customXml" ds:itemID="{0740EE62-77B4-440C-90EC-2AD01F5D8400}">
  <ds:schemaRefs>
    <ds:schemaRef ds:uri="http://purl.org/dc/terms/"/>
    <ds:schemaRef ds:uri="c593544c-8bc9-488a-9957-4d59a7b3d01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6725435-cf4a-428e-be64-d214dda54e76"/>
    <ds:schemaRef ds:uri="http://www.w3.org/XML/1998/namespace"/>
    <ds:schemaRef ds:uri="http://purl.org/dc/dcmitype/"/>
  </ds:schemaRefs>
</ds:datastoreItem>
</file>

<file path=customXml/itemProps4.xml><?xml version="1.0" encoding="utf-8"?>
<ds:datastoreItem xmlns:ds="http://schemas.openxmlformats.org/officeDocument/2006/customXml" ds:itemID="{E265E91C-3BE1-4188-8697-52BA891F5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36725435-cf4a-428e-be64-d214dda5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710A13-C833-49C7-9136-7E1D5DAF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Li (CDC/ONDIEH/NCEH) (CTR)</dc:creator>
  <cp:keywords/>
  <dc:description/>
  <cp:lastModifiedBy>Zhang, Li (CDC/DDNID/NCEH/DLS)</cp:lastModifiedBy>
  <cp:revision>4</cp:revision>
  <cp:lastPrinted>2019-01-10T15:21:00Z</cp:lastPrinted>
  <dcterms:created xsi:type="dcterms:W3CDTF">2019-08-01T15:49:00Z</dcterms:created>
  <dcterms:modified xsi:type="dcterms:W3CDTF">2019-09-07T22:51:00Z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0x0101003FAD96B3EA6D404784C1A0DAA2E202CA</vt:lpwstr>
  </property>
  <property fmtid="{D5CDD505-2E9C-101B-9397-08002B2CF9AE}" pid="3" name="_dlc_DocIdItemGuid">
    <vt:lpwstr>c4ef16c3-8e33-4e1a-8fac-86329511b0dd</vt:lpwstr>
  </property>
  <property fmtid="{D5CDD505-2E9C-101B-9397-08002B2CF9AE}" pid="4" name="Order">
    <vt:r8>212800</vt:r8>
  </property>
  <property fmtid="{D5CDD505-2E9C-101B-9397-08002B2CF9AE}" pid="5" name="WorkflowChangePath">
    <vt:lpwstr>63aa9d33-a2b1-4c9d-b171-299b5cd79eb4,2;</vt:lpwstr>
  </property>
</Properties>
</file>