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6"/>
        <w:gridCol w:w="218"/>
        <w:gridCol w:w="1880"/>
        <w:gridCol w:w="228"/>
        <w:gridCol w:w="2281"/>
        <w:gridCol w:w="228"/>
        <w:gridCol w:w="2290"/>
      </w:tblGrid>
      <w:tr w:rsidR="00680D9C" w:rsidRPr="00680D9C" w:rsidTr="00BE7659">
        <w:trPr>
          <w:trHeight w:val="340"/>
        </w:trPr>
        <w:tc>
          <w:tcPr>
            <w:tcW w:w="978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Supplementary table 1.</w:t>
            </w:r>
            <w:r w:rsidRPr="00680D9C">
              <w:rPr>
                <w:rFonts w:ascii="Times New Roman" w:eastAsia="ＭＳ Ｐゴシック" w:hAnsi="Times New Roman" w:cs="Times New Roman"/>
                <w:bCs/>
                <w:kern w:val="0"/>
                <w:sz w:val="16"/>
                <w:szCs w:val="16"/>
              </w:rPr>
              <w:t xml:space="preserve"> Hazard ratios (HRs) and 95% confidence intervals (CIs) for pancreatic cancer risk according to smoking status. A pooled analysis of ten population-based cohort studies in Japan</w:t>
            </w:r>
          </w:p>
        </w:tc>
      </w:tr>
      <w:tr w:rsidR="00680D9C" w:rsidRPr="00680D9C" w:rsidTr="00BE7659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Smoking status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Never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Former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Current</w:t>
            </w:r>
          </w:p>
        </w:tc>
      </w:tr>
      <w:tr w:rsidR="00680D9C" w:rsidRPr="00680D9C" w:rsidTr="00BE7659">
        <w:trPr>
          <w:trHeight w:val="146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680D9C" w:rsidRPr="00680D9C" w:rsidTr="00BE7659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Males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34767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40046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92107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472219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505672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1193243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157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223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581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33.2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44.1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48.7 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1)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1.14 (0.92-1.41)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1.62 (1.36-1.94)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1.10 (0.89-1.36)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1.59 (1.32-1.91)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3)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1.12 (0.89-1.42)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1.64 (1.34-2.00)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1)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1.10 (0.88-1.39)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1.60 (1.32-1.95)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1.06 (0.84-1.34)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1.58 (1.30-1.92)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3)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1.06 (0.82-1.35)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1.63 (1.32-2.02)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Females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167918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4466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14850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2287817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51938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184705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703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87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30.7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53.9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47.1 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1)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1.86 (1.27-2.73)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1.94 (1.55-2.43)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1.77 (1.19-2.62)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1.81 (1.43-2.30)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3) Overall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1.90 (1.23-2.95)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1.75 (1.34-2.30)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1)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1.82 (1.17-2.83)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1.95 (1.53-2.49)</w:t>
            </w:r>
          </w:p>
        </w:tc>
      </w:tr>
      <w:tr w:rsidR="00680D9C" w:rsidRPr="00680D9C" w:rsidTr="00BE7659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1.80 (1.15-2.81)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1.81 (1.40-2.34)</w:t>
            </w:r>
          </w:p>
        </w:tc>
      </w:tr>
      <w:tr w:rsidR="00680D9C" w:rsidRPr="00680D9C" w:rsidTr="00BE7659">
        <w:trPr>
          <w:trHeight w:val="261"/>
        </w:trPr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3) excluding early cases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1.98 (1.22-3.21)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1.77 (1.33-2.36)</w:t>
            </w:r>
          </w:p>
        </w:tc>
      </w:tr>
      <w:tr w:rsidR="00680D9C" w:rsidRPr="00680D9C" w:rsidTr="00BE7659">
        <w:trPr>
          <w:trHeight w:val="3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 Model 1 was adjusted for age and area (for multicentric studies, namely JPHC-I, JPHC-II, JACC, and LSS).</w:t>
            </w:r>
          </w:p>
        </w:tc>
      </w:tr>
      <w:tr w:rsidR="00680D9C" w:rsidRPr="00680D9C" w:rsidTr="00BE7659">
        <w:trPr>
          <w:trHeight w:val="64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 Model 2 was adjusted for age, area, BMI (&lt;23, 23 to &lt;25, and ≥25 kg/m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), alcohol consumption [men: nondrinker, occasional drinker (less than once a week), and current drinker (&lt;23, 23 to &lt;46, 46 to &lt;69, and ≥69 ethanol g/day); women: nondrinker, occasional drinker and current drinker (&lt;23 and ≥23 ethanol g/day)], and history of diabetes.</w:t>
            </w:r>
          </w:p>
        </w:tc>
      </w:tr>
      <w:tr w:rsidR="00680D9C" w:rsidRPr="00680D9C" w:rsidTr="00BE7659">
        <w:trPr>
          <w:trHeight w:val="64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3. Model 3 was adjusted for age, area, BMI (&lt; 23, 23 to &lt;25, and ≥25 kg/m</w:t>
            </w:r>
            <w:r w:rsidRPr="008F3ED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), alcohol consumption [men: nondrinker, occasional drinker (less than once a week), and current drinker (&lt;23, 23 to &lt;46, 46 to &lt;69, and ≥69 ethanol g/day); women: nondrinker, occasional drinker and current drinker (&lt;23 and ≥23 ethanol g/day)], history of diabetes, ETS during childhood, and ETS at home and/or at work. We excluded TAKAYAMA and LSS in which no information on ETS was available.</w:t>
            </w:r>
          </w:p>
        </w:tc>
      </w:tr>
      <w:tr w:rsidR="00680D9C" w:rsidRPr="00680D9C" w:rsidTr="00BE7659">
        <w:trPr>
          <w:trHeight w:val="3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4. HRs values in bold show statistical significance</w:t>
            </w:r>
            <w:bookmarkStart w:id="0" w:name="OLE_LINK30"/>
            <w:bookmarkStart w:id="1" w:name="OLE_LINK31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(</w:t>
            </w:r>
            <w:r w:rsidR="00060FD4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&lt; 0.05)</w:t>
            </w:r>
            <w:bookmarkEnd w:id="0"/>
            <w:bookmarkEnd w:id="1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.</w:t>
            </w:r>
          </w:p>
        </w:tc>
      </w:tr>
      <w:tr w:rsidR="00680D9C" w:rsidRPr="00680D9C" w:rsidTr="00BE7659">
        <w:trPr>
          <w:trHeight w:val="3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5. Between-study heterogeneity was evaluated using the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Q-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statistic and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I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statistic.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Q-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statistic was considered as statistically significant when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&lt;0.10; 0% of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I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statistic represented no heterogeneity.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Q-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statistics were not statistically significant in all risk estimates. 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I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-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statistics were 0% in all risk estimates except those for male former smoking (model 1, 2.5%; model 3, 1.6%).</w:t>
            </w:r>
          </w:p>
        </w:tc>
      </w:tr>
      <w:tr w:rsidR="00680D9C" w:rsidRPr="00680D9C" w:rsidTr="00BE7659">
        <w:trPr>
          <w:trHeight w:val="3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BMI, body mass index; ETS, environmental tobacco smoke; </w:t>
            </w:r>
            <w:r w:rsidRPr="00680D9C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JPHC, Japan Public Health Center-based Prospective Study; JACC, Japan Collaborative Cohort Study; TAKAYAMA, </w:t>
            </w:r>
            <w:proofErr w:type="spellStart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Takayama</w:t>
            </w:r>
            <w:proofErr w:type="spellEnd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Study;</w:t>
            </w:r>
            <w:r w:rsidRPr="00680D9C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LSS, </w:t>
            </w:r>
            <w:r w:rsidRPr="00680D9C">
              <w:rPr>
                <w:rFonts w:ascii="Times New Roman" w:eastAsia="ＭＳ Ｐゴシック" w:hAnsi="Times New Roman" w:cs="Times New Roman"/>
                <w:bCs/>
                <w:kern w:val="0"/>
                <w:sz w:val="16"/>
                <w:szCs w:val="16"/>
              </w:rPr>
              <w:t>Life Span Study</w:t>
            </w:r>
          </w:p>
        </w:tc>
      </w:tr>
    </w:tbl>
    <w:p w:rsidR="006D77E9" w:rsidRPr="00680D9C" w:rsidRDefault="006D77E9">
      <w:pPr>
        <w:sectPr w:rsidR="006D77E9" w:rsidRPr="00680D9C" w:rsidSect="006D77E9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tblpY="1"/>
        <w:tblOverlap w:val="never"/>
        <w:tblW w:w="11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4"/>
        <w:gridCol w:w="463"/>
        <w:gridCol w:w="1940"/>
        <w:gridCol w:w="963"/>
        <w:gridCol w:w="1398"/>
        <w:gridCol w:w="1398"/>
        <w:gridCol w:w="218"/>
        <w:gridCol w:w="963"/>
        <w:gridCol w:w="1558"/>
        <w:gridCol w:w="1398"/>
      </w:tblGrid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lastRenderedPageBreak/>
              <w:t>Supplementary table 2.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Hazard ratios (HRs) and 95% confidence intervals (CIs) for pancreatic cancer risk according to smoking status in strata of environmental tobacco smoke (ETS) exposure. A pooled analysis of ten population-based cohort studies in Japan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9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S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moking status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bookmarkStart w:id="2" w:name="RANGE!A2:R24"/>
            <w:bookmarkEnd w:id="2"/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Males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Females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Never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Former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Current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Never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Former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Current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ETS during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br/>
              <w:t>childhood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12131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10005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20180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46880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735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2373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170675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130129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268032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684951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9127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31321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18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47.6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29.1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76.7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57.5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1.35 (0.92-1.98)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1.63 (1.16-2.27)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14.55 (5.80-36.51)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3.05 (1.84-5.06)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17322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22647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57175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89606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2337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8942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236129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287475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745048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1206942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26663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109580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49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41.4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47.6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56.3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44.7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0.98 (0.73-1.32)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1.47 (1.14-1.89)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1.86 (1.10-3.14)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1.65 (1.14-2.40)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ETS at home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br/>
              <w:t>and/or at work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11528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16770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46159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955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2076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151807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143061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210637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658869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11193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25778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13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32.9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51.7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32.2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71.5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50.4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1.21 (0.73-2.00)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1.78 (1.22-2.61)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2.50 (1.17-5.33)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2.40 (1.32-4.36)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17164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19677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55147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83060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2028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8681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240082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259074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729045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1132736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23821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107960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45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39.0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45.5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26.4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54.6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41.7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1.10 (0.76-1.59)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1.58 (1.20-2.08)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2.28 (1.29-4.03)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2.04 (1.48-2.82)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 Model 2 was adjusted for age, area (for multicentric studies, namely JPHC-I, JPHC-II, JACC, and LSS), BMI (&lt;23, 23 to &lt;25, and ≥25 kg/m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), alcohol consumption [men: nondrinker, occasional drinker (less than once a week), and current drinker (&lt;23, 23 to &lt;46, 46 to &lt;69, and ≥69 ethanol g/day); women: nondrinker, occasional drinker and current drinker (&lt;23 and ≥23 ethanol g/day)], and history of diabetes. We excluded TAKAYAMA and LSS in which no information on ETS was available.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left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 HRs values in bold show statistical significance (</w:t>
            </w:r>
            <w:r w:rsidR="00060FD4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&lt; 0.05).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left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Times New Roman" w:hAnsi="Times New Roman" w:cs="Times New Roman" w:hint="eastAsia"/>
                <w:kern w:val="0"/>
                <w:sz w:val="16"/>
                <w:szCs w:val="16"/>
              </w:rPr>
              <w:t>B</w:t>
            </w:r>
            <w:r w:rsidRPr="00680D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MI, body mass index; JPHC, Japan Public Health Center-based Prospective Study; JACC, Japan Collaborative Cohort Study; TAKAYAMA, </w:t>
            </w:r>
            <w:proofErr w:type="spellStart"/>
            <w:r w:rsidRPr="00680D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Takayama</w:t>
            </w:r>
            <w:proofErr w:type="spellEnd"/>
            <w:r w:rsidRPr="00680D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Study; LSS, </w:t>
            </w:r>
            <w:r w:rsidRPr="00680D9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>Life Span Study</w:t>
            </w:r>
          </w:p>
        </w:tc>
      </w:tr>
    </w:tbl>
    <w:p w:rsidR="006D77E9" w:rsidRPr="00680D9C" w:rsidRDefault="006D77E9"/>
    <w:p w:rsidR="006D77E9" w:rsidRPr="00680D9C" w:rsidRDefault="006D77E9">
      <w:pPr>
        <w:widowControl/>
        <w:jc w:val="left"/>
      </w:pPr>
      <w:r w:rsidRPr="00680D9C">
        <w:br w:type="page"/>
      </w:r>
    </w:p>
    <w:tbl>
      <w:tblPr>
        <w:tblpPr w:leftFromText="142" w:rightFromText="142" w:vertAnchor="text" w:tblpY="1"/>
        <w:tblOverlap w:val="never"/>
        <w:tblW w:w="11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4"/>
        <w:gridCol w:w="463"/>
        <w:gridCol w:w="1940"/>
        <w:gridCol w:w="963"/>
        <w:gridCol w:w="1398"/>
        <w:gridCol w:w="1398"/>
        <w:gridCol w:w="218"/>
        <w:gridCol w:w="963"/>
        <w:gridCol w:w="1558"/>
        <w:gridCol w:w="1398"/>
      </w:tblGrid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lastRenderedPageBreak/>
              <w:t>Supplementary table 3.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Hazard ratios (HRs) and 95% confidence intervals (CIs) for pancreatic cancer risk according to cumulative smoking exposure in strata of environmental tobacco smoke (ETS) exposure. A pooled analysis of ten population-based cohort studies in Japan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9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Cumulative smoking exposure by pack-years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Males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Females</w:t>
            </w:r>
          </w:p>
        </w:tc>
      </w:tr>
      <w:tr w:rsidR="00680D9C" w:rsidRPr="00680D9C" w:rsidTr="00BE7659">
        <w:trPr>
          <w:trHeight w:val="320"/>
        </w:trPr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&gt;0 to 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&gt;20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&gt;0 to 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&gt;20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ETS during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br/>
              <w:t>childhood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12131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8647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21250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46880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2280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773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170675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119108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275614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684951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30589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9316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29.1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45.8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96.6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(0.63-1.58)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1.71 (1.23-2.38)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2.99 (1.36-6.56)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5.96 (2.98-11.93)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17322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18687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59898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89606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7704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3291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236129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252109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765403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1206942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95520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37197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30.5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51.1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1.07 (0.77-1.49)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1.38 (1.07-1.78)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1.70 (1.21-2.39)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1.61 (0.99-2.63)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ETS at home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br/>
              <w:t>and/or at work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8233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19730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46159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864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151807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106697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243277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658869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26288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9948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32.9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37.5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54.3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32.2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53.3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70.4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1.28 (0.80-2.05)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1.60 (1.04-2.44)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2.27 (1.27-4.04)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2.73 (1.24-6.02)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subjects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17164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17982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56186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83060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7508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3024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Person-years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240082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249627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730371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1132736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95119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34532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Number of cases (</w:t>
            </w:r>
            <w:r w:rsidRPr="00680D9C">
              <w:rPr>
                <w:rFonts w:ascii="Times New Roman" w:eastAsia="ＭＳ Ｐゴシック" w:hAnsi="Times New Roman" w:cs="Times New Roman"/>
                <w:i/>
                <w:iCs/>
                <w:kern w:val="0"/>
                <w:sz w:val="16"/>
                <w:szCs w:val="16"/>
              </w:rPr>
              <w:t>N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Crude rate (per 100,000)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29.2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49.4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26.4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42.1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57.9</w:t>
            </w:r>
          </w:p>
        </w:tc>
      </w:tr>
      <w:tr w:rsidR="00680D9C" w:rsidRPr="00680D9C" w:rsidTr="00BE7659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HR (model 2) Overall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1.02 (0.72-1.45)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1.58 (1.19-2.08)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1.88 (1.32-2.67)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E9" w:rsidRPr="00680D9C" w:rsidRDefault="006D77E9" w:rsidP="006D77E9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  <w:t>2.65 (1.66-4.23)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 Model 2 was adjusted for age, area (for multicentric studies, namely JPHC-I, JPHC-II, JACC, and LSS), BMI (&lt;23, 23 to &lt;25, and ≥25 kg/m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vertAlign w:val="superscript"/>
              </w:rPr>
              <w:t>2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), alcohol consumption [men: nondrinker, occasional drinker (less than once a week), and current drinker (&lt;23, 23 to &lt;46, 46 to &lt;69, and ≥69 ethanol g/day); women: nondrinker, occasional drinker and current drinker (&lt;23 and ≥23 ethanol g/day)], and history of diabetes. We excluded TAKAYAMA and LSS in which no information on ETS was available.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 HRs values in bold show statistical significance (</w:t>
            </w:r>
            <w:bookmarkStart w:id="3" w:name="_GoBack"/>
            <w:r w:rsidR="00060FD4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bookmarkEnd w:id="3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&lt; 0.05).</w:t>
            </w:r>
          </w:p>
        </w:tc>
      </w:tr>
      <w:tr w:rsidR="00680D9C" w:rsidRPr="00680D9C" w:rsidTr="00BE7659">
        <w:trPr>
          <w:trHeight w:val="320"/>
        </w:trPr>
        <w:tc>
          <w:tcPr>
            <w:tcW w:w="11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7E9" w:rsidRPr="00680D9C" w:rsidRDefault="006D77E9" w:rsidP="006D77E9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80D9C">
              <w:rPr>
                <w:rFonts w:ascii="Times New Roman" w:eastAsia="Times New Roman" w:hAnsi="Times New Roman" w:cs="Times New Roman" w:hint="eastAsia"/>
                <w:kern w:val="0"/>
                <w:sz w:val="16"/>
                <w:szCs w:val="16"/>
              </w:rPr>
              <w:t>B</w:t>
            </w:r>
            <w:r w:rsidRPr="00680D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MI, body mass index; </w:t>
            </w:r>
            <w:r w:rsidRPr="00680D9C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JPHC, Japan Public Health Center-based Prospective Study; JACC, Japan Collaborative Cohort Study; TAKAYAMA, </w:t>
            </w:r>
            <w:proofErr w:type="spellStart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Takayama</w:t>
            </w:r>
            <w:proofErr w:type="spellEnd"/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Study;</w:t>
            </w:r>
            <w:r w:rsidRPr="00680D9C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80D9C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LSS, </w:t>
            </w:r>
            <w:r w:rsidRPr="00680D9C">
              <w:rPr>
                <w:rFonts w:ascii="Times New Roman" w:eastAsia="ＭＳ Ｐゴシック" w:hAnsi="Times New Roman" w:cs="Times New Roman"/>
                <w:bCs/>
                <w:kern w:val="0"/>
                <w:sz w:val="16"/>
                <w:szCs w:val="16"/>
              </w:rPr>
              <w:t>Life Span Study</w:t>
            </w:r>
          </w:p>
        </w:tc>
      </w:tr>
    </w:tbl>
    <w:p w:rsidR="00964730" w:rsidRPr="00680D9C" w:rsidRDefault="00964730"/>
    <w:sectPr w:rsidR="00964730" w:rsidRPr="00680D9C" w:rsidSect="006D77E9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E9"/>
    <w:rsid w:val="00060FD4"/>
    <w:rsid w:val="00063DB4"/>
    <w:rsid w:val="000906CB"/>
    <w:rsid w:val="000F1207"/>
    <w:rsid w:val="00151C18"/>
    <w:rsid w:val="00165042"/>
    <w:rsid w:val="00183FDC"/>
    <w:rsid w:val="00280964"/>
    <w:rsid w:val="002F1255"/>
    <w:rsid w:val="00314F76"/>
    <w:rsid w:val="00317216"/>
    <w:rsid w:val="003F5E98"/>
    <w:rsid w:val="00442533"/>
    <w:rsid w:val="00454764"/>
    <w:rsid w:val="004D00CE"/>
    <w:rsid w:val="00622350"/>
    <w:rsid w:val="006265CD"/>
    <w:rsid w:val="00680D9C"/>
    <w:rsid w:val="006A57AE"/>
    <w:rsid w:val="006D77E9"/>
    <w:rsid w:val="00821667"/>
    <w:rsid w:val="008B3C69"/>
    <w:rsid w:val="008C0DC7"/>
    <w:rsid w:val="008C2060"/>
    <w:rsid w:val="008E0C16"/>
    <w:rsid w:val="008F3EDD"/>
    <w:rsid w:val="00964730"/>
    <w:rsid w:val="00A44996"/>
    <w:rsid w:val="00A65269"/>
    <w:rsid w:val="00AE5302"/>
    <w:rsid w:val="00B36D23"/>
    <w:rsid w:val="00B4329F"/>
    <w:rsid w:val="00BA522D"/>
    <w:rsid w:val="00BC390A"/>
    <w:rsid w:val="00BD02DF"/>
    <w:rsid w:val="00C106BF"/>
    <w:rsid w:val="00C63840"/>
    <w:rsid w:val="00C7007F"/>
    <w:rsid w:val="00CA7202"/>
    <w:rsid w:val="00CB777C"/>
    <w:rsid w:val="00CB7AD1"/>
    <w:rsid w:val="00CD3728"/>
    <w:rsid w:val="00D3793B"/>
    <w:rsid w:val="00E11B77"/>
    <w:rsid w:val="00E478BE"/>
    <w:rsid w:val="00E55481"/>
    <w:rsid w:val="00F634B5"/>
    <w:rsid w:val="00F76D0A"/>
    <w:rsid w:val="00F87169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79B34-5F46-3248-90AB-157FAA4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D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FD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Koyanagi</dc:creator>
  <cp:keywords/>
  <dc:description/>
  <cp:lastModifiedBy>YNKOYANAGI</cp:lastModifiedBy>
  <cp:revision>2</cp:revision>
  <dcterms:created xsi:type="dcterms:W3CDTF">2019-04-24T04:39:00Z</dcterms:created>
  <dcterms:modified xsi:type="dcterms:W3CDTF">2019-04-24T04:39:00Z</dcterms:modified>
</cp:coreProperties>
</file>