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EC72" w14:textId="77777777" w:rsidR="00486545" w:rsidRPr="00304528" w:rsidRDefault="00486545" w:rsidP="00486545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8D606C">
        <w:rPr>
          <w:b/>
          <w:sz w:val="24"/>
          <w:szCs w:val="24"/>
        </w:rPr>
        <w:t>Methods and Analysis</w:t>
      </w:r>
    </w:p>
    <w:p w14:paraId="1C8595FA" w14:textId="77777777" w:rsidR="00486545" w:rsidRDefault="00486545" w:rsidP="0048654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</w:p>
    <w:p w14:paraId="4BD75303" w14:textId="77777777" w:rsidR="00486545" w:rsidRPr="00140FEE" w:rsidRDefault="00486545" w:rsidP="00486545">
      <w:pPr>
        <w:autoSpaceDE w:val="0"/>
        <w:autoSpaceDN w:val="0"/>
        <w:adjustRightInd w:val="0"/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Gene expression data</w:t>
      </w:r>
    </w:p>
    <w:p w14:paraId="1E9886F7" w14:textId="5F6B2AB4" w:rsidR="00486545" w:rsidRDefault="00366419" w:rsidP="003664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 w:rsidRPr="00366419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 xml:space="preserve">RNA was extracted from multiple FFPE cores of 1 or 1.5 mm taken from pathologists’ annotated regions of tumor (n=1-3 cores) or histologically normal tumor-adjacent tissue (n=3-5 cores). </w:t>
      </w:r>
      <w:r w:rsidR="00527B13" w:rsidRPr="00366419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Tumor-adjacent tissue was obtained greater than one centimeter from the invasive carcinoma whenever possible; a minimum of approximately 2</w:t>
      </w:r>
      <w:r w:rsidRPr="00366419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="00527B13" w:rsidRPr="00366419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mm between tumor and histologically normal tumor-adjacent tissue was permitted.</w:t>
      </w:r>
      <w:r w:rsidR="00527B13" w:rsidRPr="0036641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27B13" w:rsidRPr="00366419">
        <w:rPr>
          <w:sz w:val="24"/>
          <w:szCs w:val="24"/>
          <w:highlight w:val="yellow"/>
        </w:rPr>
        <w:t>Selected areas of tumor-adjacent normal tissue were required to be truly histologically-normal appearing (i.e. no lesser degrees of atypia or proliferative/metaplastic alterations were permitted in the area designated normal).</w:t>
      </w:r>
      <w:r w:rsidR="00527B13">
        <w:rPr>
          <w:sz w:val="24"/>
        </w:rPr>
        <w:t xml:space="preserve"> </w:t>
      </w:r>
      <w:r w:rsidR="00486545" w:rsidRPr="008D606C">
        <w:rPr>
          <w:sz w:val="24"/>
          <w:szCs w:val="24"/>
        </w:rPr>
        <w:t xml:space="preserve">RNA was extracted </w:t>
      </w:r>
      <w:r w:rsidR="00486545">
        <w:rPr>
          <w:sz w:val="24"/>
          <w:szCs w:val="24"/>
        </w:rPr>
        <w:t xml:space="preserve">using the </w:t>
      </w:r>
      <w:r w:rsidR="00486545" w:rsidRPr="008D606C">
        <w:rPr>
          <w:sz w:val="24"/>
          <w:szCs w:val="24"/>
        </w:rPr>
        <w:t xml:space="preserve">AllPrep DNA/RNA </w:t>
      </w:r>
      <w:r w:rsidR="008F6E63">
        <w:rPr>
          <w:sz w:val="24"/>
          <w:szCs w:val="24"/>
        </w:rPr>
        <w:t xml:space="preserve">FFPE Kit (Qiagen, Valencia, CA); </w:t>
      </w:r>
      <w:r w:rsidR="0023081C">
        <w:rPr>
          <w:sz w:val="24"/>
          <w:szCs w:val="24"/>
          <w:highlight w:val="yellow"/>
        </w:rPr>
        <w:t>50ng of RNA was</w:t>
      </w:r>
      <w:r w:rsidR="008F6E63" w:rsidRPr="008F6E63">
        <w:rPr>
          <w:sz w:val="24"/>
          <w:szCs w:val="24"/>
          <w:highlight w:val="yellow"/>
        </w:rPr>
        <w:t xml:space="preserve"> sent to the microarray facility.</w:t>
      </w:r>
      <w:r w:rsidR="00486545">
        <w:rPr>
          <w:sz w:val="24"/>
          <w:szCs w:val="24"/>
        </w:rPr>
        <w:t xml:space="preserve"> Gene expression data were obtained using microarrays performed in 2012-2014 and 2015-2018 by the </w:t>
      </w:r>
      <w:r w:rsidR="00486545" w:rsidRPr="006C3BF5">
        <w:rPr>
          <w:rFonts w:eastAsia="Calibri"/>
          <w:sz w:val="24"/>
          <w:szCs w:val="24"/>
          <w:lang w:eastAsia="en-US"/>
        </w:rPr>
        <w:t>Molecular Biology Core Facilities</w:t>
      </w:r>
      <w:r w:rsidR="00486545" w:rsidRPr="008D606C">
        <w:rPr>
          <w:sz w:val="24"/>
          <w:szCs w:val="24"/>
        </w:rPr>
        <w:t>, Dana-Farb</w:t>
      </w:r>
      <w:r w:rsidR="00486545">
        <w:rPr>
          <w:sz w:val="24"/>
          <w:szCs w:val="24"/>
        </w:rPr>
        <w:t>er Cancer Institute, Boston, MA. The microarrays between 2012 and 2014</w:t>
      </w:r>
      <w:r w:rsidR="00486545" w:rsidRPr="008D606C">
        <w:rPr>
          <w:sz w:val="24"/>
          <w:szCs w:val="24"/>
        </w:rPr>
        <w:t xml:space="preserve"> </w:t>
      </w:r>
      <w:r w:rsidR="00486545">
        <w:rPr>
          <w:sz w:val="24"/>
          <w:szCs w:val="24"/>
        </w:rPr>
        <w:t xml:space="preserve">were performed using the </w:t>
      </w:r>
      <w:r w:rsidR="00486545" w:rsidRPr="008D606C">
        <w:rPr>
          <w:rFonts w:cs="Arial"/>
          <w:sz w:val="24"/>
          <w:szCs w:val="24"/>
        </w:rPr>
        <w:t xml:space="preserve">WT-Ovation® FFPE </w:t>
      </w:r>
      <w:r w:rsidR="00486545">
        <w:rPr>
          <w:rFonts w:cs="Arial"/>
          <w:sz w:val="24"/>
          <w:szCs w:val="24"/>
        </w:rPr>
        <w:t xml:space="preserve">WTA </w:t>
      </w:r>
      <w:r w:rsidR="00486545" w:rsidRPr="008D606C">
        <w:rPr>
          <w:rFonts w:cs="Arial"/>
          <w:sz w:val="24"/>
          <w:szCs w:val="24"/>
        </w:rPr>
        <w:t>System</w:t>
      </w:r>
      <w:r w:rsidR="00486545">
        <w:rPr>
          <w:rFonts w:cs="Arial"/>
          <w:sz w:val="24"/>
          <w:szCs w:val="24"/>
        </w:rPr>
        <w:t xml:space="preserve"> </w:t>
      </w:r>
      <w:r w:rsidR="00486545" w:rsidRPr="004327A1">
        <w:rPr>
          <w:rFonts w:cs="Arial"/>
          <w:sz w:val="24"/>
          <w:szCs w:val="24"/>
        </w:rPr>
        <w:t>amplification kits (NuGEN, San Carlos, CA) and Glue Grant Human Transcriptome Arrays (HTA 3.0 pre-release version; Affymetrix, Santa Clara, CA)</w:t>
      </w:r>
      <w:r w:rsidR="00486545">
        <w:rPr>
          <w:sz w:val="24"/>
          <w:szCs w:val="24"/>
        </w:rPr>
        <w:t xml:space="preserve">. </w:t>
      </w:r>
      <w:r w:rsidR="00486545">
        <w:rPr>
          <w:rFonts w:cs="Arial"/>
          <w:sz w:val="24"/>
          <w:szCs w:val="24"/>
        </w:rPr>
        <w:t xml:space="preserve">Microarrays between 2015 and 2018 were performed using the </w:t>
      </w:r>
      <w:r w:rsidR="00486545" w:rsidRPr="004327A1">
        <w:rPr>
          <w:rFonts w:cs="Arial"/>
          <w:sz w:val="24"/>
          <w:szCs w:val="24"/>
        </w:rPr>
        <w:t xml:space="preserve">Genisphere® Sensation™ (NuGEN) or GeneChip® WT Pico (Affymetrix) amplification kits and Affymetrix HTA 2.0 </w:t>
      </w:r>
      <w:r w:rsidR="00486545">
        <w:rPr>
          <w:rFonts w:cs="Arial"/>
          <w:sz w:val="24"/>
          <w:szCs w:val="24"/>
        </w:rPr>
        <w:t>arrays</w:t>
      </w:r>
      <w:r w:rsidR="00486545" w:rsidRPr="004327A1">
        <w:rPr>
          <w:rFonts w:cs="Arial"/>
          <w:sz w:val="24"/>
          <w:szCs w:val="24"/>
        </w:rPr>
        <w:t xml:space="preserve">. All </w:t>
      </w:r>
      <w:r w:rsidR="00486545">
        <w:rPr>
          <w:rFonts w:cs="Arial"/>
          <w:sz w:val="24"/>
          <w:szCs w:val="24"/>
        </w:rPr>
        <w:t xml:space="preserve">microarrays </w:t>
      </w:r>
      <w:r w:rsidR="00486545" w:rsidRPr="004327A1">
        <w:rPr>
          <w:rFonts w:cs="Arial"/>
          <w:sz w:val="24"/>
          <w:szCs w:val="24"/>
        </w:rPr>
        <w:t>were scanned with the GeneChip® Scanner 3000 7G (Affymetrix).</w:t>
      </w:r>
      <w:r w:rsidR="00486545" w:rsidRPr="00CB4443">
        <w:rPr>
          <w:sz w:val="24"/>
          <w:szCs w:val="24"/>
        </w:rPr>
        <w:t xml:space="preserve"> </w:t>
      </w:r>
    </w:p>
    <w:p w14:paraId="5C7E6248" w14:textId="77777777" w:rsidR="00486545" w:rsidRDefault="00486545" w:rsidP="0048654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</w:p>
    <w:p w14:paraId="778D58F7" w14:textId="77777777" w:rsidR="00486545" w:rsidRDefault="00486545" w:rsidP="0048654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 w:rsidRPr="008D606C">
        <w:rPr>
          <w:sz w:val="24"/>
          <w:szCs w:val="24"/>
        </w:rPr>
        <w:t xml:space="preserve">Gene expression </w:t>
      </w:r>
      <w:r>
        <w:rPr>
          <w:sz w:val="24"/>
          <w:szCs w:val="24"/>
        </w:rPr>
        <w:t xml:space="preserve">data were </w:t>
      </w:r>
      <w:r w:rsidRPr="008D606C">
        <w:rPr>
          <w:sz w:val="24"/>
          <w:szCs w:val="24"/>
        </w:rPr>
        <w:t xml:space="preserve">normalized, summarized into </w:t>
      </w:r>
      <w:r>
        <w:rPr>
          <w:sz w:val="24"/>
          <w:szCs w:val="24"/>
        </w:rPr>
        <w:t>l</w:t>
      </w:r>
      <w:r w:rsidRPr="008D606C">
        <w:rPr>
          <w:sz w:val="24"/>
          <w:szCs w:val="24"/>
        </w:rPr>
        <w:t>og</w:t>
      </w:r>
      <w:r w:rsidRPr="008D606C">
        <w:rPr>
          <w:sz w:val="24"/>
          <w:szCs w:val="24"/>
          <w:vertAlign w:val="subscript"/>
        </w:rPr>
        <w:t>2</w:t>
      </w:r>
      <w:r w:rsidRPr="008D606C">
        <w:rPr>
          <w:sz w:val="24"/>
          <w:szCs w:val="24"/>
        </w:rPr>
        <w:t xml:space="preserve"> values using Robust Multi-ar</w:t>
      </w:r>
      <w:r>
        <w:rPr>
          <w:sz w:val="24"/>
          <w:szCs w:val="24"/>
        </w:rPr>
        <w:t>ray Average (RMA) and annotated.</w:t>
      </w:r>
      <w:r w:rsidRPr="008D606C">
        <w:rPr>
          <w:sz w:val="24"/>
          <w:szCs w:val="24"/>
        </w:rPr>
        <w:t xml:space="preserve"> Sample quality was evaluated using </w:t>
      </w:r>
      <w:r w:rsidRPr="00CB4443">
        <w:rPr>
          <w:sz w:val="24"/>
          <w:szCs w:val="24"/>
        </w:rPr>
        <w:t xml:space="preserve">Affymetrix Power </w:t>
      </w:r>
      <w:r w:rsidRPr="00CB4443">
        <w:rPr>
          <w:sz w:val="24"/>
          <w:szCs w:val="24"/>
        </w:rPr>
        <w:lastRenderedPageBreak/>
        <w:t>Tools</w:t>
      </w:r>
      <w:r w:rsidRPr="008D606C">
        <w:rPr>
          <w:sz w:val="24"/>
          <w:szCs w:val="24"/>
        </w:rPr>
        <w:t xml:space="preserve"> probeset summarization based metrics</w:t>
      </w:r>
      <w:r>
        <w:rPr>
          <w:sz w:val="24"/>
          <w:szCs w:val="24"/>
        </w:rPr>
        <w:t>, including the area under the curve (AUC) that plots the detection of positive control probes</w:t>
      </w:r>
      <w:r w:rsidRPr="0090783E">
        <w:rPr>
          <w:sz w:val="24"/>
          <w:szCs w:val="24"/>
        </w:rPr>
        <w:t xml:space="preserve"> against the false detection of negative controls</w:t>
      </w:r>
      <w:r w:rsidRPr="008D606C">
        <w:rPr>
          <w:sz w:val="24"/>
          <w:szCs w:val="24"/>
        </w:rPr>
        <w:t>. Due to the lower quality nature of FFPE samples, samples with AUC of &gt;0.55</w:t>
      </w:r>
      <w:r>
        <w:rPr>
          <w:sz w:val="24"/>
          <w:szCs w:val="24"/>
        </w:rPr>
        <w:t xml:space="preserve"> were retained and another round of </w:t>
      </w:r>
      <w:r w:rsidRPr="008D606C">
        <w:rPr>
          <w:sz w:val="24"/>
          <w:szCs w:val="24"/>
        </w:rPr>
        <w:t xml:space="preserve">quality control using arrayQualityMetrics </w:t>
      </w:r>
      <w:r>
        <w:rPr>
          <w:sz w:val="24"/>
          <w:szCs w:val="24"/>
        </w:rPr>
        <w:t xml:space="preserve">(2012-2014 </w:t>
      </w:r>
      <w:r w:rsidRPr="008D606C">
        <w:rPr>
          <w:sz w:val="24"/>
          <w:szCs w:val="24"/>
        </w:rPr>
        <w:t>v3.24.0</w:t>
      </w:r>
      <w:r>
        <w:rPr>
          <w:sz w:val="24"/>
          <w:szCs w:val="24"/>
        </w:rPr>
        <w:t>; 2015-2018</w:t>
      </w:r>
      <w:r w:rsidRPr="008D606C">
        <w:rPr>
          <w:sz w:val="24"/>
          <w:szCs w:val="24"/>
        </w:rPr>
        <w:t xml:space="preserve"> </w:t>
      </w:r>
      <w:r>
        <w:rPr>
          <w:sz w:val="24"/>
          <w:szCs w:val="24"/>
        </w:rPr>
        <w:t>v3.32.0) was carried out</w:t>
      </w:r>
      <w:r w:rsidRPr="008D606C">
        <w:rPr>
          <w:sz w:val="24"/>
          <w:szCs w:val="24"/>
        </w:rPr>
        <w:t xml:space="preserve">. </w:t>
      </w:r>
      <w:r>
        <w:rPr>
          <w:sz w:val="24"/>
          <w:szCs w:val="24"/>
        </w:rPr>
        <w:t>In total, 1577</w:t>
      </w:r>
      <w:r w:rsidRPr="002C6CC5">
        <w:rPr>
          <w:sz w:val="24"/>
          <w:szCs w:val="24"/>
        </w:rPr>
        <w:t xml:space="preserve"> microarrays </w:t>
      </w:r>
      <w:r>
        <w:rPr>
          <w:sz w:val="24"/>
          <w:szCs w:val="24"/>
        </w:rPr>
        <w:t xml:space="preserve">from 954 women </w:t>
      </w:r>
      <w:r w:rsidRPr="002C6CC5">
        <w:rPr>
          <w:sz w:val="24"/>
          <w:szCs w:val="24"/>
        </w:rPr>
        <w:t>passed quality control</w:t>
      </w:r>
      <w:r>
        <w:rPr>
          <w:sz w:val="24"/>
          <w:szCs w:val="24"/>
        </w:rPr>
        <w:t xml:space="preserve">. All microarrays and sample information are available </w:t>
      </w:r>
      <w:r w:rsidRPr="008D606C">
        <w:rPr>
          <w:sz w:val="24"/>
          <w:szCs w:val="24"/>
        </w:rPr>
        <w:t xml:space="preserve">at the National Center for Biotechnology Information Gene Expression Omnibus </w:t>
      </w:r>
      <w:r w:rsidRPr="00930FA8">
        <w:rPr>
          <w:sz w:val="24"/>
          <w:szCs w:val="24"/>
        </w:rPr>
        <w:t xml:space="preserve">(accession number: </w:t>
      </w:r>
      <w:r w:rsidRPr="000E52E3">
        <w:rPr>
          <w:sz w:val="24"/>
          <w:szCs w:val="24"/>
        </w:rPr>
        <w:t>GSE115577</w:t>
      </w:r>
      <w:r w:rsidRPr="00930FA8">
        <w:rPr>
          <w:sz w:val="24"/>
          <w:szCs w:val="24"/>
        </w:rPr>
        <w:t>).</w:t>
      </w:r>
    </w:p>
    <w:p w14:paraId="049B02C1" w14:textId="77777777" w:rsidR="00486545" w:rsidRDefault="00486545" w:rsidP="0048654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</w:p>
    <w:p w14:paraId="49C565E1" w14:textId="77777777" w:rsidR="00EA627D" w:rsidRDefault="00EA627D" w:rsidP="00EA627D">
      <w:pPr>
        <w:autoSpaceDE w:val="0"/>
        <w:autoSpaceDN w:val="0"/>
        <w:adjustRightInd w:val="0"/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Molecular subtyping by PAM50 using the modified median gene centering pre-processing method</w:t>
      </w:r>
    </w:p>
    <w:p w14:paraId="34E23252" w14:textId="5ECBADAD" w:rsidR="00EA627D" w:rsidRDefault="00EA627D" w:rsidP="00EA62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 process was carried out separately for tumor and tumor-adjacent samples. T</w:t>
      </w:r>
      <w:r w:rsidRPr="0071302B">
        <w:rPr>
          <w:sz w:val="24"/>
          <w:szCs w:val="24"/>
        </w:rPr>
        <w:t>he</w:t>
      </w:r>
      <w:r>
        <w:rPr>
          <w:sz w:val="24"/>
          <w:szCs w:val="24"/>
        </w:rPr>
        <w:t xml:space="preserve"> original</w:t>
      </w:r>
      <w:r w:rsidRPr="0071302B">
        <w:rPr>
          <w:sz w:val="24"/>
          <w:szCs w:val="24"/>
        </w:rPr>
        <w:t xml:space="preserve"> training </w:t>
      </w:r>
      <w:r>
        <w:rPr>
          <w:sz w:val="24"/>
          <w:szCs w:val="24"/>
        </w:rPr>
        <w:t>set</w:t>
      </w:r>
      <w:r w:rsidRPr="00713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Parker </w:t>
      </w:r>
      <w:r w:rsidRPr="0071302B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 contained equal distribution of ER+ and ER- tumor samples. Thus, the ER distribution of the intended research cohort (i.e., NHS/NHSII) ought to match the original training set in Parker </w:t>
      </w:r>
      <w:r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 For tumor samples, we first created 100 random subsets where each subset contained 50% ER+ and 50% ER- samples. The average of 100 median expressions for each PAM50 gene was obtained. </w:t>
      </w:r>
      <w:r w:rsidR="001A606D">
        <w:rPr>
          <w:sz w:val="24"/>
          <w:szCs w:val="24"/>
        </w:rPr>
        <w:t>Modified median gene centering</w:t>
      </w:r>
      <w:r>
        <w:rPr>
          <w:sz w:val="24"/>
          <w:szCs w:val="24"/>
        </w:rPr>
        <w:t xml:space="preserve"> was performed by subtracting the calculated median expression for each PAM50 gene from all tumor samples. Researc</w:t>
      </w:r>
      <w:r w:rsidR="003C7F58">
        <w:rPr>
          <w:sz w:val="24"/>
          <w:szCs w:val="24"/>
        </w:rPr>
        <w:t>h-</w:t>
      </w:r>
      <w:r>
        <w:rPr>
          <w:sz w:val="24"/>
          <w:szCs w:val="24"/>
        </w:rPr>
        <w:t xml:space="preserve">based PAM50 subtyping was carried out adhering to Parker </w:t>
      </w:r>
      <w:r w:rsidRPr="001D7978">
        <w:rPr>
          <w:i/>
          <w:sz w:val="24"/>
          <w:szCs w:val="24"/>
        </w:rPr>
        <w:t>et al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For tumor-adjacent tissues, the median adjustment factors were calculated from tumors samples.  </w:t>
      </w:r>
    </w:p>
    <w:p w14:paraId="64B13580" w14:textId="77777777" w:rsidR="00EA627D" w:rsidRPr="00287FF2" w:rsidRDefault="00EA627D" w:rsidP="00EA627D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</w:p>
    <w:p w14:paraId="7D5E54CD" w14:textId="77777777" w:rsidR="00EA627D" w:rsidRPr="00A67DED" w:rsidRDefault="00EA627D" w:rsidP="00EA627D">
      <w:pPr>
        <w:autoSpaceDE w:val="0"/>
        <w:autoSpaceDN w:val="0"/>
        <w:adjustRightInd w:val="0"/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Molecular subtyping by PAM50 using the </w:t>
      </w:r>
      <w:r w:rsidRPr="00A67DED">
        <w:rPr>
          <w:i/>
          <w:sz w:val="24"/>
          <w:szCs w:val="24"/>
        </w:rPr>
        <w:t xml:space="preserve">subgroup-specific gene centering </w:t>
      </w:r>
      <w:r>
        <w:rPr>
          <w:i/>
          <w:sz w:val="24"/>
          <w:szCs w:val="24"/>
        </w:rPr>
        <w:t>pre-processing method</w:t>
      </w:r>
    </w:p>
    <w:p w14:paraId="26E82C7E" w14:textId="1D35E738" w:rsidR="00EA627D" w:rsidRDefault="00EA627D" w:rsidP="00EA62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Likewise, this process was carried out separately for tumor and tumor-adjacent samples. The median value for each PAM50 gene was calculated using the original Parker </w:t>
      </w:r>
      <w:r w:rsidRPr="0076552A">
        <w:rPr>
          <w:i/>
          <w:sz w:val="24"/>
          <w:szCs w:val="24"/>
        </w:rPr>
        <w:t>et al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training set (</w:t>
      </w:r>
      <w:r w:rsidRPr="0076552A">
        <w:rPr>
          <w:i/>
          <w:sz w:val="24"/>
          <w:szCs w:val="24"/>
        </w:rPr>
        <w:t>n</w:t>
      </w:r>
      <w:r>
        <w:rPr>
          <w:sz w:val="24"/>
          <w:szCs w:val="24"/>
        </w:rPr>
        <w:t>=189)</w:t>
      </w:r>
      <w:r w:rsidRPr="0076552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One hundred random subsets of the original training data were created to match the ER distribution in the NHS/NHSII cohorts (2012-2014: 78% ER+ among tumor samples and 80% ER+ among tumor-adjacent; 2015-2018: 85% ER+ among tumor samples and 82% ER+ among tumor-adjacent). Within each random subset, the </w:t>
      </w:r>
      <w:r w:rsidRPr="006E11CB">
        <w:rPr>
          <w:sz w:val="24"/>
          <w:szCs w:val="24"/>
        </w:rPr>
        <w:t>percentile</w:t>
      </w:r>
      <w:r>
        <w:rPr>
          <w:sz w:val="24"/>
          <w:szCs w:val="24"/>
        </w:rPr>
        <w:t xml:space="preserve"> that corresponded</w:t>
      </w:r>
      <w:r w:rsidRPr="006E11CB">
        <w:rPr>
          <w:sz w:val="24"/>
          <w:szCs w:val="24"/>
        </w:rPr>
        <w:t xml:space="preserve"> to </w:t>
      </w:r>
      <w:r>
        <w:rPr>
          <w:sz w:val="24"/>
          <w:szCs w:val="24"/>
        </w:rPr>
        <w:t>each PAM50 gene’s median value was obtained; the average of 100 percentiles was calculated. The expression value for each PAM50 gene corresponding to its average percentile in the NHS/NH</w:t>
      </w:r>
      <w:r w:rsidR="001A606D">
        <w:rPr>
          <w:sz w:val="24"/>
          <w:szCs w:val="24"/>
        </w:rPr>
        <w:t>SII cohorts was identified. Subgroup-specific gene centering</w:t>
      </w:r>
      <w:r>
        <w:rPr>
          <w:sz w:val="24"/>
          <w:szCs w:val="24"/>
        </w:rPr>
        <w:t xml:space="preserve"> was carried out by subtracting the identified gene expression value from all NHS/NHSII samples and research</w:t>
      </w:r>
      <w:r w:rsidR="00BF0DEE">
        <w:rPr>
          <w:sz w:val="24"/>
          <w:szCs w:val="24"/>
        </w:rPr>
        <w:t>-</w:t>
      </w:r>
      <w:r>
        <w:rPr>
          <w:sz w:val="24"/>
          <w:szCs w:val="24"/>
        </w:rPr>
        <w:t xml:space="preserve">based PAM50 classification was </w:t>
      </w:r>
      <w:r w:rsidR="00BF0DEE">
        <w:rPr>
          <w:sz w:val="24"/>
          <w:szCs w:val="24"/>
        </w:rPr>
        <w:t>performed</w:t>
      </w:r>
      <w:r>
        <w:rPr>
          <w:sz w:val="24"/>
          <w:szCs w:val="24"/>
        </w:rPr>
        <w:t>.</w:t>
      </w:r>
    </w:p>
    <w:p w14:paraId="33FFA688" w14:textId="77777777" w:rsidR="00EA627D" w:rsidRDefault="00EA627D" w:rsidP="00EA62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</w:p>
    <w:p w14:paraId="71A47131" w14:textId="77777777" w:rsidR="00EA627D" w:rsidRDefault="00EA627D" w:rsidP="00EA627D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Proliferation and ROR-PT scores</w:t>
      </w:r>
    </w:p>
    <w:p w14:paraId="4C975112" w14:textId="77777777" w:rsidR="00EA627D" w:rsidRPr="006C133D" w:rsidRDefault="00BF0DEE" w:rsidP="007D0E9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627D">
        <w:rPr>
          <w:sz w:val="24"/>
          <w:szCs w:val="24"/>
        </w:rPr>
        <w:t>PAM50 proliferation score is the average expression of 11 proliferation-related genes that are part of the PAM50 gene signature:</w:t>
      </w:r>
      <w:r w:rsidR="00EA627D" w:rsidRPr="006C3BF5">
        <w:rPr>
          <w:color w:val="000000"/>
          <w:sz w:val="24"/>
          <w:szCs w:val="24"/>
          <w:lang w:val="en-GB"/>
        </w:rPr>
        <w:t xml:space="preserve"> </w:t>
      </w:r>
      <w:r w:rsidR="00EA627D" w:rsidRPr="006C3BF5">
        <w:rPr>
          <w:i/>
          <w:color w:val="000000"/>
          <w:sz w:val="24"/>
          <w:szCs w:val="24"/>
          <w:lang w:val="en-GB"/>
        </w:rPr>
        <w:t xml:space="preserve">BIRC5, CCNB1, CDC20, CEP55, MKI67, NDC80, NUF2, PTTG1, RRM2, TYMS </w:t>
      </w:r>
      <w:r w:rsidR="00EA627D" w:rsidRPr="006C3BF5">
        <w:rPr>
          <w:color w:val="000000"/>
          <w:sz w:val="24"/>
          <w:szCs w:val="24"/>
          <w:lang w:val="en-GB"/>
        </w:rPr>
        <w:t>and</w:t>
      </w:r>
      <w:r w:rsidR="00EA627D" w:rsidRPr="006C3BF5">
        <w:rPr>
          <w:i/>
          <w:color w:val="000000"/>
          <w:sz w:val="24"/>
          <w:szCs w:val="24"/>
          <w:lang w:val="en-GB"/>
        </w:rPr>
        <w:t xml:space="preserve"> UBE2C</w:t>
      </w:r>
      <w:r w:rsidR="00EA627D" w:rsidRPr="00241294">
        <w:rPr>
          <w:sz w:val="24"/>
          <w:szCs w:val="24"/>
        </w:rPr>
        <w:t>.</w:t>
      </w:r>
      <w:r w:rsidR="00EA627D">
        <w:rPr>
          <w:sz w:val="24"/>
          <w:szCs w:val="24"/>
        </w:rPr>
        <w:t xml:space="preserve"> ROR-PT scores and groupings (low, medium and high) were automatically generated after </w:t>
      </w:r>
      <w:r w:rsidR="00DD47AF">
        <w:rPr>
          <w:sz w:val="24"/>
          <w:szCs w:val="24"/>
        </w:rPr>
        <w:t xml:space="preserve">modified median or subgroup-specific gene centering </w:t>
      </w:r>
      <w:r w:rsidR="00EA627D">
        <w:rPr>
          <w:sz w:val="24"/>
          <w:szCs w:val="24"/>
        </w:rPr>
        <w:t>pre-processing.</w:t>
      </w:r>
    </w:p>
    <w:p w14:paraId="640E0B82" w14:textId="77777777" w:rsidR="00EA627D" w:rsidRDefault="00EA627D" w:rsidP="00EA62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</w:p>
    <w:p w14:paraId="09DC709E" w14:textId="77777777" w:rsidR="007D0E9C" w:rsidRDefault="007D0E9C" w:rsidP="007D0E9C">
      <w:pPr>
        <w:autoSpaceDE w:val="0"/>
        <w:autoSpaceDN w:val="0"/>
        <w:adjustRightInd w:val="0"/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Molecular subtyping using IHC surrogates</w:t>
      </w:r>
    </w:p>
    <w:p w14:paraId="68D91093" w14:textId="5DF75539" w:rsidR="007D0E9C" w:rsidRPr="00BE34CF" w:rsidRDefault="007D0E9C" w:rsidP="007D0E9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i/>
          <w:sz w:val="24"/>
          <w:szCs w:val="24"/>
        </w:rPr>
      </w:pPr>
      <w:r w:rsidRPr="00366419">
        <w:rPr>
          <w:rFonts w:cs="Arial"/>
          <w:sz w:val="24"/>
          <w:szCs w:val="24"/>
          <w:highlight w:val="yellow"/>
        </w:rPr>
        <w:t>IHC data were obtained from tissue microarrays</w:t>
      </w:r>
      <w:r w:rsidR="00FE6BF2" w:rsidRPr="00366419">
        <w:rPr>
          <w:rFonts w:cs="Arial"/>
          <w:sz w:val="24"/>
          <w:szCs w:val="24"/>
          <w:highlight w:val="yellow"/>
        </w:rPr>
        <w:t xml:space="preserve"> containing </w:t>
      </w:r>
      <w:r w:rsidR="00A22D37">
        <w:rPr>
          <w:rFonts w:cs="Arial"/>
          <w:sz w:val="24"/>
          <w:szCs w:val="24"/>
          <w:highlight w:val="yellow"/>
        </w:rPr>
        <w:t>three</w:t>
      </w:r>
      <w:bookmarkStart w:id="0" w:name="_GoBack"/>
      <w:bookmarkEnd w:id="0"/>
      <w:r w:rsidR="00FE6BF2" w:rsidRPr="00366419">
        <w:rPr>
          <w:rFonts w:cs="Arial"/>
          <w:sz w:val="24"/>
          <w:szCs w:val="24"/>
          <w:highlight w:val="yellow"/>
        </w:rPr>
        <w:t xml:space="preserve"> cores per individual</w:t>
      </w:r>
      <w:r w:rsidRPr="00366419">
        <w:rPr>
          <w:rFonts w:cs="Arial"/>
          <w:sz w:val="24"/>
          <w:szCs w:val="24"/>
          <w:highlight w:val="yellow"/>
        </w:rPr>
        <w:t xml:space="preserve">. </w:t>
      </w:r>
      <w:r w:rsidR="00FE6BF2" w:rsidRPr="00366419">
        <w:rPr>
          <w:rFonts w:cs="Arial"/>
          <w:sz w:val="24"/>
          <w:szCs w:val="24"/>
          <w:highlight w:val="yellow"/>
        </w:rPr>
        <w:t>The maximum expression across cores was utilized for all markers.</w:t>
      </w:r>
      <w:r w:rsidR="00FE6B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ER+ and PR+ were</w:t>
      </w:r>
      <w:r w:rsidRPr="00211F96">
        <w:rPr>
          <w:rFonts w:cs="Arial"/>
          <w:sz w:val="24"/>
          <w:szCs w:val="24"/>
        </w:rPr>
        <w:t xml:space="preserve"> defined as </w:t>
      </w:r>
      <w:r w:rsidRPr="00211F96">
        <w:rPr>
          <w:rFonts w:cs="Arial"/>
          <w:sz w:val="24"/>
          <w:szCs w:val="24"/>
        </w:rPr>
        <w:lastRenderedPageBreak/>
        <w:t xml:space="preserve">the presence of any nuclear staining (&gt;1%). HER2+ </w:t>
      </w:r>
      <w:r>
        <w:rPr>
          <w:rFonts w:cs="Arial"/>
          <w:sz w:val="24"/>
          <w:szCs w:val="24"/>
        </w:rPr>
        <w:t xml:space="preserve">was </w:t>
      </w:r>
      <w:r w:rsidRPr="00211F96">
        <w:rPr>
          <w:rFonts w:cs="Arial"/>
          <w:sz w:val="24"/>
          <w:szCs w:val="24"/>
        </w:rPr>
        <w:t xml:space="preserve">defined as strong cell membrane staining in &gt;10% </w:t>
      </w:r>
      <w:r>
        <w:rPr>
          <w:rFonts w:cs="Arial"/>
          <w:sz w:val="24"/>
          <w:szCs w:val="24"/>
        </w:rPr>
        <w:t xml:space="preserve">tumor cells, </w:t>
      </w:r>
      <w:r w:rsidRPr="00211F96">
        <w:rPr>
          <w:rFonts w:cs="Arial"/>
          <w:sz w:val="24"/>
          <w:szCs w:val="24"/>
        </w:rPr>
        <w:t>and over-expression</w:t>
      </w:r>
      <w:r>
        <w:rPr>
          <w:rFonts w:cs="Arial"/>
          <w:sz w:val="24"/>
          <w:szCs w:val="24"/>
        </w:rPr>
        <w:t xml:space="preserve"> of m</w:t>
      </w:r>
      <w:r w:rsidRPr="003D36AB">
        <w:rPr>
          <w:rFonts w:cs="Arial"/>
          <w:sz w:val="24"/>
          <w:szCs w:val="24"/>
        </w:rPr>
        <w:t>arker</w:t>
      </w:r>
      <w:r>
        <w:rPr>
          <w:rFonts w:cs="Arial"/>
          <w:sz w:val="24"/>
          <w:szCs w:val="24"/>
        </w:rPr>
        <w:t xml:space="preserve"> of p</w:t>
      </w:r>
      <w:r w:rsidRPr="003D36AB">
        <w:rPr>
          <w:rFonts w:cs="Arial"/>
          <w:sz w:val="24"/>
          <w:szCs w:val="24"/>
        </w:rPr>
        <w:t xml:space="preserve">roliferation Ki-67 </w:t>
      </w:r>
      <w:r>
        <w:rPr>
          <w:rFonts w:cs="Arial"/>
          <w:sz w:val="24"/>
          <w:szCs w:val="24"/>
        </w:rPr>
        <w:t>protein (Ki-</w:t>
      </w:r>
      <w:r w:rsidRPr="00211F96">
        <w:rPr>
          <w:rFonts w:cs="Arial"/>
          <w:sz w:val="24"/>
          <w:szCs w:val="24"/>
        </w:rPr>
        <w:t>67</w:t>
      </w:r>
      <w:r>
        <w:rPr>
          <w:rFonts w:cs="Arial"/>
          <w:sz w:val="24"/>
          <w:szCs w:val="24"/>
        </w:rPr>
        <w:t>)</w:t>
      </w:r>
      <w:r w:rsidRPr="00211F96">
        <w:rPr>
          <w:rFonts w:cs="Arial"/>
          <w:sz w:val="24"/>
          <w:szCs w:val="24"/>
        </w:rPr>
        <w:t xml:space="preserve"> w</w:t>
      </w:r>
      <w:r>
        <w:rPr>
          <w:rFonts w:cs="Arial"/>
          <w:sz w:val="24"/>
          <w:szCs w:val="24"/>
        </w:rPr>
        <w:t>as</w:t>
      </w:r>
      <w:r w:rsidRPr="00211F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defined as</w:t>
      </w:r>
      <w:r w:rsidRPr="00211F96">
        <w:rPr>
          <w:rFonts w:cs="Arial"/>
          <w:sz w:val="24"/>
          <w:szCs w:val="24"/>
        </w:rPr>
        <w:t xml:space="preserve"> nuclear staining in &gt;14% of</w:t>
      </w:r>
      <w:r>
        <w:rPr>
          <w:rFonts w:cs="Arial"/>
          <w:sz w:val="24"/>
          <w:szCs w:val="24"/>
        </w:rPr>
        <w:t xml:space="preserve"> tumor</w:t>
      </w:r>
      <w:r w:rsidRPr="00211F96">
        <w:rPr>
          <w:rFonts w:cs="Arial"/>
          <w:sz w:val="24"/>
          <w:szCs w:val="24"/>
        </w:rPr>
        <w:t xml:space="preserve"> cells. CK 5/6+ and EGFR</w:t>
      </w:r>
      <w:r w:rsidRPr="00930FA8">
        <w:rPr>
          <w:rFonts w:cs="Arial"/>
          <w:sz w:val="24"/>
          <w:szCs w:val="24"/>
        </w:rPr>
        <w:t>+ were defined as the presence of any cytoplasmic and/or membrane stains of tumor cells.</w:t>
      </w:r>
      <w:r w:rsidRPr="00930FA8">
        <w:rPr>
          <w:sz w:val="24"/>
          <w:szCs w:val="24"/>
        </w:rPr>
        <w:t xml:space="preserve"> </w:t>
      </w:r>
      <w:r w:rsidRPr="00366419">
        <w:rPr>
          <w:rFonts w:cs="Arial"/>
          <w:sz w:val="24"/>
          <w:szCs w:val="24"/>
          <w:highlight w:val="yellow"/>
        </w:rPr>
        <w:t>Missing IHCs for ER, PR and HER2 (</w:t>
      </w:r>
      <w:r w:rsidRPr="00366419">
        <w:rPr>
          <w:rFonts w:cs="Arial"/>
          <w:i/>
          <w:sz w:val="24"/>
          <w:szCs w:val="24"/>
          <w:highlight w:val="yellow"/>
        </w:rPr>
        <w:t>n</w:t>
      </w:r>
      <w:r w:rsidRPr="00366419">
        <w:rPr>
          <w:rFonts w:cs="Arial"/>
          <w:sz w:val="24"/>
          <w:szCs w:val="24"/>
          <w:highlight w:val="yellow"/>
        </w:rPr>
        <w:t xml:space="preserve">=144) were replaced with data from medical records. </w:t>
      </w:r>
      <w:r w:rsidRPr="00366419">
        <w:rPr>
          <w:sz w:val="24"/>
          <w:szCs w:val="24"/>
          <w:highlight w:val="yellow"/>
        </w:rPr>
        <w:t>For tumors missing Ki-67 IHC data (</w:t>
      </w:r>
      <w:r w:rsidRPr="00366419">
        <w:rPr>
          <w:i/>
          <w:sz w:val="24"/>
          <w:szCs w:val="24"/>
          <w:highlight w:val="yellow"/>
        </w:rPr>
        <w:t>n</w:t>
      </w:r>
      <w:r w:rsidRPr="00366419">
        <w:rPr>
          <w:sz w:val="24"/>
          <w:szCs w:val="24"/>
          <w:highlight w:val="yellow"/>
        </w:rPr>
        <w:t>=545), histologic grade was used as a proxy.</w:t>
      </w:r>
      <w:r>
        <w:rPr>
          <w:sz w:val="24"/>
          <w:szCs w:val="24"/>
        </w:rPr>
        <w:t xml:space="preserve"> </w:t>
      </w:r>
      <w:r w:rsidRPr="00211F96">
        <w:rPr>
          <w:sz w:val="24"/>
          <w:szCs w:val="24"/>
        </w:rPr>
        <w:t xml:space="preserve">Tumors were classified into Luminal A, Luminal B, </w:t>
      </w:r>
      <w:r>
        <w:rPr>
          <w:sz w:val="24"/>
          <w:szCs w:val="24"/>
        </w:rPr>
        <w:t>HER2-enriched</w:t>
      </w:r>
      <w:r w:rsidRPr="00211F96">
        <w:rPr>
          <w:sz w:val="24"/>
          <w:szCs w:val="24"/>
        </w:rPr>
        <w:t xml:space="preserve"> and </w:t>
      </w:r>
      <w:r>
        <w:rPr>
          <w:sz w:val="24"/>
          <w:szCs w:val="24"/>
        </w:rPr>
        <w:t>Basal-like</w:t>
      </w:r>
      <w:r w:rsidRPr="00211F96">
        <w:rPr>
          <w:sz w:val="24"/>
          <w:szCs w:val="24"/>
        </w:rPr>
        <w:t xml:space="preserve"> </w:t>
      </w:r>
      <w:r>
        <w:rPr>
          <w:sz w:val="24"/>
          <w:szCs w:val="24"/>
        </w:rPr>
        <w:t>as previously defined</w:t>
      </w:r>
      <w:r w:rsidRPr="00FC04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0405">
        <w:rPr>
          <w:sz w:val="24"/>
          <w:szCs w:val="24"/>
        </w:rPr>
        <w:t xml:space="preserve">Luminal A was </w:t>
      </w:r>
      <w:r>
        <w:rPr>
          <w:sz w:val="24"/>
          <w:szCs w:val="24"/>
        </w:rPr>
        <w:t xml:space="preserve">defined as </w:t>
      </w:r>
      <w:r w:rsidRPr="00FC0405">
        <w:rPr>
          <w:sz w:val="24"/>
          <w:szCs w:val="24"/>
        </w:rPr>
        <w:t>ER</w:t>
      </w:r>
      <w:r>
        <w:rPr>
          <w:sz w:val="24"/>
          <w:szCs w:val="24"/>
        </w:rPr>
        <w:t>+ and/or PR+</w:t>
      </w:r>
      <w:r w:rsidRPr="00FC0405">
        <w:rPr>
          <w:sz w:val="24"/>
          <w:szCs w:val="24"/>
        </w:rPr>
        <w:t xml:space="preserve">, HER2-, </w:t>
      </w:r>
      <w:r>
        <w:rPr>
          <w:sz w:val="24"/>
          <w:szCs w:val="24"/>
        </w:rPr>
        <w:t>and Ki-67 low (or histologic grade 1 or 2). Luminal B was defined as ER+</w:t>
      </w:r>
      <w:r w:rsidRPr="00FC0405">
        <w:rPr>
          <w:sz w:val="24"/>
          <w:szCs w:val="24"/>
        </w:rPr>
        <w:t xml:space="preserve"> and/or PR</w:t>
      </w:r>
      <w:r>
        <w:rPr>
          <w:sz w:val="24"/>
          <w:szCs w:val="24"/>
        </w:rPr>
        <w:t>+, and HER2+;</w:t>
      </w:r>
      <w:r w:rsidRPr="00FC0405">
        <w:rPr>
          <w:sz w:val="24"/>
          <w:szCs w:val="24"/>
        </w:rPr>
        <w:t xml:space="preserve"> or ER</w:t>
      </w:r>
      <w:r>
        <w:rPr>
          <w:sz w:val="24"/>
          <w:szCs w:val="24"/>
        </w:rPr>
        <w:t>+</w:t>
      </w:r>
      <w:r w:rsidRPr="00FC0405">
        <w:rPr>
          <w:sz w:val="24"/>
          <w:szCs w:val="24"/>
        </w:rPr>
        <w:t xml:space="preserve"> and/or PR</w:t>
      </w:r>
      <w:r>
        <w:rPr>
          <w:sz w:val="24"/>
          <w:szCs w:val="24"/>
        </w:rPr>
        <w:t>+</w:t>
      </w:r>
      <w:r w:rsidRPr="00FC0405">
        <w:rPr>
          <w:sz w:val="24"/>
          <w:szCs w:val="24"/>
        </w:rPr>
        <w:t>, HER2-, and Ki-67</w:t>
      </w:r>
      <w:r>
        <w:rPr>
          <w:sz w:val="24"/>
          <w:szCs w:val="24"/>
        </w:rPr>
        <w:t xml:space="preserve"> high (or histologic grade 3).</w:t>
      </w:r>
      <w:r w:rsidRPr="00FC0405">
        <w:rPr>
          <w:sz w:val="24"/>
          <w:szCs w:val="24"/>
        </w:rPr>
        <w:t xml:space="preserve"> </w:t>
      </w:r>
      <w:r>
        <w:rPr>
          <w:sz w:val="24"/>
          <w:szCs w:val="24"/>
        </w:rPr>
        <w:t>HER2-enriched</w:t>
      </w:r>
      <w:r w:rsidRPr="00FC0405">
        <w:rPr>
          <w:sz w:val="24"/>
          <w:szCs w:val="24"/>
        </w:rPr>
        <w:t xml:space="preserve"> tumors were ER-</w:t>
      </w:r>
      <w:r>
        <w:rPr>
          <w:sz w:val="24"/>
          <w:szCs w:val="24"/>
        </w:rPr>
        <w:t>, PR- and HER2+ while</w:t>
      </w:r>
      <w:r w:rsidRPr="00FC0405">
        <w:rPr>
          <w:sz w:val="24"/>
          <w:szCs w:val="24"/>
        </w:rPr>
        <w:t xml:space="preserve"> </w:t>
      </w:r>
      <w:r>
        <w:rPr>
          <w:sz w:val="24"/>
          <w:szCs w:val="24"/>
        </w:rPr>
        <w:t>Basal-like</w:t>
      </w:r>
      <w:r w:rsidRPr="00FC0405">
        <w:rPr>
          <w:sz w:val="24"/>
          <w:szCs w:val="24"/>
        </w:rPr>
        <w:t xml:space="preserve"> tumors were ER</w:t>
      </w:r>
      <w:r>
        <w:rPr>
          <w:sz w:val="24"/>
          <w:szCs w:val="24"/>
        </w:rPr>
        <w:t>-</w:t>
      </w:r>
      <w:r w:rsidRPr="00FC0405">
        <w:rPr>
          <w:sz w:val="24"/>
          <w:szCs w:val="24"/>
        </w:rPr>
        <w:t>, PR-, HER2-</w:t>
      </w:r>
      <w:r>
        <w:rPr>
          <w:sz w:val="24"/>
          <w:szCs w:val="24"/>
        </w:rPr>
        <w:t>, and CK 5/6+</w:t>
      </w:r>
      <w:r w:rsidRPr="00FC0405">
        <w:rPr>
          <w:sz w:val="24"/>
          <w:szCs w:val="24"/>
        </w:rPr>
        <w:t xml:space="preserve"> and/or EGFR</w:t>
      </w:r>
      <w:r>
        <w:rPr>
          <w:sz w:val="24"/>
          <w:szCs w:val="24"/>
        </w:rPr>
        <w:t>+</w:t>
      </w:r>
      <w:r w:rsidRPr="00FC0405">
        <w:rPr>
          <w:sz w:val="24"/>
          <w:szCs w:val="24"/>
        </w:rPr>
        <w:t>. Tumors were “unclassified” if they were ER</w:t>
      </w:r>
      <w:r>
        <w:rPr>
          <w:sz w:val="24"/>
          <w:szCs w:val="24"/>
        </w:rPr>
        <w:t>-</w:t>
      </w:r>
      <w:r w:rsidRPr="00FC0405">
        <w:rPr>
          <w:sz w:val="24"/>
          <w:szCs w:val="24"/>
        </w:rPr>
        <w:t>, PR</w:t>
      </w:r>
      <w:r>
        <w:rPr>
          <w:sz w:val="24"/>
          <w:szCs w:val="24"/>
        </w:rPr>
        <w:t>-</w:t>
      </w:r>
      <w:r w:rsidRPr="00FC0405">
        <w:rPr>
          <w:sz w:val="24"/>
          <w:szCs w:val="24"/>
        </w:rPr>
        <w:t>, HER2</w:t>
      </w:r>
      <w:r>
        <w:rPr>
          <w:sz w:val="24"/>
          <w:szCs w:val="24"/>
        </w:rPr>
        <w:t>-</w:t>
      </w:r>
      <w:r w:rsidRPr="00FC0405">
        <w:rPr>
          <w:sz w:val="24"/>
          <w:szCs w:val="24"/>
        </w:rPr>
        <w:t>, CK 5/6</w:t>
      </w:r>
      <w:r>
        <w:rPr>
          <w:sz w:val="24"/>
          <w:szCs w:val="24"/>
        </w:rPr>
        <w:t>-</w:t>
      </w:r>
      <w:r w:rsidRPr="00FC0405">
        <w:rPr>
          <w:sz w:val="24"/>
          <w:szCs w:val="24"/>
        </w:rPr>
        <w:t xml:space="preserve"> and EGFR</w:t>
      </w:r>
      <w:r>
        <w:rPr>
          <w:sz w:val="24"/>
          <w:szCs w:val="24"/>
        </w:rPr>
        <w:t>- (</w:t>
      </w:r>
      <w:r w:rsidRPr="008036A4">
        <w:rPr>
          <w:i/>
          <w:sz w:val="24"/>
          <w:szCs w:val="24"/>
        </w:rPr>
        <w:t>n</w:t>
      </w:r>
      <w:r>
        <w:rPr>
          <w:sz w:val="24"/>
          <w:szCs w:val="24"/>
        </w:rPr>
        <w:t>=16)</w:t>
      </w:r>
      <w:r w:rsidRPr="00FC0405">
        <w:rPr>
          <w:sz w:val="24"/>
          <w:szCs w:val="24"/>
        </w:rPr>
        <w:t xml:space="preserve">. Tumors </w:t>
      </w:r>
      <w:r>
        <w:rPr>
          <w:sz w:val="24"/>
          <w:szCs w:val="24"/>
        </w:rPr>
        <w:t xml:space="preserve">were “missing” if they had </w:t>
      </w:r>
      <w:r w:rsidRPr="00FC0405">
        <w:rPr>
          <w:sz w:val="24"/>
          <w:szCs w:val="24"/>
        </w:rPr>
        <w:t>incomplete data necessary for classification</w:t>
      </w:r>
      <w:r>
        <w:rPr>
          <w:sz w:val="24"/>
          <w:szCs w:val="24"/>
        </w:rPr>
        <w:t xml:space="preserve"> (</w:t>
      </w:r>
      <w:r w:rsidRPr="000A4D57">
        <w:rPr>
          <w:i/>
          <w:sz w:val="24"/>
          <w:szCs w:val="24"/>
        </w:rPr>
        <w:t>n</w:t>
      </w:r>
      <w:r>
        <w:rPr>
          <w:sz w:val="24"/>
          <w:szCs w:val="24"/>
        </w:rPr>
        <w:t>=168)</w:t>
      </w:r>
      <w:r w:rsidRPr="00FC0405">
        <w:rPr>
          <w:sz w:val="24"/>
          <w:szCs w:val="24"/>
        </w:rPr>
        <w:t>.</w:t>
      </w:r>
      <w:r w:rsidRPr="00FC0405">
        <w:rPr>
          <w:rFonts w:cs="Arial"/>
          <w:sz w:val="24"/>
          <w:szCs w:val="24"/>
        </w:rPr>
        <w:t xml:space="preserve"> </w:t>
      </w:r>
    </w:p>
    <w:p w14:paraId="6A5DB390" w14:textId="77777777" w:rsidR="00197775" w:rsidRDefault="00197775"/>
    <w:sectPr w:rsidR="001977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84F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84F2A" w16cid:durableId="1F4E30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0F20" w14:textId="77777777" w:rsidR="00521B96" w:rsidRDefault="00521B96" w:rsidP="00FE6BF2">
      <w:pPr>
        <w:spacing w:after="0" w:line="240" w:lineRule="auto"/>
      </w:pPr>
      <w:r>
        <w:separator/>
      </w:r>
    </w:p>
  </w:endnote>
  <w:endnote w:type="continuationSeparator" w:id="0">
    <w:p w14:paraId="3DA49C00" w14:textId="77777777" w:rsidR="00521B96" w:rsidRDefault="00521B96" w:rsidP="00F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E897" w14:textId="77777777" w:rsidR="00FE6BF2" w:rsidRDefault="00FE6B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D37">
      <w:rPr>
        <w:noProof/>
      </w:rPr>
      <w:t>3</w:t>
    </w:r>
    <w:r>
      <w:rPr>
        <w:noProof/>
      </w:rPr>
      <w:fldChar w:fldCharType="end"/>
    </w:r>
  </w:p>
  <w:p w14:paraId="5292D7C9" w14:textId="77777777" w:rsidR="00FE6BF2" w:rsidRDefault="00FE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0F84" w14:textId="77777777" w:rsidR="00521B96" w:rsidRDefault="00521B96" w:rsidP="00FE6BF2">
      <w:pPr>
        <w:spacing w:after="0" w:line="240" w:lineRule="auto"/>
      </w:pPr>
      <w:r>
        <w:separator/>
      </w:r>
    </w:p>
  </w:footnote>
  <w:footnote w:type="continuationSeparator" w:id="0">
    <w:p w14:paraId="7741E1EA" w14:textId="77777777" w:rsidR="00521B96" w:rsidRDefault="00521B96" w:rsidP="00FE6BF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sler, Kevin Hughes">
    <w15:presenceInfo w15:providerId="AD" w15:userId="S-1-5-21-8915387-943144406-1916815836-876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545"/>
    <w:rsid w:val="000E6533"/>
    <w:rsid w:val="00197775"/>
    <w:rsid w:val="001A606D"/>
    <w:rsid w:val="0023081C"/>
    <w:rsid w:val="00366419"/>
    <w:rsid w:val="003C7F58"/>
    <w:rsid w:val="00486545"/>
    <w:rsid w:val="00521B96"/>
    <w:rsid w:val="00527B13"/>
    <w:rsid w:val="005F48B7"/>
    <w:rsid w:val="00645EE4"/>
    <w:rsid w:val="006C3BF5"/>
    <w:rsid w:val="0076748A"/>
    <w:rsid w:val="007D0E9C"/>
    <w:rsid w:val="007D728A"/>
    <w:rsid w:val="008445EA"/>
    <w:rsid w:val="008E66CA"/>
    <w:rsid w:val="008F6E63"/>
    <w:rsid w:val="00977BA3"/>
    <w:rsid w:val="009D5BB3"/>
    <w:rsid w:val="00A14F21"/>
    <w:rsid w:val="00A22D37"/>
    <w:rsid w:val="00A6697A"/>
    <w:rsid w:val="00BF0DEE"/>
    <w:rsid w:val="00C70D34"/>
    <w:rsid w:val="00DD47AF"/>
    <w:rsid w:val="00EA627D"/>
    <w:rsid w:val="00FE351A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D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BF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6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BF2"/>
    <w:rPr>
      <w:sz w:val="22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8E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6C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6CA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66C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Heng,Yu Jing Jan (BIDMC)</dc:creator>
  <cp:keywords/>
  <cp:lastModifiedBy>Heng,Yu Jing Jan (BIDMC)</cp:lastModifiedBy>
  <cp:revision>14</cp:revision>
  <dcterms:created xsi:type="dcterms:W3CDTF">2018-09-12T18:48:00Z</dcterms:created>
  <dcterms:modified xsi:type="dcterms:W3CDTF">2018-10-18T15:44:00Z</dcterms:modified>
</cp:coreProperties>
</file>