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71" w:type="dxa"/>
        <w:tblLook w:val="04A0" w:firstRow="1" w:lastRow="0" w:firstColumn="1" w:lastColumn="0" w:noHBand="0" w:noVBand="1"/>
      </w:tblPr>
      <w:tblGrid>
        <w:gridCol w:w="2019"/>
        <w:gridCol w:w="1008"/>
        <w:gridCol w:w="1838"/>
        <w:gridCol w:w="1959"/>
        <w:gridCol w:w="1698"/>
        <w:gridCol w:w="949"/>
      </w:tblGrid>
      <w:tr w:rsidR="004D4AF9" w:rsidRPr="00960473" w14:paraId="350BBC27" w14:textId="77777777" w:rsidTr="003C7CFF">
        <w:trPr>
          <w:trHeight w:val="285"/>
        </w:trPr>
        <w:tc>
          <w:tcPr>
            <w:tcW w:w="9471" w:type="dxa"/>
            <w:gridSpan w:val="6"/>
          </w:tcPr>
          <w:p w14:paraId="2F2EE4C9" w14:textId="79772DF4" w:rsidR="004D4AF9" w:rsidRPr="00E13EC6" w:rsidRDefault="00F73A99" w:rsidP="003C7C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Supplementary</w:t>
            </w:r>
            <w:bookmarkStart w:id="0" w:name="_GoBack"/>
            <w:bookmarkEnd w:id="0"/>
            <w:r w:rsidR="00347042">
              <w:rPr>
                <w:rFonts w:ascii="Times New Roman" w:hAnsi="Times New Roman"/>
                <w:sz w:val="20"/>
                <w:szCs w:val="20"/>
              </w:rPr>
              <w:t xml:space="preserve"> Table 1</w:t>
            </w:r>
            <w:r w:rsidR="004D4AF9" w:rsidRPr="00E13EC6">
              <w:rPr>
                <w:rFonts w:ascii="Times New Roman" w:hAnsi="Times New Roman"/>
                <w:sz w:val="20"/>
                <w:szCs w:val="20"/>
              </w:rPr>
              <w:t>. Ontological Analysis n=727</w:t>
            </w:r>
          </w:p>
        </w:tc>
      </w:tr>
      <w:tr w:rsidR="004D4AF9" w:rsidRPr="00960473" w14:paraId="614E3EAE" w14:textId="77777777" w:rsidTr="003C7CFF">
        <w:trPr>
          <w:trHeight w:val="318"/>
        </w:trPr>
        <w:tc>
          <w:tcPr>
            <w:tcW w:w="6824" w:type="dxa"/>
            <w:gridSpan w:val="4"/>
          </w:tcPr>
          <w:p w14:paraId="1E3DE270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>IPA</w:t>
            </w:r>
          </w:p>
        </w:tc>
        <w:tc>
          <w:tcPr>
            <w:tcW w:w="2647" w:type="dxa"/>
            <w:gridSpan w:val="2"/>
          </w:tcPr>
          <w:p w14:paraId="472493FD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>DAVID</w:t>
            </w:r>
          </w:p>
        </w:tc>
      </w:tr>
      <w:tr w:rsidR="004D4AF9" w:rsidRPr="00960473" w14:paraId="011B0699" w14:textId="77777777" w:rsidTr="003C7CFF">
        <w:trPr>
          <w:trHeight w:val="1028"/>
        </w:trPr>
        <w:tc>
          <w:tcPr>
            <w:tcW w:w="2019" w:type="dxa"/>
          </w:tcPr>
          <w:p w14:paraId="11C77706" w14:textId="77777777" w:rsidR="004D4AF9" w:rsidRPr="0039589D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39589D">
              <w:rPr>
                <w:rFonts w:ascii="Times New Roman" w:hAnsi="Times New Roman"/>
                <w:sz w:val="20"/>
                <w:szCs w:val="20"/>
              </w:rPr>
              <w:t>Top Canonical Pathways</w:t>
            </w:r>
          </w:p>
        </w:tc>
        <w:tc>
          <w:tcPr>
            <w:tcW w:w="1008" w:type="dxa"/>
          </w:tcPr>
          <w:p w14:paraId="2C2DE48B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>p-value</w:t>
            </w:r>
          </w:p>
        </w:tc>
        <w:tc>
          <w:tcPr>
            <w:tcW w:w="1838" w:type="dxa"/>
          </w:tcPr>
          <w:p w14:paraId="77A56748" w14:textId="77777777" w:rsidR="004D4AF9" w:rsidRPr="0039589D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39589D">
              <w:rPr>
                <w:rFonts w:ascii="Times New Roman" w:hAnsi="Times New Roman"/>
                <w:sz w:val="20"/>
                <w:szCs w:val="20"/>
              </w:rPr>
              <w:t>Top Diseases and Biofunctions</w:t>
            </w:r>
          </w:p>
        </w:tc>
        <w:tc>
          <w:tcPr>
            <w:tcW w:w="1957" w:type="dxa"/>
          </w:tcPr>
          <w:p w14:paraId="1F783D9A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>p-value range</w:t>
            </w:r>
          </w:p>
        </w:tc>
        <w:tc>
          <w:tcPr>
            <w:tcW w:w="1698" w:type="dxa"/>
          </w:tcPr>
          <w:p w14:paraId="62E00DF1" w14:textId="77777777" w:rsidR="004D4AF9" w:rsidRPr="0039589D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39589D">
              <w:rPr>
                <w:rFonts w:ascii="Times New Roman" w:hAnsi="Times New Roman"/>
                <w:sz w:val="20"/>
                <w:szCs w:val="20"/>
              </w:rPr>
              <w:t>Top Pathways: Functional Annotation Chart</w:t>
            </w:r>
          </w:p>
        </w:tc>
        <w:tc>
          <w:tcPr>
            <w:tcW w:w="949" w:type="dxa"/>
          </w:tcPr>
          <w:p w14:paraId="4883BDF4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>p-value</w:t>
            </w:r>
          </w:p>
        </w:tc>
      </w:tr>
      <w:tr w:rsidR="004D4AF9" w:rsidRPr="00960473" w14:paraId="1AF101E4" w14:textId="77777777" w:rsidTr="003C7CFF">
        <w:trPr>
          <w:trHeight w:val="514"/>
        </w:trPr>
        <w:tc>
          <w:tcPr>
            <w:tcW w:w="2019" w:type="dxa"/>
          </w:tcPr>
          <w:p w14:paraId="04D8BD9A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>Pathogenesis of Multiple Sclerosis</w:t>
            </w:r>
          </w:p>
        </w:tc>
        <w:tc>
          <w:tcPr>
            <w:tcW w:w="1008" w:type="dxa"/>
          </w:tcPr>
          <w:p w14:paraId="09EE8242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>2.94E-04</w:t>
            </w:r>
          </w:p>
        </w:tc>
        <w:tc>
          <w:tcPr>
            <w:tcW w:w="1838" w:type="dxa"/>
          </w:tcPr>
          <w:p w14:paraId="1E07DDA0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>Cancer</w:t>
            </w:r>
          </w:p>
        </w:tc>
        <w:tc>
          <w:tcPr>
            <w:tcW w:w="1957" w:type="dxa"/>
          </w:tcPr>
          <w:p w14:paraId="2ECE0DD0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>1.67E-03 – 4.85E-09</w:t>
            </w:r>
          </w:p>
        </w:tc>
        <w:tc>
          <w:tcPr>
            <w:tcW w:w="1698" w:type="dxa"/>
          </w:tcPr>
          <w:p w14:paraId="31F4A394" w14:textId="77777777" w:rsidR="004D4AF9" w:rsidRPr="00E13EC6" w:rsidRDefault="004D4AF9" w:rsidP="003C7CF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>Cytokine</w:t>
            </w:r>
            <w:r w:rsidRPr="00E13EC6">
              <w:rPr>
                <w:rFonts w:ascii="Times New Roman" w:hAnsi="Times New Roman"/>
                <w:i/>
                <w:sz w:val="20"/>
                <w:szCs w:val="20"/>
              </w:rPr>
              <w:t>*</w:t>
            </w:r>
          </w:p>
        </w:tc>
        <w:tc>
          <w:tcPr>
            <w:tcW w:w="949" w:type="dxa"/>
          </w:tcPr>
          <w:p w14:paraId="11343564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>5.6E-06</w:t>
            </w:r>
          </w:p>
        </w:tc>
      </w:tr>
      <w:tr w:rsidR="004D4AF9" w:rsidRPr="00960473" w14:paraId="28F982C6" w14:textId="77777777" w:rsidTr="003C7CFF">
        <w:trPr>
          <w:trHeight w:val="1028"/>
        </w:trPr>
        <w:tc>
          <w:tcPr>
            <w:tcW w:w="2019" w:type="dxa"/>
          </w:tcPr>
          <w:p w14:paraId="2AE24306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>Granulocyte Adhesion and Diapedesis</w:t>
            </w:r>
          </w:p>
        </w:tc>
        <w:tc>
          <w:tcPr>
            <w:tcW w:w="1008" w:type="dxa"/>
          </w:tcPr>
          <w:p w14:paraId="453203B0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>1.14E-03</w:t>
            </w:r>
          </w:p>
        </w:tc>
        <w:tc>
          <w:tcPr>
            <w:tcW w:w="1838" w:type="dxa"/>
          </w:tcPr>
          <w:p w14:paraId="2AC44DDB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>Organismal Injury and Abnormalities</w:t>
            </w:r>
          </w:p>
        </w:tc>
        <w:tc>
          <w:tcPr>
            <w:tcW w:w="1957" w:type="dxa"/>
          </w:tcPr>
          <w:p w14:paraId="47EB9902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>1.67E-03 – 4.85E-09</w:t>
            </w:r>
          </w:p>
        </w:tc>
        <w:tc>
          <w:tcPr>
            <w:tcW w:w="1698" w:type="dxa"/>
          </w:tcPr>
          <w:p w14:paraId="3459C263" w14:textId="77777777" w:rsidR="004D4AF9" w:rsidRPr="00E13EC6" w:rsidRDefault="004D4AF9" w:rsidP="003C7CF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>Cytokine-Cytokine Receptor Interaction</w:t>
            </w:r>
            <w:r w:rsidRPr="00E13EC6">
              <w:rPr>
                <w:rFonts w:ascii="Times New Roman" w:hAnsi="Times New Roman"/>
                <w:i/>
                <w:sz w:val="20"/>
                <w:szCs w:val="20"/>
              </w:rPr>
              <w:t>*</w:t>
            </w:r>
          </w:p>
        </w:tc>
        <w:tc>
          <w:tcPr>
            <w:tcW w:w="949" w:type="dxa"/>
          </w:tcPr>
          <w:p w14:paraId="72830F94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>4.5E-05</w:t>
            </w:r>
          </w:p>
        </w:tc>
      </w:tr>
      <w:tr w:rsidR="004D4AF9" w:rsidRPr="00960473" w14:paraId="496C919C" w14:textId="77777777" w:rsidTr="003C7CFF">
        <w:trPr>
          <w:trHeight w:val="514"/>
        </w:trPr>
        <w:tc>
          <w:tcPr>
            <w:tcW w:w="2019" w:type="dxa"/>
          </w:tcPr>
          <w:p w14:paraId="071AAFE3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>Role of IL-17A in Psoriasis</w:t>
            </w:r>
          </w:p>
        </w:tc>
        <w:tc>
          <w:tcPr>
            <w:tcW w:w="1008" w:type="dxa"/>
          </w:tcPr>
          <w:p w14:paraId="25DA55A8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>1.47E-03</w:t>
            </w:r>
          </w:p>
        </w:tc>
        <w:tc>
          <w:tcPr>
            <w:tcW w:w="1838" w:type="dxa"/>
          </w:tcPr>
          <w:p w14:paraId="4414DEBB" w14:textId="77777777" w:rsidR="004D4AF9" w:rsidRPr="00E13EC6" w:rsidRDefault="004D4AF9" w:rsidP="003C7CF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>Inflammatory Response</w:t>
            </w:r>
            <w:r w:rsidRPr="00E13EC6">
              <w:rPr>
                <w:rFonts w:ascii="Times New Roman" w:hAnsi="Times New Roman"/>
                <w:i/>
                <w:sz w:val="20"/>
                <w:szCs w:val="20"/>
              </w:rPr>
              <w:t>*</w:t>
            </w:r>
          </w:p>
        </w:tc>
        <w:tc>
          <w:tcPr>
            <w:tcW w:w="1957" w:type="dxa"/>
          </w:tcPr>
          <w:p w14:paraId="6FB17775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>1.67E-03 – 5.14E-09</w:t>
            </w:r>
          </w:p>
        </w:tc>
        <w:tc>
          <w:tcPr>
            <w:tcW w:w="1698" w:type="dxa"/>
          </w:tcPr>
          <w:p w14:paraId="0640C74E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3EC6">
              <w:rPr>
                <w:rFonts w:ascii="Times New Roman" w:hAnsi="Times New Roman"/>
                <w:sz w:val="20"/>
                <w:szCs w:val="20"/>
              </w:rPr>
              <w:t>Ubl</w:t>
            </w:r>
            <w:proofErr w:type="spellEnd"/>
            <w:r w:rsidRPr="00E13EC6">
              <w:rPr>
                <w:rFonts w:ascii="Times New Roman" w:hAnsi="Times New Roman"/>
                <w:sz w:val="20"/>
                <w:szCs w:val="20"/>
              </w:rPr>
              <w:t xml:space="preserve"> Conjugation</w:t>
            </w:r>
          </w:p>
        </w:tc>
        <w:tc>
          <w:tcPr>
            <w:tcW w:w="949" w:type="dxa"/>
          </w:tcPr>
          <w:p w14:paraId="7E2AC24A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>1.2E-04</w:t>
            </w:r>
          </w:p>
        </w:tc>
      </w:tr>
      <w:tr w:rsidR="004D4AF9" w:rsidRPr="00960473" w14:paraId="753518FA" w14:textId="77777777" w:rsidTr="003C7CFF">
        <w:trPr>
          <w:trHeight w:val="514"/>
        </w:trPr>
        <w:tc>
          <w:tcPr>
            <w:tcW w:w="2019" w:type="dxa"/>
          </w:tcPr>
          <w:p w14:paraId="651AE9E8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3EC6">
              <w:rPr>
                <w:rFonts w:ascii="Times New Roman" w:hAnsi="Times New Roman"/>
                <w:sz w:val="20"/>
                <w:szCs w:val="20"/>
              </w:rPr>
              <w:t>Macropinocytosis</w:t>
            </w:r>
            <w:proofErr w:type="spellEnd"/>
            <w:r w:rsidRPr="00E13EC6">
              <w:rPr>
                <w:rFonts w:ascii="Times New Roman" w:hAnsi="Times New Roman"/>
                <w:sz w:val="20"/>
                <w:szCs w:val="20"/>
              </w:rPr>
              <w:t xml:space="preserve"> Signaling</w:t>
            </w:r>
          </w:p>
        </w:tc>
        <w:tc>
          <w:tcPr>
            <w:tcW w:w="1008" w:type="dxa"/>
          </w:tcPr>
          <w:p w14:paraId="548C5A1F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>4.03E-03</w:t>
            </w:r>
          </w:p>
        </w:tc>
        <w:tc>
          <w:tcPr>
            <w:tcW w:w="1838" w:type="dxa"/>
          </w:tcPr>
          <w:p w14:paraId="276A463B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>Gastrointestinal Disease</w:t>
            </w:r>
          </w:p>
        </w:tc>
        <w:tc>
          <w:tcPr>
            <w:tcW w:w="1957" w:type="dxa"/>
          </w:tcPr>
          <w:p w14:paraId="33151FA6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>1.67E-03 – 5.62E-07</w:t>
            </w:r>
          </w:p>
        </w:tc>
        <w:tc>
          <w:tcPr>
            <w:tcW w:w="1698" w:type="dxa"/>
          </w:tcPr>
          <w:p w14:paraId="4C6BF174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>Cell-Cell Signaling</w:t>
            </w:r>
          </w:p>
        </w:tc>
        <w:tc>
          <w:tcPr>
            <w:tcW w:w="949" w:type="dxa"/>
          </w:tcPr>
          <w:p w14:paraId="641ADA49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>1.2E-04</w:t>
            </w:r>
          </w:p>
        </w:tc>
      </w:tr>
      <w:tr w:rsidR="004D4AF9" w:rsidRPr="00960473" w14:paraId="79C34B34" w14:textId="77777777" w:rsidTr="003C7CFF">
        <w:trPr>
          <w:trHeight w:val="1290"/>
        </w:trPr>
        <w:tc>
          <w:tcPr>
            <w:tcW w:w="2019" w:type="dxa"/>
          </w:tcPr>
          <w:p w14:paraId="110C35B2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 xml:space="preserve">Role of </w:t>
            </w:r>
            <w:proofErr w:type="spellStart"/>
            <w:r w:rsidRPr="00E13EC6">
              <w:rPr>
                <w:rFonts w:ascii="Times New Roman" w:hAnsi="Times New Roman"/>
                <w:sz w:val="20"/>
                <w:szCs w:val="20"/>
              </w:rPr>
              <w:t>Hypercytokinemia</w:t>
            </w:r>
            <w:proofErr w:type="spellEnd"/>
            <w:r w:rsidRPr="00E13EC6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1C749F58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3EC6">
              <w:rPr>
                <w:rFonts w:ascii="Times New Roman" w:hAnsi="Times New Roman"/>
                <w:sz w:val="20"/>
                <w:szCs w:val="20"/>
              </w:rPr>
              <w:t>Hyperchemokinemia</w:t>
            </w:r>
            <w:proofErr w:type="spellEnd"/>
            <w:r w:rsidRPr="00E13EC6">
              <w:rPr>
                <w:rFonts w:ascii="Times New Roman" w:hAnsi="Times New Roman"/>
                <w:sz w:val="20"/>
                <w:szCs w:val="20"/>
              </w:rPr>
              <w:t xml:space="preserve"> in the Pathogenesis of Influenza</w:t>
            </w:r>
          </w:p>
        </w:tc>
        <w:tc>
          <w:tcPr>
            <w:tcW w:w="1008" w:type="dxa"/>
          </w:tcPr>
          <w:p w14:paraId="4111B6DB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>4.09E-03</w:t>
            </w:r>
          </w:p>
        </w:tc>
        <w:tc>
          <w:tcPr>
            <w:tcW w:w="1838" w:type="dxa"/>
          </w:tcPr>
          <w:p w14:paraId="5FA0B8C3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 xml:space="preserve">Connective Tissue </w:t>
            </w:r>
          </w:p>
          <w:p w14:paraId="33DCFC70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>Disorders</w:t>
            </w:r>
          </w:p>
        </w:tc>
        <w:tc>
          <w:tcPr>
            <w:tcW w:w="1957" w:type="dxa"/>
          </w:tcPr>
          <w:p w14:paraId="3FCD283C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>1.16E-03 – 5.79E-07</w:t>
            </w:r>
          </w:p>
        </w:tc>
        <w:tc>
          <w:tcPr>
            <w:tcW w:w="1698" w:type="dxa"/>
          </w:tcPr>
          <w:p w14:paraId="3C8D4D94" w14:textId="77777777" w:rsidR="004D4AF9" w:rsidRPr="00E13EC6" w:rsidRDefault="004D4AF9" w:rsidP="003C7CF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>Inflammatory Response</w:t>
            </w:r>
            <w:r w:rsidRPr="00E13EC6">
              <w:rPr>
                <w:rFonts w:ascii="Times New Roman" w:hAnsi="Times New Roman"/>
                <w:i/>
                <w:sz w:val="20"/>
                <w:szCs w:val="20"/>
              </w:rPr>
              <w:t>*</w:t>
            </w:r>
          </w:p>
        </w:tc>
        <w:tc>
          <w:tcPr>
            <w:tcW w:w="949" w:type="dxa"/>
          </w:tcPr>
          <w:p w14:paraId="13E6010F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>1.3E-04</w:t>
            </w:r>
          </w:p>
        </w:tc>
      </w:tr>
      <w:tr w:rsidR="004D4AF9" w:rsidRPr="00960473" w14:paraId="41AF37EB" w14:textId="77777777" w:rsidTr="003C7CFF">
        <w:trPr>
          <w:trHeight w:val="251"/>
        </w:trPr>
        <w:tc>
          <w:tcPr>
            <w:tcW w:w="9471" w:type="dxa"/>
            <w:gridSpan w:val="6"/>
          </w:tcPr>
          <w:p w14:paraId="5428F0EB" w14:textId="77777777" w:rsidR="004D4AF9" w:rsidRPr="00E13EC6" w:rsidRDefault="004D4AF9" w:rsidP="003C7CFF">
            <w:pPr>
              <w:rPr>
                <w:rFonts w:ascii="Times New Roman" w:hAnsi="Times New Roman"/>
                <w:sz w:val="20"/>
                <w:szCs w:val="20"/>
              </w:rPr>
            </w:pPr>
            <w:r w:rsidRPr="00E13EC6">
              <w:rPr>
                <w:rFonts w:ascii="Times New Roman" w:hAnsi="Times New Roman"/>
                <w:sz w:val="20"/>
                <w:szCs w:val="20"/>
              </w:rPr>
              <w:t>*Contains transcripts included in the inflammatory transcriptome</w:t>
            </w:r>
          </w:p>
        </w:tc>
      </w:tr>
    </w:tbl>
    <w:p w14:paraId="7C576A42" w14:textId="77777777" w:rsidR="003B4A66" w:rsidRPr="004D4AF9" w:rsidRDefault="00F73A99" w:rsidP="004D4AF9"/>
    <w:sectPr w:rsidR="003B4A66" w:rsidRPr="004D4AF9" w:rsidSect="00323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F9"/>
    <w:rsid w:val="00076252"/>
    <w:rsid w:val="000F4D3E"/>
    <w:rsid w:val="0016161E"/>
    <w:rsid w:val="00194040"/>
    <w:rsid w:val="00323B88"/>
    <w:rsid w:val="00347042"/>
    <w:rsid w:val="0039589D"/>
    <w:rsid w:val="00481832"/>
    <w:rsid w:val="004D4AF9"/>
    <w:rsid w:val="00667190"/>
    <w:rsid w:val="00B120C1"/>
    <w:rsid w:val="00BE250A"/>
    <w:rsid w:val="00C66F64"/>
    <w:rsid w:val="00D219EB"/>
    <w:rsid w:val="00E31228"/>
    <w:rsid w:val="00E70CB3"/>
    <w:rsid w:val="00F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96A39"/>
  <w14:defaultImageDpi w14:val="32767"/>
  <w15:chartTrackingRefBased/>
  <w15:docId w15:val="{496F564C-107E-374C-8C59-F282878A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4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AF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rgershan@gmail.com</dc:creator>
  <cp:keywords/>
  <dc:description/>
  <cp:lastModifiedBy>rgershan@gmail.com</cp:lastModifiedBy>
  <cp:revision>2</cp:revision>
  <dcterms:created xsi:type="dcterms:W3CDTF">2018-10-01T00:06:00Z</dcterms:created>
  <dcterms:modified xsi:type="dcterms:W3CDTF">2018-10-01T00:06:00Z</dcterms:modified>
</cp:coreProperties>
</file>