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C52DA" w14:textId="77777777" w:rsidR="00D0628E" w:rsidRDefault="004B225A">
      <w:pPr>
        <w:spacing w:before="66" w:line="237" w:lineRule="auto"/>
        <w:ind w:left="120" w:right="947"/>
      </w:pPr>
      <w:bookmarkStart w:id="0" w:name="_GoBack"/>
      <w:bookmarkEnd w:id="0"/>
      <w:r>
        <w:rPr>
          <w:b/>
        </w:rPr>
        <w:t>Supplementary Table 3</w:t>
      </w:r>
      <w:r>
        <w:t>. Median Number of Months between Date of Medical Services Claims for Specific Gastrointestinal Disorders and Screening History and Date of Gastric Cancer Diagnosis – 1997-2010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7"/>
        <w:gridCol w:w="1525"/>
        <w:gridCol w:w="1441"/>
        <w:gridCol w:w="1530"/>
        <w:gridCol w:w="1441"/>
        <w:gridCol w:w="1531"/>
        <w:gridCol w:w="1150"/>
      </w:tblGrid>
      <w:tr w:rsidR="00D0628E" w14:paraId="1C3CB64C" w14:textId="77777777">
        <w:trPr>
          <w:trHeight w:val="240"/>
        </w:trPr>
        <w:tc>
          <w:tcPr>
            <w:tcW w:w="2617" w:type="dxa"/>
          </w:tcPr>
          <w:p w14:paraId="63934332" w14:textId="77777777" w:rsidR="00D0628E" w:rsidRDefault="004B225A">
            <w:pPr>
              <w:pStyle w:val="TableParagraph"/>
              <w:spacing w:before="1" w:line="234" w:lineRule="exact"/>
              <w:ind w:left="565"/>
              <w:jc w:val="left"/>
              <w:rPr>
                <w:b/>
              </w:rPr>
            </w:pPr>
            <w:r>
              <w:rPr>
                <w:b/>
              </w:rPr>
              <w:t>Characteristic</w:t>
            </w:r>
          </w:p>
        </w:tc>
        <w:tc>
          <w:tcPr>
            <w:tcW w:w="1525" w:type="dxa"/>
          </w:tcPr>
          <w:p w14:paraId="2385B260" w14:textId="77777777" w:rsidR="00D0628E" w:rsidRDefault="004B225A">
            <w:pPr>
              <w:pStyle w:val="TableParagraph"/>
              <w:spacing w:before="1" w:line="234" w:lineRule="exact"/>
              <w:ind w:left="490"/>
              <w:jc w:val="lef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41" w:type="dxa"/>
          </w:tcPr>
          <w:p w14:paraId="5B18E537" w14:textId="77777777" w:rsidR="00D0628E" w:rsidRDefault="004B225A">
            <w:pPr>
              <w:pStyle w:val="TableParagraph"/>
              <w:spacing w:before="1" w:line="234" w:lineRule="exact"/>
              <w:ind w:right="93"/>
              <w:rPr>
                <w:b/>
              </w:rPr>
            </w:pPr>
            <w:r>
              <w:rPr>
                <w:b/>
              </w:rPr>
              <w:t>NHW</w:t>
            </w:r>
          </w:p>
        </w:tc>
        <w:tc>
          <w:tcPr>
            <w:tcW w:w="1530" w:type="dxa"/>
          </w:tcPr>
          <w:p w14:paraId="651E4EBD" w14:textId="77777777" w:rsidR="00D0628E" w:rsidRDefault="004B225A">
            <w:pPr>
              <w:pStyle w:val="TableParagraph"/>
              <w:spacing w:before="1" w:line="234" w:lineRule="exact"/>
              <w:ind w:left="132" w:right="140"/>
              <w:rPr>
                <w:b/>
              </w:rPr>
            </w:pPr>
            <w:r>
              <w:rPr>
                <w:b/>
              </w:rPr>
              <w:t>API</w:t>
            </w:r>
          </w:p>
        </w:tc>
        <w:tc>
          <w:tcPr>
            <w:tcW w:w="1441" w:type="dxa"/>
          </w:tcPr>
          <w:p w14:paraId="56BF87BE" w14:textId="77777777" w:rsidR="00D0628E" w:rsidRDefault="004B225A">
            <w:pPr>
              <w:pStyle w:val="TableParagraph"/>
              <w:spacing w:before="1" w:line="234" w:lineRule="exact"/>
              <w:ind w:left="255"/>
              <w:jc w:val="left"/>
              <w:rPr>
                <w:b/>
              </w:rPr>
            </w:pPr>
            <w:r>
              <w:rPr>
                <w:b/>
              </w:rPr>
              <w:t>Hispanic</w:t>
            </w:r>
          </w:p>
        </w:tc>
        <w:tc>
          <w:tcPr>
            <w:tcW w:w="1531" w:type="dxa"/>
          </w:tcPr>
          <w:p w14:paraId="0CC7711F" w14:textId="77777777" w:rsidR="00D0628E" w:rsidRDefault="004B225A">
            <w:pPr>
              <w:pStyle w:val="TableParagraph"/>
              <w:spacing w:before="1" w:line="234" w:lineRule="exact"/>
              <w:ind w:left="108" w:right="114"/>
              <w:rPr>
                <w:b/>
              </w:rPr>
            </w:pPr>
            <w:r>
              <w:rPr>
                <w:b/>
              </w:rPr>
              <w:t>Black</w:t>
            </w:r>
          </w:p>
        </w:tc>
        <w:tc>
          <w:tcPr>
            <w:tcW w:w="1150" w:type="dxa"/>
          </w:tcPr>
          <w:p w14:paraId="5A4B77B8" w14:textId="77777777" w:rsidR="00D0628E" w:rsidRDefault="00D0628E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D0628E" w14:paraId="5734AA86" w14:textId="77777777">
        <w:trPr>
          <w:trHeight w:val="240"/>
        </w:trPr>
        <w:tc>
          <w:tcPr>
            <w:tcW w:w="2617" w:type="dxa"/>
          </w:tcPr>
          <w:p w14:paraId="602A3D07" w14:textId="77777777" w:rsidR="00D0628E" w:rsidRDefault="00D0628E">
            <w:pPr>
              <w:pStyle w:val="TableParagraph"/>
              <w:spacing w:before="0"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468" w:type="dxa"/>
            <w:gridSpan w:val="5"/>
          </w:tcPr>
          <w:p w14:paraId="4F7410F4" w14:textId="77777777" w:rsidR="00D0628E" w:rsidRDefault="004B225A">
            <w:pPr>
              <w:pStyle w:val="TableParagraph"/>
              <w:spacing w:before="0" w:line="230" w:lineRule="exact"/>
              <w:ind w:left="2605" w:right="2612"/>
              <w:rPr>
                <w:b/>
              </w:rPr>
            </w:pPr>
            <w:r>
              <w:rPr>
                <w:b/>
              </w:rPr>
              <w:t>Median Months (IQR)</w:t>
            </w:r>
          </w:p>
        </w:tc>
        <w:tc>
          <w:tcPr>
            <w:tcW w:w="1150" w:type="dxa"/>
          </w:tcPr>
          <w:p w14:paraId="32BB518F" w14:textId="77777777" w:rsidR="00D0628E" w:rsidRDefault="004B225A">
            <w:pPr>
              <w:pStyle w:val="TableParagraph"/>
              <w:spacing w:before="0" w:line="230" w:lineRule="exact"/>
              <w:ind w:left="161" w:right="168"/>
              <w:rPr>
                <w:b/>
              </w:rPr>
            </w:pPr>
            <w:r>
              <w:rPr>
                <w:b/>
              </w:rPr>
              <w:t>p-value</w:t>
            </w:r>
          </w:p>
        </w:tc>
      </w:tr>
      <w:tr w:rsidR="00D0628E" w14:paraId="0BD68D92" w14:textId="77777777">
        <w:trPr>
          <w:trHeight w:val="240"/>
        </w:trPr>
        <w:tc>
          <w:tcPr>
            <w:tcW w:w="2617" w:type="dxa"/>
          </w:tcPr>
          <w:p w14:paraId="1A7EACC6" w14:textId="77777777" w:rsidR="00D0628E" w:rsidRDefault="004B225A">
            <w:pPr>
              <w:pStyle w:val="TableParagraph"/>
              <w:spacing w:before="1" w:line="234" w:lineRule="exact"/>
              <w:ind w:left="100"/>
              <w:jc w:val="left"/>
            </w:pPr>
            <w:r>
              <w:t>Peptic Ulcer</w:t>
            </w:r>
          </w:p>
        </w:tc>
        <w:tc>
          <w:tcPr>
            <w:tcW w:w="1525" w:type="dxa"/>
          </w:tcPr>
          <w:p w14:paraId="08B6F675" w14:textId="77777777" w:rsidR="00D0628E" w:rsidRDefault="004B225A">
            <w:pPr>
              <w:pStyle w:val="TableParagraph"/>
              <w:spacing w:before="0" w:line="235" w:lineRule="exact"/>
              <w:ind w:left="155"/>
              <w:jc w:val="left"/>
              <w:rPr>
                <w:sz w:val="21"/>
              </w:rPr>
            </w:pPr>
            <w:r>
              <w:rPr>
                <w:sz w:val="21"/>
              </w:rPr>
              <w:t>-3.81 (29.11)</w:t>
            </w:r>
          </w:p>
        </w:tc>
        <w:tc>
          <w:tcPr>
            <w:tcW w:w="1441" w:type="dxa"/>
          </w:tcPr>
          <w:p w14:paraId="6E19A7C4" w14:textId="77777777" w:rsidR="00D0628E" w:rsidRDefault="004B225A">
            <w:pPr>
              <w:pStyle w:val="TableParagraph"/>
              <w:spacing w:before="10"/>
              <w:ind w:right="100"/>
              <w:rPr>
                <w:sz w:val="21"/>
              </w:rPr>
            </w:pPr>
            <w:r>
              <w:rPr>
                <w:sz w:val="21"/>
              </w:rPr>
              <w:t>-3.81 (28.22)</w:t>
            </w:r>
          </w:p>
        </w:tc>
        <w:tc>
          <w:tcPr>
            <w:tcW w:w="1530" w:type="dxa"/>
          </w:tcPr>
          <w:p w14:paraId="6945EC0F" w14:textId="77777777" w:rsidR="00D0628E" w:rsidRDefault="004B225A">
            <w:pPr>
              <w:pStyle w:val="TableParagraph"/>
              <w:spacing w:before="10"/>
              <w:ind w:left="132" w:right="140"/>
              <w:rPr>
                <w:sz w:val="21"/>
              </w:rPr>
            </w:pPr>
            <w:r>
              <w:rPr>
                <w:sz w:val="21"/>
              </w:rPr>
              <w:t>-6.52 (39.4)</w:t>
            </w:r>
          </w:p>
        </w:tc>
        <w:tc>
          <w:tcPr>
            <w:tcW w:w="1441" w:type="dxa"/>
          </w:tcPr>
          <w:p w14:paraId="3A7DDDFB" w14:textId="77777777" w:rsidR="00D0628E" w:rsidRDefault="004B225A">
            <w:pPr>
              <w:pStyle w:val="TableParagraph"/>
              <w:spacing w:before="10"/>
              <w:ind w:left="0" w:right="178"/>
              <w:jc w:val="right"/>
              <w:rPr>
                <w:sz w:val="21"/>
              </w:rPr>
            </w:pPr>
            <w:r>
              <w:rPr>
                <w:sz w:val="21"/>
              </w:rPr>
              <w:t>-1.81 (26.6)</w:t>
            </w:r>
          </w:p>
        </w:tc>
        <w:tc>
          <w:tcPr>
            <w:tcW w:w="1531" w:type="dxa"/>
          </w:tcPr>
          <w:p w14:paraId="09B9BA8E" w14:textId="77777777" w:rsidR="00D0628E" w:rsidRDefault="004B225A">
            <w:pPr>
              <w:pStyle w:val="TableParagraph"/>
              <w:spacing w:before="10"/>
              <w:ind w:left="108" w:right="116"/>
              <w:rPr>
                <w:sz w:val="21"/>
              </w:rPr>
            </w:pPr>
            <w:r>
              <w:rPr>
                <w:sz w:val="21"/>
              </w:rPr>
              <w:t>-3.19 (23.5)</w:t>
            </w:r>
          </w:p>
        </w:tc>
        <w:tc>
          <w:tcPr>
            <w:tcW w:w="1150" w:type="dxa"/>
          </w:tcPr>
          <w:p w14:paraId="3536A14B" w14:textId="77777777" w:rsidR="00D0628E" w:rsidRDefault="004B225A">
            <w:pPr>
              <w:pStyle w:val="TableParagraph"/>
              <w:spacing w:before="10"/>
              <w:ind w:left="156" w:right="168"/>
              <w:rPr>
                <w:sz w:val="21"/>
              </w:rPr>
            </w:pPr>
            <w:r>
              <w:rPr>
                <w:sz w:val="21"/>
              </w:rPr>
              <w:t>&lt;0.001</w:t>
            </w:r>
          </w:p>
        </w:tc>
      </w:tr>
      <w:tr w:rsidR="00D0628E" w14:paraId="51A53538" w14:textId="77777777">
        <w:trPr>
          <w:trHeight w:val="240"/>
        </w:trPr>
        <w:tc>
          <w:tcPr>
            <w:tcW w:w="2617" w:type="dxa"/>
          </w:tcPr>
          <w:p w14:paraId="4101CCEA" w14:textId="77777777" w:rsidR="00D0628E" w:rsidRDefault="004B225A">
            <w:pPr>
              <w:pStyle w:val="TableParagraph"/>
              <w:spacing w:before="1" w:line="234" w:lineRule="exact"/>
              <w:ind w:left="100"/>
              <w:jc w:val="left"/>
            </w:pPr>
            <w:r>
              <w:t>Gastric Ulcer</w:t>
            </w:r>
          </w:p>
        </w:tc>
        <w:tc>
          <w:tcPr>
            <w:tcW w:w="1525" w:type="dxa"/>
          </w:tcPr>
          <w:p w14:paraId="7D1F13A8" w14:textId="77777777" w:rsidR="00D0628E" w:rsidRDefault="004B225A">
            <w:pPr>
              <w:pStyle w:val="TableParagraph"/>
              <w:spacing w:before="0" w:line="235" w:lineRule="exact"/>
              <w:ind w:left="245"/>
              <w:jc w:val="left"/>
              <w:rPr>
                <w:sz w:val="21"/>
              </w:rPr>
            </w:pPr>
            <w:r>
              <w:rPr>
                <w:sz w:val="21"/>
              </w:rPr>
              <w:t>0.10 (6.80)</w:t>
            </w:r>
          </w:p>
        </w:tc>
        <w:tc>
          <w:tcPr>
            <w:tcW w:w="1441" w:type="dxa"/>
          </w:tcPr>
          <w:p w14:paraId="2C420E64" w14:textId="77777777" w:rsidR="00D0628E" w:rsidRDefault="004B225A">
            <w:pPr>
              <w:pStyle w:val="TableParagraph"/>
              <w:spacing w:before="6" w:line="229" w:lineRule="exact"/>
              <w:ind w:right="95"/>
              <w:rPr>
                <w:sz w:val="21"/>
              </w:rPr>
            </w:pPr>
            <w:r>
              <w:rPr>
                <w:sz w:val="21"/>
              </w:rPr>
              <w:t>0.13 (6.73)</w:t>
            </w:r>
          </w:p>
        </w:tc>
        <w:tc>
          <w:tcPr>
            <w:tcW w:w="1530" w:type="dxa"/>
          </w:tcPr>
          <w:p w14:paraId="7D2EDDA1" w14:textId="77777777" w:rsidR="00D0628E" w:rsidRDefault="004B225A">
            <w:pPr>
              <w:pStyle w:val="TableParagraph"/>
              <w:spacing w:before="6" w:line="229" w:lineRule="exact"/>
              <w:ind w:left="132" w:right="140"/>
              <w:rPr>
                <w:sz w:val="21"/>
              </w:rPr>
            </w:pPr>
            <w:r>
              <w:rPr>
                <w:sz w:val="21"/>
              </w:rPr>
              <w:t>0.13 (7.59)</w:t>
            </w:r>
          </w:p>
        </w:tc>
        <w:tc>
          <w:tcPr>
            <w:tcW w:w="1441" w:type="dxa"/>
          </w:tcPr>
          <w:p w14:paraId="09F95863" w14:textId="77777777" w:rsidR="00D0628E" w:rsidRDefault="004B225A">
            <w:pPr>
              <w:pStyle w:val="TableParagraph"/>
              <w:spacing w:before="6" w:line="229" w:lineRule="exact"/>
              <w:ind w:left="205"/>
              <w:jc w:val="left"/>
              <w:rPr>
                <w:sz w:val="21"/>
              </w:rPr>
            </w:pPr>
            <w:r>
              <w:rPr>
                <w:sz w:val="21"/>
              </w:rPr>
              <w:t>0.16 (6.47)</w:t>
            </w:r>
          </w:p>
        </w:tc>
        <w:tc>
          <w:tcPr>
            <w:tcW w:w="1531" w:type="dxa"/>
          </w:tcPr>
          <w:p w14:paraId="3DC07AD9" w14:textId="77777777" w:rsidR="00D0628E" w:rsidRDefault="004B225A">
            <w:pPr>
              <w:pStyle w:val="TableParagraph"/>
              <w:spacing w:before="6" w:line="229" w:lineRule="exact"/>
              <w:ind w:left="108" w:right="116"/>
              <w:rPr>
                <w:sz w:val="21"/>
              </w:rPr>
            </w:pPr>
            <w:r>
              <w:rPr>
                <w:sz w:val="21"/>
              </w:rPr>
              <w:t>0.00 (7.72)</w:t>
            </w:r>
          </w:p>
        </w:tc>
        <w:tc>
          <w:tcPr>
            <w:tcW w:w="1150" w:type="dxa"/>
          </w:tcPr>
          <w:p w14:paraId="1C35A91B" w14:textId="77777777" w:rsidR="00D0628E" w:rsidRDefault="004B225A">
            <w:pPr>
              <w:pStyle w:val="TableParagraph"/>
              <w:spacing w:before="6" w:line="229" w:lineRule="exact"/>
              <w:ind w:left="161" w:right="167"/>
              <w:rPr>
                <w:sz w:val="21"/>
              </w:rPr>
            </w:pPr>
            <w:r>
              <w:rPr>
                <w:sz w:val="21"/>
              </w:rPr>
              <w:t>0.006</w:t>
            </w:r>
          </w:p>
        </w:tc>
      </w:tr>
      <w:tr w:rsidR="00D0628E" w14:paraId="13E80CA6" w14:textId="77777777">
        <w:trPr>
          <w:trHeight w:val="240"/>
        </w:trPr>
        <w:tc>
          <w:tcPr>
            <w:tcW w:w="2617" w:type="dxa"/>
          </w:tcPr>
          <w:p w14:paraId="49F778F7" w14:textId="77777777" w:rsidR="00D0628E" w:rsidRDefault="004B225A">
            <w:pPr>
              <w:pStyle w:val="TableParagraph"/>
              <w:spacing w:before="0" w:line="230" w:lineRule="exact"/>
              <w:ind w:left="100"/>
              <w:jc w:val="left"/>
            </w:pPr>
            <w:r>
              <w:t>Duodenal Ulcer</w:t>
            </w:r>
          </w:p>
        </w:tc>
        <w:tc>
          <w:tcPr>
            <w:tcW w:w="1525" w:type="dxa"/>
          </w:tcPr>
          <w:p w14:paraId="35E86A7B" w14:textId="77777777" w:rsidR="00D0628E" w:rsidRDefault="004B225A">
            <w:pPr>
              <w:pStyle w:val="TableParagraph"/>
              <w:spacing w:before="0" w:line="230" w:lineRule="exact"/>
              <w:ind w:left="155"/>
              <w:jc w:val="left"/>
              <w:rPr>
                <w:sz w:val="21"/>
              </w:rPr>
            </w:pPr>
            <w:r>
              <w:rPr>
                <w:sz w:val="21"/>
              </w:rPr>
              <w:t>-1.94 (19.61)</w:t>
            </w:r>
          </w:p>
        </w:tc>
        <w:tc>
          <w:tcPr>
            <w:tcW w:w="1441" w:type="dxa"/>
          </w:tcPr>
          <w:p w14:paraId="3049C6DA" w14:textId="77777777" w:rsidR="00D0628E" w:rsidRDefault="004B225A">
            <w:pPr>
              <w:pStyle w:val="TableParagraph"/>
              <w:ind w:right="100"/>
              <w:rPr>
                <w:sz w:val="21"/>
              </w:rPr>
            </w:pPr>
            <w:r>
              <w:rPr>
                <w:sz w:val="21"/>
              </w:rPr>
              <w:t>-2.27 (18.07)</w:t>
            </w:r>
          </w:p>
        </w:tc>
        <w:tc>
          <w:tcPr>
            <w:tcW w:w="1530" w:type="dxa"/>
          </w:tcPr>
          <w:p w14:paraId="195E6EB1" w14:textId="77777777" w:rsidR="00D0628E" w:rsidRDefault="004B225A">
            <w:pPr>
              <w:pStyle w:val="TableParagraph"/>
              <w:ind w:left="132" w:right="144"/>
              <w:rPr>
                <w:sz w:val="21"/>
              </w:rPr>
            </w:pPr>
            <w:r>
              <w:rPr>
                <w:sz w:val="21"/>
              </w:rPr>
              <w:t>-2.63 (36.44)</w:t>
            </w:r>
          </w:p>
        </w:tc>
        <w:tc>
          <w:tcPr>
            <w:tcW w:w="1441" w:type="dxa"/>
          </w:tcPr>
          <w:p w14:paraId="56C93971" w14:textId="77777777" w:rsidR="00D0628E" w:rsidRDefault="004B225A">
            <w:pPr>
              <w:pStyle w:val="TableParagraph"/>
              <w:ind w:left="0" w:right="123"/>
              <w:jc w:val="right"/>
              <w:rPr>
                <w:sz w:val="21"/>
              </w:rPr>
            </w:pPr>
            <w:r>
              <w:rPr>
                <w:sz w:val="21"/>
              </w:rPr>
              <w:t>-0.38 (18.24)</w:t>
            </w:r>
          </w:p>
        </w:tc>
        <w:tc>
          <w:tcPr>
            <w:tcW w:w="1531" w:type="dxa"/>
          </w:tcPr>
          <w:p w14:paraId="00AD8649" w14:textId="77777777" w:rsidR="00D0628E" w:rsidRDefault="004B225A">
            <w:pPr>
              <w:pStyle w:val="TableParagraph"/>
              <w:ind w:left="108" w:right="121"/>
              <w:rPr>
                <w:sz w:val="21"/>
              </w:rPr>
            </w:pPr>
            <w:r>
              <w:rPr>
                <w:sz w:val="21"/>
              </w:rPr>
              <w:t>-1.63 (20.40)</w:t>
            </w:r>
          </w:p>
        </w:tc>
        <w:tc>
          <w:tcPr>
            <w:tcW w:w="1150" w:type="dxa"/>
          </w:tcPr>
          <w:p w14:paraId="1C055705" w14:textId="77777777" w:rsidR="00D0628E" w:rsidRDefault="004B225A">
            <w:pPr>
              <w:pStyle w:val="TableParagraph"/>
              <w:ind w:left="161" w:right="167"/>
              <w:rPr>
                <w:sz w:val="21"/>
              </w:rPr>
            </w:pPr>
            <w:r>
              <w:rPr>
                <w:sz w:val="21"/>
              </w:rPr>
              <w:t>0.126</w:t>
            </w:r>
          </w:p>
        </w:tc>
      </w:tr>
      <w:tr w:rsidR="00D0628E" w14:paraId="1A3E7B23" w14:textId="77777777">
        <w:trPr>
          <w:trHeight w:val="240"/>
        </w:trPr>
        <w:tc>
          <w:tcPr>
            <w:tcW w:w="2617" w:type="dxa"/>
          </w:tcPr>
          <w:p w14:paraId="4839F344" w14:textId="77777777" w:rsidR="00D0628E" w:rsidRDefault="004B225A">
            <w:pPr>
              <w:pStyle w:val="TableParagraph"/>
              <w:spacing w:before="1" w:line="234" w:lineRule="exact"/>
              <w:ind w:left="100"/>
              <w:jc w:val="left"/>
            </w:pPr>
            <w:proofErr w:type="spellStart"/>
            <w:r>
              <w:t>Gastrojejunal</w:t>
            </w:r>
            <w:proofErr w:type="spellEnd"/>
            <w:r>
              <w:t xml:space="preserve"> Ulcer</w:t>
            </w:r>
          </w:p>
        </w:tc>
        <w:tc>
          <w:tcPr>
            <w:tcW w:w="1525" w:type="dxa"/>
          </w:tcPr>
          <w:p w14:paraId="72364750" w14:textId="77777777" w:rsidR="00D0628E" w:rsidRDefault="004B225A">
            <w:pPr>
              <w:pStyle w:val="TableParagraph"/>
              <w:spacing w:before="0" w:line="235" w:lineRule="exact"/>
              <w:ind w:left="190"/>
              <w:jc w:val="left"/>
              <w:rPr>
                <w:sz w:val="21"/>
              </w:rPr>
            </w:pPr>
            <w:r>
              <w:rPr>
                <w:sz w:val="21"/>
              </w:rPr>
              <w:t>1.35 (21.12)</w:t>
            </w:r>
          </w:p>
        </w:tc>
        <w:tc>
          <w:tcPr>
            <w:tcW w:w="1441" w:type="dxa"/>
          </w:tcPr>
          <w:p w14:paraId="275AB4DC" w14:textId="77777777" w:rsidR="00D0628E" w:rsidRDefault="004B225A">
            <w:pPr>
              <w:pStyle w:val="TableParagraph"/>
              <w:spacing w:line="229" w:lineRule="exact"/>
              <w:ind w:right="96"/>
              <w:rPr>
                <w:sz w:val="21"/>
              </w:rPr>
            </w:pPr>
            <w:r>
              <w:rPr>
                <w:sz w:val="21"/>
              </w:rPr>
              <w:t>0.79 (18.10)</w:t>
            </w:r>
          </w:p>
        </w:tc>
        <w:tc>
          <w:tcPr>
            <w:tcW w:w="1530" w:type="dxa"/>
          </w:tcPr>
          <w:p w14:paraId="5DD92BDE" w14:textId="77777777" w:rsidR="00D0628E" w:rsidRDefault="004B225A">
            <w:pPr>
              <w:pStyle w:val="TableParagraph"/>
              <w:spacing w:line="229" w:lineRule="exact"/>
              <w:ind w:left="132" w:right="140"/>
              <w:rPr>
                <w:sz w:val="21"/>
              </w:rPr>
            </w:pPr>
            <w:r>
              <w:rPr>
                <w:sz w:val="21"/>
              </w:rPr>
              <w:t>4.34 (28.35)</w:t>
            </w:r>
          </w:p>
        </w:tc>
        <w:tc>
          <w:tcPr>
            <w:tcW w:w="1441" w:type="dxa"/>
          </w:tcPr>
          <w:p w14:paraId="6F74DC95" w14:textId="77777777" w:rsidR="00D0628E" w:rsidRDefault="004B225A">
            <w:pPr>
              <w:pStyle w:val="TableParagraph"/>
              <w:spacing w:line="229" w:lineRule="exact"/>
              <w:ind w:left="0" w:right="154"/>
              <w:jc w:val="right"/>
              <w:rPr>
                <w:sz w:val="21"/>
              </w:rPr>
            </w:pPr>
            <w:r>
              <w:rPr>
                <w:sz w:val="21"/>
              </w:rPr>
              <w:t>8.67 (31.83)</w:t>
            </w:r>
          </w:p>
        </w:tc>
        <w:tc>
          <w:tcPr>
            <w:tcW w:w="1531" w:type="dxa"/>
          </w:tcPr>
          <w:p w14:paraId="713F2069" w14:textId="77777777" w:rsidR="00D0628E" w:rsidRDefault="004B225A">
            <w:pPr>
              <w:pStyle w:val="TableParagraph"/>
              <w:spacing w:line="229" w:lineRule="exact"/>
              <w:ind w:left="108" w:right="116"/>
              <w:rPr>
                <w:sz w:val="21"/>
              </w:rPr>
            </w:pPr>
            <w:r>
              <w:rPr>
                <w:sz w:val="21"/>
              </w:rPr>
              <w:t>0.97 (18.94)</w:t>
            </w:r>
          </w:p>
        </w:tc>
        <w:tc>
          <w:tcPr>
            <w:tcW w:w="1150" w:type="dxa"/>
          </w:tcPr>
          <w:p w14:paraId="1DCB45B9" w14:textId="77777777" w:rsidR="00D0628E" w:rsidRDefault="004B225A">
            <w:pPr>
              <w:pStyle w:val="TableParagraph"/>
              <w:spacing w:line="229" w:lineRule="exact"/>
              <w:ind w:left="161" w:right="167"/>
              <w:rPr>
                <w:sz w:val="21"/>
              </w:rPr>
            </w:pPr>
            <w:r>
              <w:rPr>
                <w:sz w:val="21"/>
              </w:rPr>
              <w:t>0.002</w:t>
            </w:r>
          </w:p>
        </w:tc>
      </w:tr>
      <w:tr w:rsidR="00D0628E" w14:paraId="4FE3F25B" w14:textId="77777777">
        <w:trPr>
          <w:trHeight w:val="240"/>
        </w:trPr>
        <w:tc>
          <w:tcPr>
            <w:tcW w:w="2617" w:type="dxa"/>
          </w:tcPr>
          <w:p w14:paraId="6A06B8A4" w14:textId="77777777" w:rsidR="00D0628E" w:rsidRDefault="004B225A">
            <w:pPr>
              <w:pStyle w:val="TableParagraph"/>
              <w:spacing w:before="0" w:line="230" w:lineRule="exact"/>
              <w:ind w:left="100"/>
              <w:jc w:val="left"/>
            </w:pPr>
            <w:r>
              <w:t>Gastritis</w:t>
            </w:r>
          </w:p>
        </w:tc>
        <w:tc>
          <w:tcPr>
            <w:tcW w:w="1525" w:type="dxa"/>
          </w:tcPr>
          <w:p w14:paraId="1EE65DFF" w14:textId="77777777" w:rsidR="00D0628E" w:rsidRDefault="004B225A">
            <w:pPr>
              <w:pStyle w:val="TableParagraph"/>
              <w:spacing w:before="0" w:line="230" w:lineRule="exact"/>
              <w:ind w:left="155"/>
              <w:jc w:val="left"/>
              <w:rPr>
                <w:sz w:val="21"/>
              </w:rPr>
            </w:pPr>
            <w:r>
              <w:rPr>
                <w:sz w:val="21"/>
              </w:rPr>
              <w:t>-0.33 (18.30)</w:t>
            </w:r>
          </w:p>
        </w:tc>
        <w:tc>
          <w:tcPr>
            <w:tcW w:w="1441" w:type="dxa"/>
          </w:tcPr>
          <w:p w14:paraId="06B0C121" w14:textId="77777777" w:rsidR="00D0628E" w:rsidRDefault="004B225A">
            <w:pPr>
              <w:pStyle w:val="TableParagraph"/>
              <w:ind w:right="96"/>
              <w:rPr>
                <w:sz w:val="21"/>
              </w:rPr>
            </w:pPr>
            <w:r>
              <w:rPr>
                <w:sz w:val="21"/>
              </w:rPr>
              <w:t>0.00 (14.65)</w:t>
            </w:r>
          </w:p>
        </w:tc>
        <w:tc>
          <w:tcPr>
            <w:tcW w:w="1530" w:type="dxa"/>
          </w:tcPr>
          <w:p w14:paraId="45EDB906" w14:textId="77777777" w:rsidR="00D0628E" w:rsidRDefault="004B225A">
            <w:pPr>
              <w:pStyle w:val="TableParagraph"/>
              <w:ind w:left="132" w:right="145"/>
              <w:rPr>
                <w:sz w:val="21"/>
              </w:rPr>
            </w:pPr>
            <w:r>
              <w:rPr>
                <w:sz w:val="21"/>
              </w:rPr>
              <w:t>-1.87 (31.27)</w:t>
            </w:r>
          </w:p>
        </w:tc>
        <w:tc>
          <w:tcPr>
            <w:tcW w:w="1441" w:type="dxa"/>
          </w:tcPr>
          <w:p w14:paraId="4BDFF132" w14:textId="77777777" w:rsidR="00D0628E" w:rsidRDefault="004B225A">
            <w:pPr>
              <w:pStyle w:val="TableParagraph"/>
              <w:ind w:left="0" w:right="123"/>
              <w:jc w:val="right"/>
              <w:rPr>
                <w:sz w:val="21"/>
              </w:rPr>
            </w:pPr>
            <w:r>
              <w:rPr>
                <w:sz w:val="21"/>
              </w:rPr>
              <w:t>-1.02 (22.70)</w:t>
            </w:r>
          </w:p>
        </w:tc>
        <w:tc>
          <w:tcPr>
            <w:tcW w:w="1531" w:type="dxa"/>
          </w:tcPr>
          <w:p w14:paraId="6934F915" w14:textId="77777777" w:rsidR="00D0628E" w:rsidRDefault="004B225A">
            <w:pPr>
              <w:pStyle w:val="TableParagraph"/>
              <w:ind w:left="108" w:right="121"/>
              <w:rPr>
                <w:sz w:val="21"/>
              </w:rPr>
            </w:pPr>
            <w:r>
              <w:rPr>
                <w:sz w:val="21"/>
              </w:rPr>
              <w:t>-0.69 (18.82)</w:t>
            </w:r>
          </w:p>
        </w:tc>
        <w:tc>
          <w:tcPr>
            <w:tcW w:w="1150" w:type="dxa"/>
          </w:tcPr>
          <w:p w14:paraId="30448661" w14:textId="77777777" w:rsidR="00D0628E" w:rsidRDefault="004B225A">
            <w:pPr>
              <w:pStyle w:val="TableParagraph"/>
              <w:ind w:left="156" w:right="168"/>
              <w:rPr>
                <w:sz w:val="21"/>
              </w:rPr>
            </w:pPr>
            <w:r>
              <w:rPr>
                <w:sz w:val="21"/>
              </w:rPr>
              <w:t>&lt;0.001</w:t>
            </w:r>
          </w:p>
        </w:tc>
      </w:tr>
      <w:tr w:rsidR="00D0628E" w14:paraId="4118530A" w14:textId="77777777">
        <w:trPr>
          <w:trHeight w:val="240"/>
        </w:trPr>
        <w:tc>
          <w:tcPr>
            <w:tcW w:w="2617" w:type="dxa"/>
          </w:tcPr>
          <w:p w14:paraId="76D572F5" w14:textId="77777777" w:rsidR="00D0628E" w:rsidRDefault="004B225A">
            <w:pPr>
              <w:pStyle w:val="TableParagraph"/>
              <w:spacing w:before="1" w:line="234" w:lineRule="exact"/>
              <w:ind w:left="100"/>
              <w:jc w:val="left"/>
            </w:pPr>
            <w:r>
              <w:t>Disorders Function</w:t>
            </w:r>
          </w:p>
        </w:tc>
        <w:tc>
          <w:tcPr>
            <w:tcW w:w="1525" w:type="dxa"/>
          </w:tcPr>
          <w:p w14:paraId="75A82267" w14:textId="77777777" w:rsidR="00D0628E" w:rsidRDefault="004B225A">
            <w:pPr>
              <w:pStyle w:val="TableParagraph"/>
              <w:spacing w:before="0" w:line="235" w:lineRule="exact"/>
              <w:ind w:left="190"/>
              <w:jc w:val="left"/>
              <w:rPr>
                <w:sz w:val="21"/>
              </w:rPr>
            </w:pPr>
            <w:r>
              <w:rPr>
                <w:sz w:val="21"/>
              </w:rPr>
              <w:t>0.36 (16.92)</w:t>
            </w:r>
          </w:p>
        </w:tc>
        <w:tc>
          <w:tcPr>
            <w:tcW w:w="1441" w:type="dxa"/>
          </w:tcPr>
          <w:p w14:paraId="4E3CBDEE" w14:textId="77777777" w:rsidR="00D0628E" w:rsidRDefault="004B225A">
            <w:pPr>
              <w:pStyle w:val="TableParagraph"/>
              <w:spacing w:before="10"/>
              <w:ind w:right="96"/>
              <w:rPr>
                <w:sz w:val="21"/>
              </w:rPr>
            </w:pPr>
            <w:r>
              <w:rPr>
                <w:sz w:val="21"/>
              </w:rPr>
              <w:t>0.43 (15.01)</w:t>
            </w:r>
          </w:p>
        </w:tc>
        <w:tc>
          <w:tcPr>
            <w:tcW w:w="1530" w:type="dxa"/>
          </w:tcPr>
          <w:p w14:paraId="0B4F3EB0" w14:textId="77777777" w:rsidR="00D0628E" w:rsidRDefault="004B225A">
            <w:pPr>
              <w:pStyle w:val="TableParagraph"/>
              <w:spacing w:before="10"/>
              <w:ind w:left="132" w:right="140"/>
              <w:rPr>
                <w:sz w:val="21"/>
              </w:rPr>
            </w:pPr>
            <w:r>
              <w:rPr>
                <w:sz w:val="21"/>
              </w:rPr>
              <w:t>0.03 (27.50)</w:t>
            </w:r>
          </w:p>
        </w:tc>
        <w:tc>
          <w:tcPr>
            <w:tcW w:w="1441" w:type="dxa"/>
          </w:tcPr>
          <w:p w14:paraId="7A2496A3" w14:textId="77777777" w:rsidR="00D0628E" w:rsidRDefault="004B225A">
            <w:pPr>
              <w:pStyle w:val="TableParagraph"/>
              <w:spacing w:before="10"/>
              <w:ind w:left="205"/>
              <w:jc w:val="left"/>
              <w:rPr>
                <w:sz w:val="21"/>
              </w:rPr>
            </w:pPr>
            <w:r>
              <w:rPr>
                <w:sz w:val="21"/>
              </w:rPr>
              <w:t>0.56 (0.49)</w:t>
            </w:r>
          </w:p>
        </w:tc>
        <w:tc>
          <w:tcPr>
            <w:tcW w:w="1531" w:type="dxa"/>
          </w:tcPr>
          <w:p w14:paraId="68B3EDF6" w14:textId="77777777" w:rsidR="00D0628E" w:rsidRDefault="004B225A">
            <w:pPr>
              <w:pStyle w:val="TableParagraph"/>
              <w:spacing w:before="10"/>
              <w:ind w:left="108" w:right="116"/>
              <w:rPr>
                <w:sz w:val="21"/>
              </w:rPr>
            </w:pPr>
            <w:r>
              <w:rPr>
                <w:sz w:val="21"/>
              </w:rPr>
              <w:t>0.49 (18.17)</w:t>
            </w:r>
          </w:p>
        </w:tc>
        <w:tc>
          <w:tcPr>
            <w:tcW w:w="1150" w:type="dxa"/>
          </w:tcPr>
          <w:p w14:paraId="59BCF538" w14:textId="77777777" w:rsidR="00D0628E" w:rsidRDefault="004B225A">
            <w:pPr>
              <w:pStyle w:val="TableParagraph"/>
              <w:spacing w:before="10"/>
              <w:ind w:left="156" w:right="168"/>
              <w:rPr>
                <w:sz w:val="21"/>
              </w:rPr>
            </w:pPr>
            <w:r>
              <w:rPr>
                <w:sz w:val="21"/>
              </w:rPr>
              <w:t>&lt;0.001</w:t>
            </w:r>
          </w:p>
        </w:tc>
      </w:tr>
      <w:tr w:rsidR="00D0628E" w14:paraId="341B0969" w14:textId="77777777">
        <w:trPr>
          <w:trHeight w:val="240"/>
        </w:trPr>
        <w:tc>
          <w:tcPr>
            <w:tcW w:w="2617" w:type="dxa"/>
          </w:tcPr>
          <w:p w14:paraId="5D367D79" w14:textId="77777777" w:rsidR="00D0628E" w:rsidRDefault="004B225A">
            <w:pPr>
              <w:pStyle w:val="TableParagraph"/>
              <w:spacing w:before="1" w:line="234" w:lineRule="exact"/>
              <w:ind w:left="100"/>
              <w:jc w:val="left"/>
            </w:pPr>
            <w:r>
              <w:t>Disorders Others</w:t>
            </w:r>
          </w:p>
        </w:tc>
        <w:tc>
          <w:tcPr>
            <w:tcW w:w="1525" w:type="dxa"/>
          </w:tcPr>
          <w:p w14:paraId="0E7878CE" w14:textId="77777777" w:rsidR="00D0628E" w:rsidRDefault="004B225A">
            <w:pPr>
              <w:pStyle w:val="TableParagraph"/>
              <w:spacing w:before="0" w:line="235" w:lineRule="exact"/>
              <w:ind w:left="245"/>
              <w:jc w:val="left"/>
              <w:rPr>
                <w:sz w:val="21"/>
              </w:rPr>
            </w:pPr>
            <w:r>
              <w:rPr>
                <w:sz w:val="21"/>
              </w:rPr>
              <w:t>0.49 (9.83)</w:t>
            </w:r>
          </w:p>
        </w:tc>
        <w:tc>
          <w:tcPr>
            <w:tcW w:w="1441" w:type="dxa"/>
          </w:tcPr>
          <w:p w14:paraId="3EBF3540" w14:textId="77777777" w:rsidR="00D0628E" w:rsidRDefault="004B225A">
            <w:pPr>
              <w:pStyle w:val="TableParagraph"/>
              <w:spacing w:line="229" w:lineRule="exact"/>
              <w:ind w:right="95"/>
              <w:rPr>
                <w:sz w:val="21"/>
              </w:rPr>
            </w:pPr>
            <w:r>
              <w:rPr>
                <w:sz w:val="21"/>
              </w:rPr>
              <w:t>0.53 (9.95)</w:t>
            </w:r>
          </w:p>
        </w:tc>
        <w:tc>
          <w:tcPr>
            <w:tcW w:w="1530" w:type="dxa"/>
          </w:tcPr>
          <w:p w14:paraId="486ABDDA" w14:textId="77777777" w:rsidR="00D0628E" w:rsidRDefault="004B225A">
            <w:pPr>
              <w:pStyle w:val="TableParagraph"/>
              <w:spacing w:line="229" w:lineRule="exact"/>
              <w:ind w:left="132" w:right="140"/>
              <w:rPr>
                <w:sz w:val="21"/>
              </w:rPr>
            </w:pPr>
            <w:r>
              <w:rPr>
                <w:sz w:val="21"/>
              </w:rPr>
              <w:t>0.56 (11.86)</w:t>
            </w:r>
          </w:p>
        </w:tc>
        <w:tc>
          <w:tcPr>
            <w:tcW w:w="1441" w:type="dxa"/>
          </w:tcPr>
          <w:p w14:paraId="420239B9" w14:textId="77777777" w:rsidR="00D0628E" w:rsidRDefault="004B225A">
            <w:pPr>
              <w:pStyle w:val="TableParagraph"/>
              <w:spacing w:line="229" w:lineRule="exact"/>
              <w:ind w:left="205"/>
              <w:jc w:val="left"/>
              <w:rPr>
                <w:sz w:val="21"/>
              </w:rPr>
            </w:pPr>
            <w:r>
              <w:rPr>
                <w:sz w:val="21"/>
              </w:rPr>
              <w:t>0.49 (0.33)</w:t>
            </w:r>
          </w:p>
        </w:tc>
        <w:tc>
          <w:tcPr>
            <w:tcW w:w="1531" w:type="dxa"/>
          </w:tcPr>
          <w:p w14:paraId="6A6D4CC4" w14:textId="77777777" w:rsidR="00D0628E" w:rsidRDefault="004B225A">
            <w:pPr>
              <w:pStyle w:val="TableParagraph"/>
              <w:spacing w:line="229" w:lineRule="exact"/>
              <w:ind w:left="108" w:right="116"/>
              <w:rPr>
                <w:sz w:val="21"/>
              </w:rPr>
            </w:pPr>
            <w:r>
              <w:rPr>
                <w:sz w:val="21"/>
              </w:rPr>
              <w:t>0.33 (8.54)</w:t>
            </w:r>
          </w:p>
        </w:tc>
        <w:tc>
          <w:tcPr>
            <w:tcW w:w="1150" w:type="dxa"/>
          </w:tcPr>
          <w:p w14:paraId="7E26DDE1" w14:textId="77777777" w:rsidR="00D0628E" w:rsidRDefault="004B225A">
            <w:pPr>
              <w:pStyle w:val="TableParagraph"/>
              <w:spacing w:line="229" w:lineRule="exact"/>
              <w:ind w:left="161" w:right="167"/>
              <w:rPr>
                <w:sz w:val="21"/>
              </w:rPr>
            </w:pPr>
            <w:r>
              <w:rPr>
                <w:sz w:val="21"/>
              </w:rPr>
              <w:t>0.003</w:t>
            </w:r>
          </w:p>
        </w:tc>
      </w:tr>
      <w:tr w:rsidR="00D0628E" w14:paraId="3F9C2325" w14:textId="77777777">
        <w:trPr>
          <w:trHeight w:val="240"/>
        </w:trPr>
        <w:tc>
          <w:tcPr>
            <w:tcW w:w="2617" w:type="dxa"/>
          </w:tcPr>
          <w:p w14:paraId="0C44C09D" w14:textId="77777777" w:rsidR="00D0628E" w:rsidRDefault="004B225A">
            <w:pPr>
              <w:pStyle w:val="TableParagraph"/>
              <w:spacing w:before="0" w:line="231" w:lineRule="exact"/>
              <w:ind w:left="100"/>
              <w:jc w:val="left"/>
            </w:pPr>
            <w:r>
              <w:t>Mucositis</w:t>
            </w:r>
          </w:p>
        </w:tc>
        <w:tc>
          <w:tcPr>
            <w:tcW w:w="1525" w:type="dxa"/>
          </w:tcPr>
          <w:p w14:paraId="449DF4BE" w14:textId="77777777" w:rsidR="00D0628E" w:rsidRDefault="004B225A">
            <w:pPr>
              <w:pStyle w:val="TableParagraph"/>
              <w:spacing w:before="0" w:line="231" w:lineRule="exact"/>
              <w:ind w:left="190"/>
              <w:jc w:val="left"/>
              <w:rPr>
                <w:sz w:val="21"/>
              </w:rPr>
            </w:pPr>
            <w:r>
              <w:rPr>
                <w:sz w:val="21"/>
              </w:rPr>
              <w:t>4.11 (25.00)</w:t>
            </w:r>
          </w:p>
        </w:tc>
        <w:tc>
          <w:tcPr>
            <w:tcW w:w="1441" w:type="dxa"/>
          </w:tcPr>
          <w:p w14:paraId="7AC2EF37" w14:textId="77777777" w:rsidR="00D0628E" w:rsidRDefault="004B225A">
            <w:pPr>
              <w:pStyle w:val="TableParagraph"/>
              <w:spacing w:before="6"/>
              <w:ind w:right="96"/>
              <w:rPr>
                <w:sz w:val="21"/>
              </w:rPr>
            </w:pPr>
            <w:r>
              <w:rPr>
                <w:sz w:val="21"/>
              </w:rPr>
              <w:t>2.30 (22.01)</w:t>
            </w:r>
          </w:p>
        </w:tc>
        <w:tc>
          <w:tcPr>
            <w:tcW w:w="1530" w:type="dxa"/>
          </w:tcPr>
          <w:p w14:paraId="23601B26" w14:textId="77777777" w:rsidR="00D0628E" w:rsidRDefault="004B225A">
            <w:pPr>
              <w:pStyle w:val="TableParagraph"/>
              <w:spacing w:before="6"/>
              <w:ind w:left="132" w:right="140"/>
              <w:rPr>
                <w:sz w:val="21"/>
              </w:rPr>
            </w:pPr>
            <w:r>
              <w:rPr>
                <w:sz w:val="21"/>
              </w:rPr>
              <w:t>1.84 (0.00)</w:t>
            </w:r>
          </w:p>
        </w:tc>
        <w:tc>
          <w:tcPr>
            <w:tcW w:w="1441" w:type="dxa"/>
          </w:tcPr>
          <w:p w14:paraId="38FE588C" w14:textId="77777777" w:rsidR="00D0628E" w:rsidRDefault="004B225A">
            <w:pPr>
              <w:pStyle w:val="TableParagraph"/>
              <w:spacing w:before="6"/>
              <w:ind w:left="0" w:right="154"/>
              <w:jc w:val="right"/>
              <w:rPr>
                <w:sz w:val="21"/>
              </w:rPr>
            </w:pPr>
            <w:r>
              <w:rPr>
                <w:sz w:val="21"/>
              </w:rPr>
              <w:t>3.99 (36.27)</w:t>
            </w:r>
          </w:p>
        </w:tc>
        <w:tc>
          <w:tcPr>
            <w:tcW w:w="1531" w:type="dxa"/>
          </w:tcPr>
          <w:p w14:paraId="1097C13D" w14:textId="77777777" w:rsidR="00D0628E" w:rsidRDefault="004B225A">
            <w:pPr>
              <w:pStyle w:val="TableParagraph"/>
              <w:spacing w:before="6"/>
              <w:ind w:left="108" w:right="122"/>
              <w:rPr>
                <w:sz w:val="21"/>
              </w:rPr>
            </w:pPr>
            <w:r>
              <w:rPr>
                <w:sz w:val="21"/>
              </w:rPr>
              <w:t>36.27 (62.75)</w:t>
            </w:r>
          </w:p>
        </w:tc>
        <w:tc>
          <w:tcPr>
            <w:tcW w:w="1150" w:type="dxa"/>
          </w:tcPr>
          <w:p w14:paraId="28DCF47D" w14:textId="77777777" w:rsidR="00D0628E" w:rsidRDefault="004B225A">
            <w:pPr>
              <w:pStyle w:val="TableParagraph"/>
              <w:spacing w:before="6"/>
              <w:ind w:left="161" w:right="167"/>
              <w:rPr>
                <w:sz w:val="21"/>
              </w:rPr>
            </w:pPr>
            <w:r>
              <w:rPr>
                <w:sz w:val="21"/>
              </w:rPr>
              <w:t>0.581</w:t>
            </w:r>
          </w:p>
        </w:tc>
      </w:tr>
      <w:tr w:rsidR="00D0628E" w14:paraId="2CBE6804" w14:textId="77777777">
        <w:trPr>
          <w:trHeight w:val="240"/>
        </w:trPr>
        <w:tc>
          <w:tcPr>
            <w:tcW w:w="2617" w:type="dxa"/>
          </w:tcPr>
          <w:p w14:paraId="63FD2412" w14:textId="77777777" w:rsidR="00D0628E" w:rsidRDefault="004B225A">
            <w:pPr>
              <w:pStyle w:val="TableParagraph"/>
              <w:spacing w:before="0" w:line="235" w:lineRule="exact"/>
              <w:ind w:left="100"/>
              <w:jc w:val="left"/>
              <w:rPr>
                <w:sz w:val="14"/>
              </w:rPr>
            </w:pPr>
            <w:r>
              <w:t>Established Conditions</w:t>
            </w:r>
            <w:r>
              <w:rPr>
                <w:position w:val="8"/>
                <w:sz w:val="14"/>
              </w:rPr>
              <w:t>b</w:t>
            </w:r>
          </w:p>
        </w:tc>
        <w:tc>
          <w:tcPr>
            <w:tcW w:w="1525" w:type="dxa"/>
          </w:tcPr>
          <w:p w14:paraId="015DBA62" w14:textId="77777777" w:rsidR="00D0628E" w:rsidRDefault="004B225A">
            <w:pPr>
              <w:pStyle w:val="TableParagraph"/>
              <w:spacing w:before="0" w:line="235" w:lineRule="exact"/>
              <w:ind w:left="155"/>
              <w:jc w:val="left"/>
              <w:rPr>
                <w:sz w:val="21"/>
              </w:rPr>
            </w:pPr>
            <w:r>
              <w:rPr>
                <w:sz w:val="21"/>
              </w:rPr>
              <w:t>-1.87 (18.79)</w:t>
            </w:r>
          </w:p>
        </w:tc>
        <w:tc>
          <w:tcPr>
            <w:tcW w:w="1441" w:type="dxa"/>
          </w:tcPr>
          <w:p w14:paraId="03C3EE0A" w14:textId="77777777" w:rsidR="00D0628E" w:rsidRDefault="004B225A">
            <w:pPr>
              <w:pStyle w:val="TableParagraph"/>
              <w:spacing w:line="229" w:lineRule="exact"/>
              <w:ind w:right="100"/>
              <w:rPr>
                <w:sz w:val="21"/>
              </w:rPr>
            </w:pPr>
            <w:r>
              <w:rPr>
                <w:sz w:val="21"/>
              </w:rPr>
              <w:t>-1.02 (14.78)</w:t>
            </w:r>
          </w:p>
        </w:tc>
        <w:tc>
          <w:tcPr>
            <w:tcW w:w="1530" w:type="dxa"/>
          </w:tcPr>
          <w:p w14:paraId="0E8F9E19" w14:textId="77777777" w:rsidR="00D0628E" w:rsidRDefault="004B225A">
            <w:pPr>
              <w:pStyle w:val="TableParagraph"/>
              <w:spacing w:line="229" w:lineRule="exact"/>
              <w:ind w:left="132" w:right="145"/>
              <w:rPr>
                <w:sz w:val="21"/>
              </w:rPr>
            </w:pPr>
            <w:r>
              <w:rPr>
                <w:sz w:val="21"/>
              </w:rPr>
              <w:t>-4.76 (33.24)</w:t>
            </w:r>
          </w:p>
        </w:tc>
        <w:tc>
          <w:tcPr>
            <w:tcW w:w="1441" w:type="dxa"/>
          </w:tcPr>
          <w:p w14:paraId="36B0E75A" w14:textId="77777777" w:rsidR="00D0628E" w:rsidRDefault="004B225A">
            <w:pPr>
              <w:pStyle w:val="TableParagraph"/>
              <w:spacing w:line="229" w:lineRule="exact"/>
              <w:ind w:left="0" w:right="123"/>
              <w:jc w:val="right"/>
              <w:rPr>
                <w:sz w:val="21"/>
              </w:rPr>
            </w:pPr>
            <w:r>
              <w:rPr>
                <w:sz w:val="21"/>
              </w:rPr>
              <w:t>-2.35 (23.41)</w:t>
            </w:r>
          </w:p>
        </w:tc>
        <w:tc>
          <w:tcPr>
            <w:tcW w:w="1531" w:type="dxa"/>
          </w:tcPr>
          <w:p w14:paraId="3BA84018" w14:textId="77777777" w:rsidR="00D0628E" w:rsidRDefault="004B225A">
            <w:pPr>
              <w:pStyle w:val="TableParagraph"/>
              <w:spacing w:line="229" w:lineRule="exact"/>
              <w:ind w:left="108" w:right="111"/>
              <w:rPr>
                <w:sz w:val="21"/>
              </w:rPr>
            </w:pPr>
            <w:r>
              <w:rPr>
                <w:sz w:val="21"/>
              </w:rPr>
              <w:t>-2.86 (17.31)</w:t>
            </w:r>
          </w:p>
        </w:tc>
        <w:tc>
          <w:tcPr>
            <w:tcW w:w="1150" w:type="dxa"/>
          </w:tcPr>
          <w:p w14:paraId="40AFA0F3" w14:textId="77777777" w:rsidR="00D0628E" w:rsidRDefault="004B225A">
            <w:pPr>
              <w:pStyle w:val="TableParagraph"/>
              <w:spacing w:line="229" w:lineRule="exact"/>
              <w:ind w:left="156" w:right="168"/>
              <w:rPr>
                <w:sz w:val="21"/>
              </w:rPr>
            </w:pPr>
            <w:r>
              <w:rPr>
                <w:sz w:val="21"/>
              </w:rPr>
              <w:t>&lt;0.001</w:t>
            </w:r>
          </w:p>
        </w:tc>
      </w:tr>
      <w:tr w:rsidR="00D0628E" w14:paraId="761D6C6D" w14:textId="77777777">
        <w:trPr>
          <w:trHeight w:val="240"/>
        </w:trPr>
        <w:tc>
          <w:tcPr>
            <w:tcW w:w="2617" w:type="dxa"/>
          </w:tcPr>
          <w:p w14:paraId="1FA91DD9" w14:textId="77777777" w:rsidR="00D0628E" w:rsidRDefault="004B225A">
            <w:pPr>
              <w:pStyle w:val="TableParagraph"/>
              <w:spacing w:before="0" w:line="230" w:lineRule="exact"/>
              <w:ind w:left="0" w:right="108"/>
              <w:jc w:val="right"/>
              <w:rPr>
                <w:sz w:val="14"/>
              </w:rPr>
            </w:pPr>
            <w:r>
              <w:rPr>
                <w:i/>
              </w:rPr>
              <w:t xml:space="preserve">H. pylori </w:t>
            </w:r>
            <w:r>
              <w:t>Testing</w:t>
            </w:r>
            <w:r>
              <w:rPr>
                <w:position w:val="8"/>
                <w:sz w:val="14"/>
              </w:rPr>
              <w:t>c</w:t>
            </w:r>
          </w:p>
        </w:tc>
        <w:tc>
          <w:tcPr>
            <w:tcW w:w="1525" w:type="dxa"/>
          </w:tcPr>
          <w:p w14:paraId="35EAD0BE" w14:textId="77777777" w:rsidR="00D0628E" w:rsidRDefault="004B225A">
            <w:pPr>
              <w:pStyle w:val="TableParagraph"/>
              <w:spacing w:before="0" w:line="230" w:lineRule="exact"/>
              <w:ind w:left="155"/>
              <w:jc w:val="left"/>
              <w:rPr>
                <w:sz w:val="21"/>
              </w:rPr>
            </w:pPr>
            <w:r>
              <w:rPr>
                <w:sz w:val="21"/>
              </w:rPr>
              <w:t>-4.90 (33.00)</w:t>
            </w:r>
          </w:p>
        </w:tc>
        <w:tc>
          <w:tcPr>
            <w:tcW w:w="1441" w:type="dxa"/>
          </w:tcPr>
          <w:p w14:paraId="0C56EABC" w14:textId="77777777" w:rsidR="00D0628E" w:rsidRDefault="004B225A">
            <w:pPr>
              <w:pStyle w:val="TableParagraph"/>
              <w:ind w:right="100"/>
              <w:rPr>
                <w:sz w:val="21"/>
              </w:rPr>
            </w:pPr>
            <w:r>
              <w:rPr>
                <w:sz w:val="21"/>
              </w:rPr>
              <w:t>-4.24 (32.26)</w:t>
            </w:r>
          </w:p>
        </w:tc>
        <w:tc>
          <w:tcPr>
            <w:tcW w:w="1530" w:type="dxa"/>
          </w:tcPr>
          <w:p w14:paraId="7D77DC60" w14:textId="77777777" w:rsidR="00D0628E" w:rsidRDefault="004B225A">
            <w:pPr>
              <w:pStyle w:val="TableParagraph"/>
              <w:ind w:left="132" w:right="145"/>
              <w:rPr>
                <w:sz w:val="21"/>
              </w:rPr>
            </w:pPr>
            <w:r>
              <w:rPr>
                <w:sz w:val="21"/>
              </w:rPr>
              <w:t>-7.10 (38.86)</w:t>
            </w:r>
          </w:p>
        </w:tc>
        <w:tc>
          <w:tcPr>
            <w:tcW w:w="1441" w:type="dxa"/>
          </w:tcPr>
          <w:p w14:paraId="7A4E43E9" w14:textId="77777777" w:rsidR="00D0628E" w:rsidRDefault="004B225A">
            <w:pPr>
              <w:pStyle w:val="TableParagraph"/>
              <w:ind w:left="0" w:right="123"/>
              <w:jc w:val="right"/>
              <w:rPr>
                <w:sz w:val="21"/>
              </w:rPr>
            </w:pPr>
            <w:r>
              <w:rPr>
                <w:sz w:val="21"/>
              </w:rPr>
              <w:t>-3.88 (32.13)</w:t>
            </w:r>
          </w:p>
        </w:tc>
        <w:tc>
          <w:tcPr>
            <w:tcW w:w="1531" w:type="dxa"/>
          </w:tcPr>
          <w:p w14:paraId="2790375C" w14:textId="77777777" w:rsidR="00D0628E" w:rsidRDefault="004B225A">
            <w:pPr>
              <w:pStyle w:val="TableParagraph"/>
              <w:ind w:left="108" w:right="121"/>
              <w:rPr>
                <w:sz w:val="21"/>
              </w:rPr>
            </w:pPr>
            <w:r>
              <w:rPr>
                <w:sz w:val="21"/>
              </w:rPr>
              <w:t>-3.15 (30.65)</w:t>
            </w:r>
          </w:p>
        </w:tc>
        <w:tc>
          <w:tcPr>
            <w:tcW w:w="1150" w:type="dxa"/>
          </w:tcPr>
          <w:p w14:paraId="62A885AF" w14:textId="77777777" w:rsidR="00D0628E" w:rsidRDefault="004B225A">
            <w:pPr>
              <w:pStyle w:val="TableParagraph"/>
              <w:ind w:left="161" w:right="167"/>
              <w:rPr>
                <w:sz w:val="21"/>
              </w:rPr>
            </w:pPr>
            <w:r>
              <w:rPr>
                <w:sz w:val="21"/>
              </w:rPr>
              <w:t>0.041</w:t>
            </w:r>
          </w:p>
        </w:tc>
      </w:tr>
      <w:tr w:rsidR="00D0628E" w14:paraId="6C03279C" w14:textId="77777777">
        <w:trPr>
          <w:trHeight w:val="240"/>
        </w:trPr>
        <w:tc>
          <w:tcPr>
            <w:tcW w:w="2617" w:type="dxa"/>
          </w:tcPr>
          <w:p w14:paraId="61D59A57" w14:textId="77777777" w:rsidR="00D0628E" w:rsidRDefault="004B225A">
            <w:pPr>
              <w:pStyle w:val="TableParagraph"/>
              <w:spacing w:before="0" w:line="235" w:lineRule="exact"/>
              <w:ind w:left="0" w:right="108"/>
              <w:jc w:val="right"/>
              <w:rPr>
                <w:sz w:val="14"/>
              </w:rPr>
            </w:pPr>
            <w:r>
              <w:t>Endoscopy</w:t>
            </w:r>
            <w:r>
              <w:rPr>
                <w:position w:val="8"/>
                <w:sz w:val="14"/>
              </w:rPr>
              <w:t>c</w:t>
            </w:r>
          </w:p>
        </w:tc>
        <w:tc>
          <w:tcPr>
            <w:tcW w:w="1525" w:type="dxa"/>
          </w:tcPr>
          <w:p w14:paraId="5A8EE87A" w14:textId="77777777" w:rsidR="00D0628E" w:rsidRDefault="004B225A">
            <w:pPr>
              <w:pStyle w:val="TableParagraph"/>
              <w:spacing w:before="0" w:line="235" w:lineRule="exact"/>
              <w:ind w:left="245"/>
              <w:jc w:val="left"/>
              <w:rPr>
                <w:sz w:val="21"/>
              </w:rPr>
            </w:pPr>
            <w:r>
              <w:rPr>
                <w:sz w:val="21"/>
              </w:rPr>
              <w:t>0.33 (2.10)</w:t>
            </w:r>
          </w:p>
        </w:tc>
        <w:tc>
          <w:tcPr>
            <w:tcW w:w="1441" w:type="dxa"/>
          </w:tcPr>
          <w:p w14:paraId="3779673D" w14:textId="77777777" w:rsidR="00D0628E" w:rsidRDefault="004B225A">
            <w:pPr>
              <w:pStyle w:val="TableParagraph"/>
              <w:spacing w:before="10"/>
              <w:ind w:right="95"/>
              <w:rPr>
                <w:sz w:val="21"/>
              </w:rPr>
            </w:pPr>
            <w:r>
              <w:rPr>
                <w:sz w:val="21"/>
              </w:rPr>
              <w:t>0.33 (2.04)</w:t>
            </w:r>
          </w:p>
        </w:tc>
        <w:tc>
          <w:tcPr>
            <w:tcW w:w="1530" w:type="dxa"/>
          </w:tcPr>
          <w:p w14:paraId="477A5D9C" w14:textId="77777777" w:rsidR="00D0628E" w:rsidRDefault="004B225A">
            <w:pPr>
              <w:pStyle w:val="TableParagraph"/>
              <w:spacing w:before="10"/>
              <w:ind w:left="132" w:right="140"/>
              <w:rPr>
                <w:sz w:val="21"/>
              </w:rPr>
            </w:pPr>
            <w:r>
              <w:rPr>
                <w:sz w:val="21"/>
              </w:rPr>
              <w:t>0.33 (2.93)</w:t>
            </w:r>
          </w:p>
        </w:tc>
        <w:tc>
          <w:tcPr>
            <w:tcW w:w="1441" w:type="dxa"/>
          </w:tcPr>
          <w:p w14:paraId="3C660A54" w14:textId="77777777" w:rsidR="00D0628E" w:rsidRDefault="004B225A">
            <w:pPr>
              <w:pStyle w:val="TableParagraph"/>
              <w:spacing w:before="10"/>
              <w:ind w:left="205"/>
              <w:jc w:val="left"/>
              <w:rPr>
                <w:sz w:val="21"/>
              </w:rPr>
            </w:pPr>
            <w:r>
              <w:rPr>
                <w:sz w:val="21"/>
              </w:rPr>
              <w:t>0.36 (2.07)</w:t>
            </w:r>
          </w:p>
        </w:tc>
        <w:tc>
          <w:tcPr>
            <w:tcW w:w="1531" w:type="dxa"/>
          </w:tcPr>
          <w:p w14:paraId="31A71E7F" w14:textId="77777777" w:rsidR="00D0628E" w:rsidRDefault="004B225A">
            <w:pPr>
              <w:pStyle w:val="TableParagraph"/>
              <w:spacing w:before="10"/>
              <w:ind w:left="108" w:right="116"/>
              <w:rPr>
                <w:sz w:val="21"/>
              </w:rPr>
            </w:pPr>
            <w:r>
              <w:rPr>
                <w:sz w:val="21"/>
              </w:rPr>
              <w:t>0.36 (1.74)</w:t>
            </w:r>
          </w:p>
        </w:tc>
        <w:tc>
          <w:tcPr>
            <w:tcW w:w="1150" w:type="dxa"/>
          </w:tcPr>
          <w:p w14:paraId="7349A9C7" w14:textId="77777777" w:rsidR="00D0628E" w:rsidRDefault="004B225A">
            <w:pPr>
              <w:pStyle w:val="TableParagraph"/>
              <w:spacing w:before="10"/>
              <w:ind w:left="161" w:right="167"/>
              <w:rPr>
                <w:sz w:val="21"/>
              </w:rPr>
            </w:pPr>
            <w:r>
              <w:rPr>
                <w:sz w:val="21"/>
              </w:rPr>
              <w:t>0.004</w:t>
            </w:r>
          </w:p>
        </w:tc>
      </w:tr>
      <w:tr w:rsidR="00D0628E" w14:paraId="5840F33B" w14:textId="77777777">
        <w:trPr>
          <w:trHeight w:val="240"/>
        </w:trPr>
        <w:tc>
          <w:tcPr>
            <w:tcW w:w="2617" w:type="dxa"/>
          </w:tcPr>
          <w:p w14:paraId="5013704D" w14:textId="77777777" w:rsidR="00D0628E" w:rsidRDefault="004B225A">
            <w:pPr>
              <w:pStyle w:val="TableParagraph"/>
              <w:spacing w:before="1" w:line="234" w:lineRule="exact"/>
              <w:ind w:left="100"/>
              <w:jc w:val="left"/>
            </w:pPr>
            <w:r>
              <w:rPr>
                <w:i/>
              </w:rPr>
              <w:t xml:space="preserve">H. pylori </w:t>
            </w:r>
            <w:r>
              <w:t>Testing</w:t>
            </w:r>
          </w:p>
        </w:tc>
        <w:tc>
          <w:tcPr>
            <w:tcW w:w="1525" w:type="dxa"/>
          </w:tcPr>
          <w:p w14:paraId="14C811B7" w14:textId="77777777" w:rsidR="00D0628E" w:rsidRDefault="004B225A">
            <w:pPr>
              <w:pStyle w:val="TableParagraph"/>
              <w:spacing w:before="0" w:line="235" w:lineRule="exact"/>
              <w:ind w:left="210"/>
              <w:jc w:val="left"/>
              <w:rPr>
                <w:sz w:val="21"/>
              </w:rPr>
            </w:pPr>
            <w:r>
              <w:rPr>
                <w:sz w:val="21"/>
              </w:rPr>
              <w:t>-4.19 (32.3)</w:t>
            </w:r>
          </w:p>
        </w:tc>
        <w:tc>
          <w:tcPr>
            <w:tcW w:w="1441" w:type="dxa"/>
          </w:tcPr>
          <w:p w14:paraId="5A5C67DB" w14:textId="77777777" w:rsidR="00D0628E" w:rsidRDefault="004B225A">
            <w:pPr>
              <w:pStyle w:val="TableParagraph"/>
              <w:spacing w:line="229" w:lineRule="exact"/>
              <w:ind w:right="100"/>
              <w:rPr>
                <w:sz w:val="21"/>
              </w:rPr>
            </w:pPr>
            <w:r>
              <w:rPr>
                <w:sz w:val="21"/>
              </w:rPr>
              <w:t>-3.58 (32.00)</w:t>
            </w:r>
          </w:p>
        </w:tc>
        <w:tc>
          <w:tcPr>
            <w:tcW w:w="1530" w:type="dxa"/>
          </w:tcPr>
          <w:p w14:paraId="26091640" w14:textId="77777777" w:rsidR="00D0628E" w:rsidRDefault="004B225A">
            <w:pPr>
              <w:pStyle w:val="TableParagraph"/>
              <w:spacing w:line="229" w:lineRule="exact"/>
              <w:ind w:left="132" w:right="145"/>
              <w:rPr>
                <w:sz w:val="21"/>
              </w:rPr>
            </w:pPr>
            <w:r>
              <w:rPr>
                <w:sz w:val="21"/>
              </w:rPr>
              <w:t>-6.87 (36.18)</w:t>
            </w:r>
          </w:p>
        </w:tc>
        <w:tc>
          <w:tcPr>
            <w:tcW w:w="1441" w:type="dxa"/>
          </w:tcPr>
          <w:p w14:paraId="45A758FC" w14:textId="77777777" w:rsidR="00D0628E" w:rsidRDefault="004B225A">
            <w:pPr>
              <w:pStyle w:val="TableParagraph"/>
              <w:spacing w:line="229" w:lineRule="exact"/>
              <w:ind w:left="0" w:right="123"/>
              <w:jc w:val="right"/>
              <w:rPr>
                <w:sz w:val="21"/>
              </w:rPr>
            </w:pPr>
            <w:r>
              <w:rPr>
                <w:sz w:val="21"/>
              </w:rPr>
              <w:t>-3.63 (31.05)</w:t>
            </w:r>
          </w:p>
        </w:tc>
        <w:tc>
          <w:tcPr>
            <w:tcW w:w="1531" w:type="dxa"/>
          </w:tcPr>
          <w:p w14:paraId="400D9D2E" w14:textId="77777777" w:rsidR="00D0628E" w:rsidRDefault="004B225A">
            <w:pPr>
              <w:pStyle w:val="TableParagraph"/>
              <w:spacing w:line="229" w:lineRule="exact"/>
              <w:ind w:left="108" w:right="121"/>
              <w:rPr>
                <w:sz w:val="21"/>
              </w:rPr>
            </w:pPr>
            <w:r>
              <w:rPr>
                <w:sz w:val="21"/>
              </w:rPr>
              <w:t>-3.25 (33.05)</w:t>
            </w:r>
          </w:p>
        </w:tc>
        <w:tc>
          <w:tcPr>
            <w:tcW w:w="1150" w:type="dxa"/>
          </w:tcPr>
          <w:p w14:paraId="6553BB2F" w14:textId="77777777" w:rsidR="00D0628E" w:rsidRDefault="004B225A">
            <w:pPr>
              <w:pStyle w:val="TableParagraph"/>
              <w:spacing w:line="229" w:lineRule="exact"/>
              <w:ind w:left="161" w:right="167"/>
              <w:rPr>
                <w:sz w:val="21"/>
              </w:rPr>
            </w:pPr>
            <w:r>
              <w:rPr>
                <w:sz w:val="21"/>
              </w:rPr>
              <w:t>0.019</w:t>
            </w:r>
          </w:p>
        </w:tc>
      </w:tr>
      <w:tr w:rsidR="00D0628E" w14:paraId="6BA6B23A" w14:textId="77777777">
        <w:trPr>
          <w:trHeight w:val="240"/>
        </w:trPr>
        <w:tc>
          <w:tcPr>
            <w:tcW w:w="2617" w:type="dxa"/>
          </w:tcPr>
          <w:p w14:paraId="4EC0139F" w14:textId="77777777" w:rsidR="00D0628E" w:rsidRDefault="004B225A">
            <w:pPr>
              <w:pStyle w:val="TableParagraph"/>
              <w:spacing w:before="0" w:line="230" w:lineRule="exact"/>
              <w:ind w:left="100"/>
              <w:jc w:val="left"/>
            </w:pPr>
            <w:r>
              <w:t>Endoscopy</w:t>
            </w:r>
          </w:p>
        </w:tc>
        <w:tc>
          <w:tcPr>
            <w:tcW w:w="1525" w:type="dxa"/>
          </w:tcPr>
          <w:p w14:paraId="39BD97E6" w14:textId="77777777" w:rsidR="00D0628E" w:rsidRDefault="004B225A">
            <w:pPr>
              <w:pStyle w:val="TableParagraph"/>
              <w:spacing w:before="0" w:line="230" w:lineRule="exact"/>
              <w:ind w:left="245"/>
              <w:jc w:val="left"/>
              <w:rPr>
                <w:sz w:val="21"/>
              </w:rPr>
            </w:pPr>
            <w:r>
              <w:rPr>
                <w:sz w:val="21"/>
              </w:rPr>
              <w:t>0.39 (0.88)</w:t>
            </w:r>
          </w:p>
        </w:tc>
        <w:tc>
          <w:tcPr>
            <w:tcW w:w="1441" w:type="dxa"/>
          </w:tcPr>
          <w:p w14:paraId="397923ED" w14:textId="77777777" w:rsidR="00D0628E" w:rsidRDefault="004B225A">
            <w:pPr>
              <w:pStyle w:val="TableParagraph"/>
              <w:ind w:right="95"/>
              <w:rPr>
                <w:sz w:val="21"/>
              </w:rPr>
            </w:pPr>
            <w:r>
              <w:rPr>
                <w:sz w:val="21"/>
              </w:rPr>
              <w:t>0.39 (0.88)</w:t>
            </w:r>
          </w:p>
        </w:tc>
        <w:tc>
          <w:tcPr>
            <w:tcW w:w="1530" w:type="dxa"/>
          </w:tcPr>
          <w:p w14:paraId="77641EF9" w14:textId="77777777" w:rsidR="00D0628E" w:rsidRDefault="004B225A">
            <w:pPr>
              <w:pStyle w:val="TableParagraph"/>
              <w:ind w:left="132" w:right="140"/>
              <w:rPr>
                <w:sz w:val="21"/>
              </w:rPr>
            </w:pPr>
            <w:r>
              <w:rPr>
                <w:sz w:val="21"/>
              </w:rPr>
              <w:t>0.39 (1.41)</w:t>
            </w:r>
          </w:p>
        </w:tc>
        <w:tc>
          <w:tcPr>
            <w:tcW w:w="1441" w:type="dxa"/>
          </w:tcPr>
          <w:p w14:paraId="57053B87" w14:textId="77777777" w:rsidR="00D0628E" w:rsidRDefault="004B225A">
            <w:pPr>
              <w:pStyle w:val="TableParagraph"/>
              <w:ind w:left="205"/>
              <w:jc w:val="left"/>
              <w:rPr>
                <w:sz w:val="21"/>
              </w:rPr>
            </w:pPr>
            <w:r>
              <w:rPr>
                <w:sz w:val="21"/>
              </w:rPr>
              <w:t>0.43 (0.89)</w:t>
            </w:r>
          </w:p>
        </w:tc>
        <w:tc>
          <w:tcPr>
            <w:tcW w:w="1531" w:type="dxa"/>
          </w:tcPr>
          <w:p w14:paraId="7EC99AA8" w14:textId="77777777" w:rsidR="00D0628E" w:rsidRDefault="004B225A">
            <w:pPr>
              <w:pStyle w:val="TableParagraph"/>
              <w:ind w:left="108" w:right="116"/>
              <w:rPr>
                <w:sz w:val="21"/>
              </w:rPr>
            </w:pPr>
            <w:r>
              <w:rPr>
                <w:sz w:val="21"/>
              </w:rPr>
              <w:t>0.43 (0.89)</w:t>
            </w:r>
          </w:p>
        </w:tc>
        <w:tc>
          <w:tcPr>
            <w:tcW w:w="1150" w:type="dxa"/>
          </w:tcPr>
          <w:p w14:paraId="173F1F76" w14:textId="77777777" w:rsidR="00D0628E" w:rsidRDefault="004B225A">
            <w:pPr>
              <w:pStyle w:val="TableParagraph"/>
              <w:ind w:left="161" w:right="167"/>
              <w:rPr>
                <w:sz w:val="21"/>
              </w:rPr>
            </w:pPr>
            <w:r>
              <w:rPr>
                <w:sz w:val="21"/>
              </w:rPr>
              <w:t>0.001</w:t>
            </w:r>
          </w:p>
        </w:tc>
      </w:tr>
    </w:tbl>
    <w:p w14:paraId="75105C65" w14:textId="77777777" w:rsidR="00D0628E" w:rsidRDefault="004B225A">
      <w:pPr>
        <w:pStyle w:val="BodyText"/>
        <w:spacing w:line="234" w:lineRule="exact"/>
      </w:pPr>
      <w:r>
        <w:rPr>
          <w:position w:val="7"/>
          <w:sz w:val="14"/>
        </w:rPr>
        <w:t>a</w:t>
      </w:r>
      <w:r>
        <w:t>Kruskal-Wallis test</w:t>
      </w:r>
    </w:p>
    <w:p w14:paraId="0FB57C51" w14:textId="77777777" w:rsidR="00D0628E" w:rsidRDefault="004B225A">
      <w:pPr>
        <w:pStyle w:val="BodyText"/>
        <w:spacing w:line="242" w:lineRule="auto"/>
        <w:ind w:right="72"/>
      </w:pPr>
      <w:r>
        <w:rPr>
          <w:position w:val="7"/>
          <w:sz w:val="14"/>
        </w:rPr>
        <w:t>b</w:t>
      </w:r>
      <w:r>
        <w:t xml:space="preserve">Established conditions: combined count of those with peptic ulcer or gastric ulcer or duodenal ulcer or a history of gastritis which are indicator conditions for </w:t>
      </w:r>
      <w:r>
        <w:rPr>
          <w:i/>
        </w:rPr>
        <w:t xml:space="preserve">H. pylori </w:t>
      </w:r>
      <w:r>
        <w:t>testing</w:t>
      </w:r>
    </w:p>
    <w:p w14:paraId="406ED903" w14:textId="77777777" w:rsidR="00D0628E" w:rsidRDefault="004B225A">
      <w:pPr>
        <w:pStyle w:val="BodyText"/>
        <w:spacing w:line="237" w:lineRule="auto"/>
        <w:ind w:right="4897"/>
      </w:pPr>
      <w:r>
        <w:rPr>
          <w:position w:val="7"/>
          <w:sz w:val="14"/>
        </w:rPr>
        <w:t>c</w:t>
      </w:r>
      <w:r>
        <w:t>Frequencies are of total number with an established co</w:t>
      </w:r>
      <w:r>
        <w:t>ndition Abbreviations: NHW: Non-Hispanic White; API: Asian/Pacific Islander</w:t>
      </w:r>
    </w:p>
    <w:sectPr w:rsidR="00D0628E">
      <w:type w:val="continuous"/>
      <w:pgSz w:w="12240" w:h="15840"/>
      <w:pgMar w:top="1020" w:right="3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8E"/>
    <w:rsid w:val="004B225A"/>
    <w:rsid w:val="00D0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A5AE"/>
  <w15:docId w15:val="{86E8ABAE-A729-44C8-A766-C68FE9B5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 w:line="224" w:lineRule="exact"/>
      <w:ind w:left="8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Florea, Ana - (aflorea)</dc:creator>
  <cp:lastModifiedBy>Ana Florea</cp:lastModifiedBy>
  <cp:revision>2</cp:revision>
  <dcterms:created xsi:type="dcterms:W3CDTF">2018-11-20T21:07:00Z</dcterms:created>
  <dcterms:modified xsi:type="dcterms:W3CDTF">2018-11-20T21:07:00Z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2018-10-02T00:00:00Z</vt:filetime>
  </property>
</Properties>
</file>